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83" w:rsidRPr="00DB6CFB" w:rsidRDefault="00DB3A83" w:rsidP="00FE6DDA">
      <w:pPr>
        <w:spacing w:after="0" w:line="240" w:lineRule="auto"/>
        <w:rPr>
          <w:rFonts w:ascii="Arial" w:hAnsi="Arial" w:cs="Arial"/>
          <w:b/>
        </w:rPr>
      </w:pPr>
      <w:r w:rsidRPr="00DB6CFB">
        <w:rPr>
          <w:rFonts w:ascii="Arial" w:hAnsi="Arial" w:cs="Arial"/>
          <w:b/>
        </w:rPr>
        <w:t>World Intellectual Property Organization (WIPO)</w:t>
      </w:r>
    </w:p>
    <w:p w:rsidR="00DB3A83" w:rsidRPr="00DB6CFB" w:rsidRDefault="00DB3A83" w:rsidP="00FE6DDA">
      <w:pPr>
        <w:spacing w:after="0" w:line="240" w:lineRule="auto"/>
        <w:rPr>
          <w:rFonts w:ascii="Arial" w:hAnsi="Arial" w:cs="Arial"/>
          <w:b/>
        </w:rPr>
      </w:pPr>
      <w:r w:rsidRPr="00DB6CFB">
        <w:rPr>
          <w:rFonts w:ascii="Arial" w:hAnsi="Arial" w:cs="Arial"/>
          <w:b/>
        </w:rPr>
        <w:t>Standing Committee on Copyright and Related Rights (SCCR)</w:t>
      </w:r>
    </w:p>
    <w:p w:rsidR="00DB3A83" w:rsidRPr="00DB6CFB" w:rsidRDefault="00381A33" w:rsidP="00FE6DDA">
      <w:pPr>
        <w:spacing w:after="0" w:line="240" w:lineRule="auto"/>
        <w:rPr>
          <w:rFonts w:ascii="Arial" w:hAnsi="Arial" w:cs="Arial"/>
          <w:b/>
        </w:rPr>
      </w:pPr>
      <w:r w:rsidRPr="00DB6CFB">
        <w:rPr>
          <w:rFonts w:ascii="Arial" w:hAnsi="Arial" w:cs="Arial"/>
          <w:b/>
        </w:rPr>
        <w:t>Twenty-</w:t>
      </w:r>
      <w:r w:rsidR="00DB3A83" w:rsidRPr="00DB6CFB">
        <w:rPr>
          <w:rFonts w:ascii="Arial" w:hAnsi="Arial" w:cs="Arial"/>
          <w:b/>
        </w:rPr>
        <w:t>eighth Session</w:t>
      </w:r>
    </w:p>
    <w:p w:rsidR="00DB3A83" w:rsidRPr="00DB6CFB" w:rsidRDefault="00DB3A83" w:rsidP="00FE6DDA">
      <w:pPr>
        <w:spacing w:line="240" w:lineRule="auto"/>
        <w:rPr>
          <w:rFonts w:ascii="Arial" w:hAnsi="Arial" w:cs="Arial"/>
          <w:b/>
        </w:rPr>
      </w:pPr>
      <w:r w:rsidRPr="00DB6CFB">
        <w:rPr>
          <w:rFonts w:ascii="Arial" w:hAnsi="Arial" w:cs="Arial"/>
          <w:b/>
        </w:rPr>
        <w:t>Geneva, July 4, 2014</w:t>
      </w:r>
    </w:p>
    <w:p w:rsidR="002E07CC" w:rsidRPr="00DB6CFB" w:rsidRDefault="002E07CC" w:rsidP="00FE6DDA">
      <w:pPr>
        <w:spacing w:line="240" w:lineRule="auto"/>
        <w:rPr>
          <w:rFonts w:ascii="Arial" w:hAnsi="Arial" w:cs="Arial"/>
          <w:b/>
        </w:rPr>
      </w:pPr>
    </w:p>
    <w:p w:rsidR="00DB3A83" w:rsidRPr="00DB6CFB" w:rsidRDefault="00A472C7" w:rsidP="002E07CC">
      <w:pPr>
        <w:spacing w:line="240" w:lineRule="auto"/>
        <w:rPr>
          <w:rFonts w:ascii="Arial" w:hAnsi="Arial" w:cs="Arial"/>
          <w:b/>
          <w:i/>
        </w:rPr>
      </w:pPr>
      <w:r>
        <w:rPr>
          <w:rFonts w:ascii="Arial" w:hAnsi="Arial" w:cs="Arial"/>
          <w:b/>
          <w:i/>
        </w:rPr>
        <w:t>Chair’s</w:t>
      </w:r>
      <w:r w:rsidR="00FE6DDA" w:rsidRPr="00DB6CFB">
        <w:rPr>
          <w:rFonts w:ascii="Arial" w:hAnsi="Arial" w:cs="Arial"/>
          <w:b/>
          <w:i/>
        </w:rPr>
        <w:t xml:space="preserve"> Conclusions</w:t>
      </w:r>
    </w:p>
    <w:p w:rsidR="00DB3A83" w:rsidRPr="007F409A" w:rsidRDefault="00DB3A83" w:rsidP="00DB3A83">
      <w:pPr>
        <w:spacing w:line="260" w:lineRule="atLeast"/>
        <w:rPr>
          <w:rFonts w:ascii="Arial" w:hAnsi="Arial" w:cs="Arial"/>
          <w:b/>
        </w:rPr>
      </w:pPr>
      <w:r w:rsidRPr="007F409A">
        <w:rPr>
          <w:rFonts w:ascii="Arial" w:hAnsi="Arial" w:cs="Arial"/>
          <w:b/>
        </w:rPr>
        <w:t xml:space="preserve">Protection of Broadcasting Organizations </w:t>
      </w:r>
    </w:p>
    <w:p w:rsidR="00DB3A83" w:rsidRPr="007F409A" w:rsidRDefault="00DB3A83" w:rsidP="00DB3A83">
      <w:pPr>
        <w:spacing w:line="260" w:lineRule="atLeast"/>
        <w:rPr>
          <w:rFonts w:ascii="Arial" w:hAnsi="Arial" w:cs="Arial"/>
        </w:rPr>
      </w:pPr>
      <w:r w:rsidRPr="007F409A">
        <w:rPr>
          <w:rFonts w:ascii="Arial" w:hAnsi="Arial" w:cs="Arial"/>
        </w:rPr>
        <w:fldChar w:fldCharType="begin"/>
      </w:r>
      <w:r w:rsidRPr="007F409A">
        <w:rPr>
          <w:rFonts w:ascii="Arial" w:hAnsi="Arial" w:cs="Arial"/>
        </w:rPr>
        <w:instrText xml:space="preserve"> AUTONUM  </w:instrText>
      </w:r>
      <w:r w:rsidRPr="007F409A">
        <w:rPr>
          <w:rFonts w:ascii="Arial" w:hAnsi="Arial" w:cs="Arial"/>
        </w:rPr>
        <w:fldChar w:fldCharType="end"/>
      </w:r>
      <w:r w:rsidRPr="007F409A">
        <w:rPr>
          <w:rFonts w:ascii="Arial" w:hAnsi="Arial" w:cs="Arial"/>
        </w:rPr>
        <w:tab/>
        <w:t>Based on the outcome and documents of the 27th session of the SCCR, the Committee pursued discussions on issues relating to the categories of platforms</w:t>
      </w:r>
      <w:r w:rsidR="00A472C7">
        <w:rPr>
          <w:rFonts w:ascii="Arial" w:hAnsi="Arial" w:cs="Arial"/>
        </w:rPr>
        <w:t xml:space="preserve"> and </w:t>
      </w:r>
      <w:r w:rsidRPr="007F409A">
        <w:rPr>
          <w:rFonts w:ascii="Arial" w:hAnsi="Arial" w:cs="Arial"/>
        </w:rPr>
        <w:t xml:space="preserve">activities to be included under the object and scope of protection to be granted to broadcasting organizations in the traditional sense, and </w:t>
      </w:r>
      <w:r w:rsidR="005324EB">
        <w:rPr>
          <w:rFonts w:ascii="Arial" w:hAnsi="Arial" w:cs="Arial"/>
        </w:rPr>
        <w:t>initiated discussions on</w:t>
      </w:r>
      <w:r w:rsidR="00627723">
        <w:rPr>
          <w:rFonts w:ascii="Arial" w:hAnsi="Arial" w:cs="Arial"/>
        </w:rPr>
        <w:t xml:space="preserve"> </w:t>
      </w:r>
      <w:r w:rsidRPr="007F409A">
        <w:rPr>
          <w:rFonts w:ascii="Arial" w:hAnsi="Arial" w:cs="Arial"/>
        </w:rPr>
        <w:t xml:space="preserve">definitions. </w:t>
      </w:r>
    </w:p>
    <w:p w:rsidR="00DB3A83" w:rsidRPr="007F409A" w:rsidRDefault="00DB3A83" w:rsidP="00DB3A83">
      <w:pPr>
        <w:spacing w:line="260" w:lineRule="atLeast"/>
        <w:rPr>
          <w:rFonts w:ascii="Arial" w:hAnsi="Arial" w:cs="Arial"/>
        </w:rPr>
      </w:pPr>
      <w:r w:rsidRPr="007F409A">
        <w:rPr>
          <w:rFonts w:ascii="Arial" w:hAnsi="Arial" w:cs="Arial"/>
        </w:rPr>
        <w:t>2.</w:t>
      </w:r>
      <w:r w:rsidRPr="007F409A">
        <w:rPr>
          <w:rFonts w:ascii="Arial" w:hAnsi="Arial" w:cs="Arial"/>
        </w:rPr>
        <w:tab/>
        <w:t>The discussions were based on technical working non-papers addressing these issues submitted at the 27</w:t>
      </w:r>
      <w:r w:rsidR="00FE3869">
        <w:rPr>
          <w:rFonts w:ascii="Arial" w:hAnsi="Arial" w:cs="Arial"/>
        </w:rPr>
        <w:t>th</w:t>
      </w:r>
      <w:r w:rsidRPr="007F409A">
        <w:rPr>
          <w:rFonts w:ascii="Arial" w:hAnsi="Arial" w:cs="Arial"/>
        </w:rPr>
        <w:t xml:space="preserve"> and 28</w:t>
      </w:r>
      <w:r w:rsidR="00FE3869">
        <w:rPr>
          <w:rFonts w:ascii="Arial" w:hAnsi="Arial" w:cs="Arial"/>
        </w:rPr>
        <w:t>th</w:t>
      </w:r>
      <w:r w:rsidRPr="007F409A">
        <w:rPr>
          <w:rFonts w:ascii="Arial" w:hAnsi="Arial" w:cs="Arial"/>
        </w:rPr>
        <w:t xml:space="preserve"> sessions of the SCCR.  Technical explanations submitted by stakeholders in relation to some specific issues considered in the informal discussions which took place during the session were compiled into an informal document.  </w:t>
      </w:r>
    </w:p>
    <w:p w:rsidR="00DB3A83" w:rsidRPr="007F409A" w:rsidRDefault="00DB3A83" w:rsidP="00DB3A83">
      <w:pPr>
        <w:spacing w:line="260" w:lineRule="atLeast"/>
        <w:rPr>
          <w:rFonts w:ascii="Arial" w:hAnsi="Arial" w:cs="Arial"/>
        </w:rPr>
      </w:pPr>
      <w:r w:rsidRPr="007F409A">
        <w:rPr>
          <w:rFonts w:ascii="Arial" w:hAnsi="Arial" w:cs="Arial"/>
        </w:rPr>
        <w:t>3.</w:t>
      </w:r>
      <w:r w:rsidRPr="007F409A">
        <w:rPr>
          <w:rFonts w:ascii="Arial" w:hAnsi="Arial" w:cs="Arial"/>
        </w:rPr>
        <w:tab/>
      </w:r>
      <w:r w:rsidRPr="007F409A">
        <w:rPr>
          <w:rFonts w:ascii="Arial" w:hAnsi="Arial" w:cs="Arial"/>
          <w:color w:val="000000"/>
        </w:rPr>
        <w:t xml:space="preserve">The discussions contributed </w:t>
      </w:r>
      <w:r w:rsidRPr="007F409A">
        <w:rPr>
          <w:rFonts w:ascii="Arial" w:hAnsi="Arial" w:cs="Arial"/>
        </w:rPr>
        <w:t>to</w:t>
      </w:r>
      <w:r w:rsidR="00627723">
        <w:rPr>
          <w:rFonts w:ascii="Arial" w:eastAsia="Times New Roman" w:hAnsi="Arial" w:cs="Arial"/>
        </w:rPr>
        <w:t xml:space="preserve"> </w:t>
      </w:r>
      <w:r w:rsidRPr="007F409A">
        <w:rPr>
          <w:rFonts w:ascii="Arial" w:eastAsia="Times New Roman" w:hAnsi="Arial" w:cs="Arial"/>
        </w:rPr>
        <w:t xml:space="preserve">progress on the </w:t>
      </w:r>
      <w:r w:rsidR="003B0A0F">
        <w:rPr>
          <w:rFonts w:ascii="Arial" w:eastAsia="Times New Roman" w:hAnsi="Arial" w:cs="Arial"/>
        </w:rPr>
        <w:t xml:space="preserve">understanding of the </w:t>
      </w:r>
      <w:r w:rsidRPr="007F409A">
        <w:rPr>
          <w:rFonts w:ascii="Arial" w:eastAsia="Times New Roman" w:hAnsi="Arial" w:cs="Arial"/>
        </w:rPr>
        <w:t xml:space="preserve">substance concerning the </w:t>
      </w:r>
      <w:r w:rsidR="003B0A0F">
        <w:rPr>
          <w:rFonts w:ascii="Arial" w:eastAsia="Times New Roman" w:hAnsi="Arial" w:cs="Arial"/>
        </w:rPr>
        <w:t xml:space="preserve">different options for </w:t>
      </w:r>
      <w:r w:rsidRPr="007F409A">
        <w:rPr>
          <w:rFonts w:ascii="Arial" w:hAnsi="Arial" w:cs="Arial"/>
        </w:rPr>
        <w:t>protection of broadcasting organizations in the traditional sense</w:t>
      </w:r>
      <w:r w:rsidR="003B0A0F">
        <w:rPr>
          <w:rFonts w:ascii="Arial" w:hAnsi="Arial" w:cs="Arial"/>
        </w:rPr>
        <w:t xml:space="preserve"> to be addressed by the Committee.</w:t>
      </w:r>
    </w:p>
    <w:p w:rsidR="00DB3A83" w:rsidRPr="00FE3869" w:rsidRDefault="00DB3A83" w:rsidP="00DB3A83">
      <w:pPr>
        <w:autoSpaceDE w:val="0"/>
        <w:autoSpaceDN w:val="0"/>
        <w:adjustRightInd w:val="0"/>
        <w:spacing w:after="0" w:line="240" w:lineRule="auto"/>
        <w:rPr>
          <w:rFonts w:ascii="Arial" w:hAnsi="Arial" w:cs="Arial"/>
        </w:rPr>
      </w:pPr>
      <w:r w:rsidRPr="007F409A">
        <w:rPr>
          <w:rFonts w:ascii="Arial" w:hAnsi="Arial" w:cs="Arial"/>
        </w:rPr>
        <w:t>4.</w:t>
      </w:r>
      <w:r w:rsidRPr="007F409A">
        <w:rPr>
          <w:rFonts w:ascii="Arial" w:hAnsi="Arial" w:cs="Arial"/>
        </w:rPr>
        <w:tab/>
        <w:t xml:space="preserve">The Secretariat was requested </w:t>
      </w:r>
      <w:r w:rsidR="00A472C7">
        <w:rPr>
          <w:rFonts w:ascii="Arial" w:hAnsi="Arial" w:cs="Arial"/>
        </w:rPr>
        <w:t xml:space="preserve">by some Members </w:t>
      </w:r>
      <w:r w:rsidRPr="007F409A">
        <w:rPr>
          <w:rFonts w:ascii="Arial" w:hAnsi="Arial" w:cs="Arial"/>
        </w:rPr>
        <w:t xml:space="preserve">to provide an update of the 2010 study on “Current Market and Technology Trends in the Broadcasting Sector” (Document SCCR 19/12), focusing on the use of digital technology by cablecasting and broadcasting organizations </w:t>
      </w:r>
      <w:r w:rsidR="009243E6" w:rsidRPr="00FE3869">
        <w:rPr>
          <w:rFonts w:ascii="Arial" w:hAnsi="Arial" w:cs="Arial"/>
        </w:rPr>
        <w:t xml:space="preserve">in the traditional sense </w:t>
      </w:r>
      <w:r w:rsidRPr="00FE3869">
        <w:rPr>
          <w:rFonts w:ascii="Arial" w:hAnsi="Arial" w:cs="Arial"/>
        </w:rPr>
        <w:t>whether public or commercial, including in developing countries, with the aim of presenting the results of the study and providing opportunities for technical discussion at the 29</w:t>
      </w:r>
      <w:r w:rsidR="00FE3869" w:rsidRPr="00FE3869">
        <w:rPr>
          <w:rFonts w:ascii="Arial" w:hAnsi="Arial" w:cs="Arial"/>
        </w:rPr>
        <w:t>th</w:t>
      </w:r>
      <w:r w:rsidRPr="00FE3869">
        <w:rPr>
          <w:rFonts w:ascii="Arial" w:hAnsi="Arial" w:cs="Arial"/>
        </w:rPr>
        <w:t xml:space="preserve"> session of the SCCR. </w:t>
      </w:r>
      <w:bookmarkStart w:id="0" w:name="_GoBack"/>
      <w:bookmarkEnd w:id="0"/>
    </w:p>
    <w:p w:rsidR="00DB3A83" w:rsidRPr="00FE3869" w:rsidRDefault="00DB3A83" w:rsidP="00DB3A83">
      <w:pPr>
        <w:autoSpaceDE w:val="0"/>
        <w:autoSpaceDN w:val="0"/>
        <w:adjustRightInd w:val="0"/>
        <w:spacing w:after="0" w:line="240" w:lineRule="auto"/>
        <w:rPr>
          <w:rFonts w:ascii="Arial" w:hAnsi="Arial" w:cs="Arial"/>
        </w:rPr>
      </w:pPr>
    </w:p>
    <w:p w:rsidR="009404CC" w:rsidRPr="00FE3869" w:rsidRDefault="00FE6DDA" w:rsidP="009404CC">
      <w:pPr>
        <w:autoSpaceDE w:val="0"/>
        <w:autoSpaceDN w:val="0"/>
        <w:adjustRightInd w:val="0"/>
        <w:spacing w:after="0" w:line="240" w:lineRule="auto"/>
        <w:rPr>
          <w:rFonts w:ascii="Arial" w:hAnsi="Arial" w:cs="Arial"/>
        </w:rPr>
      </w:pPr>
      <w:r w:rsidRPr="00FE3869">
        <w:rPr>
          <w:rFonts w:ascii="Arial" w:hAnsi="Arial" w:cs="Arial"/>
        </w:rPr>
        <w:t>5.</w:t>
      </w:r>
      <w:r w:rsidRPr="00FE3869">
        <w:rPr>
          <w:rFonts w:ascii="Arial" w:hAnsi="Arial" w:cs="Arial"/>
        </w:rPr>
        <w:tab/>
        <w:t>This</w:t>
      </w:r>
      <w:r w:rsidR="00DB3A83" w:rsidRPr="00FE3869">
        <w:rPr>
          <w:rFonts w:ascii="Arial" w:hAnsi="Arial" w:cs="Arial"/>
        </w:rPr>
        <w:t xml:space="preserve"> item will be maintained on the agenda </w:t>
      </w:r>
      <w:r w:rsidR="005324EB" w:rsidRPr="00FE3869">
        <w:rPr>
          <w:rFonts w:ascii="Arial" w:hAnsi="Arial" w:cs="Arial"/>
        </w:rPr>
        <w:t>of</w:t>
      </w:r>
      <w:r w:rsidR="00DB3A83" w:rsidRPr="00FE3869">
        <w:rPr>
          <w:rFonts w:ascii="Arial" w:hAnsi="Arial" w:cs="Arial"/>
        </w:rPr>
        <w:t xml:space="preserve"> the twenty-ninth session of the SCCR.</w:t>
      </w:r>
    </w:p>
    <w:p w:rsidR="009404CC" w:rsidRPr="007F409A" w:rsidRDefault="009404CC" w:rsidP="009404CC">
      <w:pPr>
        <w:autoSpaceDE w:val="0"/>
        <w:autoSpaceDN w:val="0"/>
        <w:adjustRightInd w:val="0"/>
        <w:spacing w:after="0" w:line="240" w:lineRule="auto"/>
        <w:rPr>
          <w:rFonts w:ascii="Arial" w:hAnsi="Arial" w:cs="Arial"/>
        </w:rPr>
      </w:pPr>
    </w:p>
    <w:p w:rsidR="009404CC" w:rsidRPr="007F409A" w:rsidRDefault="009404CC" w:rsidP="009404CC">
      <w:pPr>
        <w:autoSpaceDE w:val="0"/>
        <w:autoSpaceDN w:val="0"/>
        <w:adjustRightInd w:val="0"/>
        <w:spacing w:after="0" w:line="240" w:lineRule="auto"/>
        <w:rPr>
          <w:rFonts w:ascii="Arial" w:hAnsi="Arial" w:cs="Arial"/>
        </w:rPr>
      </w:pPr>
      <w:r w:rsidRPr="007F409A">
        <w:rPr>
          <w:rFonts w:ascii="Arial" w:hAnsi="Arial" w:cs="Arial"/>
        </w:rPr>
        <w:t>6.</w:t>
      </w:r>
      <w:r w:rsidRPr="007F409A">
        <w:rPr>
          <w:rFonts w:ascii="Arial" w:hAnsi="Arial" w:cs="Arial"/>
        </w:rPr>
        <w:tab/>
        <w:t>The</w:t>
      </w:r>
      <w:r w:rsidR="00A472C7">
        <w:rPr>
          <w:rFonts w:ascii="Arial" w:hAnsi="Arial" w:cs="Arial"/>
        </w:rPr>
        <w:t xml:space="preserve">re was no agreement </w:t>
      </w:r>
      <w:r w:rsidR="003B0A0F">
        <w:rPr>
          <w:rFonts w:ascii="Arial" w:hAnsi="Arial" w:cs="Arial"/>
        </w:rPr>
        <w:t xml:space="preserve">on </w:t>
      </w:r>
      <w:r w:rsidR="00B5343A" w:rsidRPr="007F409A">
        <w:rPr>
          <w:rFonts w:ascii="Arial" w:hAnsi="Arial" w:cs="Arial"/>
        </w:rPr>
        <w:t>recommendations</w:t>
      </w:r>
      <w:r w:rsidRPr="007F409A">
        <w:rPr>
          <w:rFonts w:ascii="Arial" w:hAnsi="Arial" w:cs="Arial"/>
        </w:rPr>
        <w:t xml:space="preserve"> to the WIPO General Assembly </w:t>
      </w:r>
      <w:r w:rsidR="009243E6">
        <w:rPr>
          <w:rFonts w:ascii="Arial" w:hAnsi="Arial" w:cs="Arial"/>
        </w:rPr>
        <w:t>(WIPO/GA/46)</w:t>
      </w:r>
      <w:r w:rsidR="00A472C7">
        <w:rPr>
          <w:rFonts w:ascii="Arial" w:hAnsi="Arial" w:cs="Arial"/>
        </w:rPr>
        <w:t>.</w:t>
      </w:r>
    </w:p>
    <w:p w:rsidR="00B5343A" w:rsidRPr="007F409A" w:rsidRDefault="00B5343A" w:rsidP="009404CC">
      <w:pPr>
        <w:autoSpaceDE w:val="0"/>
        <w:autoSpaceDN w:val="0"/>
        <w:adjustRightInd w:val="0"/>
        <w:spacing w:after="0" w:line="240" w:lineRule="auto"/>
        <w:rPr>
          <w:rFonts w:ascii="Arial" w:hAnsi="Arial" w:cs="Arial"/>
        </w:rPr>
      </w:pPr>
    </w:p>
    <w:p w:rsidR="00F13F5A" w:rsidRPr="007F409A" w:rsidRDefault="00F13F5A" w:rsidP="00DB3A83">
      <w:pPr>
        <w:autoSpaceDE w:val="0"/>
        <w:autoSpaceDN w:val="0"/>
        <w:adjustRightInd w:val="0"/>
        <w:spacing w:after="0" w:line="240" w:lineRule="auto"/>
        <w:rPr>
          <w:rFonts w:ascii="Arial" w:hAnsi="Arial" w:cs="Arial"/>
        </w:rPr>
      </w:pPr>
    </w:p>
    <w:p w:rsidR="00FE6DDA" w:rsidRPr="00FE6DDA" w:rsidRDefault="00FE6DDA" w:rsidP="00FE6DDA">
      <w:pPr>
        <w:spacing w:after="0" w:line="260" w:lineRule="atLeast"/>
        <w:rPr>
          <w:rFonts w:ascii="Arial" w:eastAsia="Times New Roman" w:hAnsi="Arial" w:cs="Arial"/>
          <w:b/>
        </w:rPr>
      </w:pPr>
      <w:r w:rsidRPr="00FE6DDA">
        <w:rPr>
          <w:rFonts w:ascii="Arial" w:eastAsia="Times New Roman" w:hAnsi="Arial" w:cs="Arial"/>
          <w:b/>
        </w:rPr>
        <w:t>Limitations and exceptions:  libraries and archives</w:t>
      </w:r>
    </w:p>
    <w:p w:rsidR="000A66A4" w:rsidRPr="007F409A" w:rsidRDefault="000A66A4" w:rsidP="000A66A4">
      <w:pPr>
        <w:widowControl w:val="0"/>
        <w:spacing w:after="0" w:line="260" w:lineRule="atLeast"/>
        <w:rPr>
          <w:rFonts w:ascii="Arial" w:hAnsi="Arial" w:cs="Arial"/>
          <w:b/>
        </w:rPr>
      </w:pPr>
    </w:p>
    <w:p w:rsidR="000A66A4" w:rsidRDefault="000918C5" w:rsidP="000A66A4">
      <w:pPr>
        <w:widowControl w:val="0"/>
        <w:spacing w:after="0" w:line="260" w:lineRule="atLeast"/>
        <w:rPr>
          <w:rFonts w:ascii="Arial" w:hAnsi="Arial" w:cs="Arial"/>
        </w:rPr>
      </w:pPr>
      <w:r>
        <w:rPr>
          <w:rFonts w:ascii="Arial" w:hAnsi="Arial" w:cs="Arial"/>
        </w:rPr>
        <w:t>7.</w:t>
      </w:r>
      <w:r w:rsidR="000A66A4" w:rsidRPr="007F409A">
        <w:rPr>
          <w:rFonts w:ascii="Arial" w:hAnsi="Arial" w:cs="Arial"/>
        </w:rPr>
        <w:tab/>
        <w:t xml:space="preserve">Based on the outcome of the 27th session of the SCCR and documents SCCR/26/3 and SCCR/26/8, the Committee </w:t>
      </w:r>
      <w:r w:rsidR="00BC5139">
        <w:rPr>
          <w:rFonts w:ascii="Arial" w:hAnsi="Arial" w:cs="Arial"/>
        </w:rPr>
        <w:t xml:space="preserve">continued discussion to work </w:t>
      </w:r>
      <w:r w:rsidR="00612AE0" w:rsidRPr="007F409A">
        <w:rPr>
          <w:rFonts w:ascii="Arial" w:hAnsi="Arial" w:cs="Arial"/>
        </w:rPr>
        <w:t>towards an appropriate international legal instrument or instruments (whether model law, joint recommendation, treaty and/or other forms)</w:t>
      </w:r>
      <w:r w:rsidR="003B0A0F">
        <w:rPr>
          <w:rFonts w:ascii="Arial" w:hAnsi="Arial" w:cs="Arial"/>
        </w:rPr>
        <w:t xml:space="preserve"> in relation to limitations and exceptions for libraries and archives</w:t>
      </w:r>
      <w:r w:rsidR="00612AE0">
        <w:rPr>
          <w:rFonts w:ascii="Arial" w:hAnsi="Arial" w:cs="Arial"/>
        </w:rPr>
        <w:t xml:space="preserve">.  The discussions focused </w:t>
      </w:r>
      <w:r w:rsidR="000A66A4" w:rsidRPr="007F409A">
        <w:rPr>
          <w:rFonts w:ascii="Arial" w:hAnsi="Arial" w:cs="Arial"/>
        </w:rPr>
        <w:t>on general subjects</w:t>
      </w:r>
      <w:r w:rsidR="003B0A0F">
        <w:rPr>
          <w:rFonts w:ascii="Arial" w:hAnsi="Arial" w:cs="Arial"/>
        </w:rPr>
        <w:t xml:space="preserve"> related to such limitations and exceptions</w:t>
      </w:r>
      <w:r w:rsidR="000A66A4" w:rsidRPr="007F409A">
        <w:rPr>
          <w:rFonts w:ascii="Arial" w:hAnsi="Arial" w:cs="Arial"/>
        </w:rPr>
        <w:t>, namely adoption of national exceptions, support for research and human development, and exceptions and limitations in a digital environment;  as well as on specific subjects related to the 11 topics identified in previous SCCR session</w:t>
      </w:r>
      <w:r w:rsidR="00381A33" w:rsidRPr="007F409A">
        <w:rPr>
          <w:rFonts w:ascii="Arial" w:hAnsi="Arial" w:cs="Arial"/>
        </w:rPr>
        <w:t>s, namely preservation, right of reproduction</w:t>
      </w:r>
      <w:r w:rsidR="00DB6CFB">
        <w:rPr>
          <w:rFonts w:ascii="Arial" w:hAnsi="Arial" w:cs="Arial"/>
        </w:rPr>
        <w:t xml:space="preserve"> and safeguarding copies, and legal deposit.</w:t>
      </w:r>
    </w:p>
    <w:p w:rsidR="00FA5FB6" w:rsidRPr="007F409A" w:rsidRDefault="00FA5FB6" w:rsidP="000A66A4">
      <w:pPr>
        <w:widowControl w:val="0"/>
        <w:spacing w:after="0" w:line="260" w:lineRule="atLeast"/>
        <w:rPr>
          <w:rFonts w:ascii="Arial" w:hAnsi="Arial" w:cs="Arial"/>
        </w:rPr>
      </w:pPr>
    </w:p>
    <w:p w:rsidR="000A66A4" w:rsidRPr="007F409A" w:rsidRDefault="000A66A4" w:rsidP="000A66A4">
      <w:pPr>
        <w:widowControl w:val="0"/>
        <w:spacing w:after="0" w:line="260" w:lineRule="atLeast"/>
        <w:rPr>
          <w:rFonts w:ascii="Arial" w:hAnsi="Arial" w:cs="Arial"/>
        </w:rPr>
      </w:pPr>
    </w:p>
    <w:p w:rsidR="000A66A4" w:rsidRDefault="000918C5" w:rsidP="000A66A4">
      <w:pPr>
        <w:widowControl w:val="0"/>
        <w:spacing w:after="0" w:line="260" w:lineRule="atLeast"/>
        <w:rPr>
          <w:rFonts w:ascii="Arial" w:hAnsi="Arial" w:cs="Arial"/>
        </w:rPr>
      </w:pPr>
      <w:r>
        <w:rPr>
          <w:rFonts w:ascii="Arial" w:hAnsi="Arial" w:cs="Arial"/>
        </w:rPr>
        <w:lastRenderedPageBreak/>
        <w:t>8.</w:t>
      </w:r>
      <w:r w:rsidR="000A66A4" w:rsidRPr="007F409A">
        <w:rPr>
          <w:rFonts w:ascii="Arial" w:hAnsi="Arial" w:cs="Arial"/>
        </w:rPr>
        <w:tab/>
        <w:t>Reference was also made by delegations to general and specific subjects from other general principles when they were understood as such.</w:t>
      </w:r>
    </w:p>
    <w:p w:rsidR="00612AE0" w:rsidRDefault="00612AE0" w:rsidP="000A66A4">
      <w:pPr>
        <w:widowControl w:val="0"/>
        <w:spacing w:after="0" w:line="260" w:lineRule="atLeast"/>
        <w:rPr>
          <w:rFonts w:ascii="Arial" w:hAnsi="Arial" w:cs="Arial"/>
        </w:rPr>
      </w:pPr>
    </w:p>
    <w:p w:rsidR="00612AE0" w:rsidRPr="007F409A" w:rsidRDefault="00612AE0" w:rsidP="000A66A4">
      <w:pPr>
        <w:widowControl w:val="0"/>
        <w:spacing w:after="0" w:line="260" w:lineRule="atLeast"/>
        <w:rPr>
          <w:rFonts w:ascii="Arial" w:hAnsi="Arial" w:cs="Arial"/>
        </w:rPr>
      </w:pPr>
      <w:r>
        <w:rPr>
          <w:rFonts w:ascii="Arial" w:hAnsi="Arial" w:cs="Arial"/>
        </w:rPr>
        <w:t>9.</w:t>
      </w:r>
      <w:r>
        <w:rPr>
          <w:rFonts w:ascii="Arial" w:hAnsi="Arial" w:cs="Arial"/>
        </w:rPr>
        <w:tab/>
        <w:t xml:space="preserve">Proponents of certain text proposals in document SCCR/26/3 announced </w:t>
      </w:r>
      <w:r w:rsidR="00BC5139">
        <w:rPr>
          <w:rFonts w:ascii="Arial" w:hAnsi="Arial" w:cs="Arial"/>
        </w:rPr>
        <w:t xml:space="preserve">that they had prepared and submitted </w:t>
      </w:r>
      <w:r>
        <w:rPr>
          <w:rFonts w:ascii="Arial" w:hAnsi="Arial" w:cs="Arial"/>
        </w:rPr>
        <w:t xml:space="preserve">consolidated versions </w:t>
      </w:r>
      <w:r w:rsidR="00BC5139">
        <w:rPr>
          <w:rFonts w:ascii="Arial" w:hAnsi="Arial" w:cs="Arial"/>
        </w:rPr>
        <w:t>as substitutes for the previous versions of those text proposals</w:t>
      </w:r>
      <w:r>
        <w:rPr>
          <w:rFonts w:ascii="Arial" w:hAnsi="Arial" w:cs="Arial"/>
        </w:rPr>
        <w:t>.</w:t>
      </w:r>
    </w:p>
    <w:p w:rsidR="000A66A4" w:rsidRPr="007F409A" w:rsidRDefault="000A66A4" w:rsidP="000A66A4">
      <w:pPr>
        <w:widowControl w:val="0"/>
        <w:spacing w:after="0" w:line="260" w:lineRule="atLeast"/>
        <w:rPr>
          <w:rFonts w:ascii="Arial" w:hAnsi="Arial" w:cs="Arial"/>
        </w:rPr>
      </w:pPr>
    </w:p>
    <w:p w:rsidR="000A66A4" w:rsidRPr="007F409A" w:rsidRDefault="00FA5FB6" w:rsidP="000A66A4">
      <w:pPr>
        <w:widowControl w:val="0"/>
        <w:spacing w:after="0" w:line="260" w:lineRule="atLeast"/>
        <w:rPr>
          <w:rFonts w:ascii="Arial" w:hAnsi="Arial" w:cs="Arial"/>
        </w:rPr>
      </w:pPr>
      <w:r>
        <w:rPr>
          <w:rFonts w:ascii="Arial" w:hAnsi="Arial" w:cs="Arial"/>
        </w:rPr>
        <w:t>10</w:t>
      </w:r>
      <w:r w:rsidR="000918C5">
        <w:rPr>
          <w:rFonts w:ascii="Arial" w:hAnsi="Arial" w:cs="Arial"/>
        </w:rPr>
        <w:t>.</w:t>
      </w:r>
      <w:r w:rsidR="000A66A4" w:rsidRPr="007F409A">
        <w:rPr>
          <w:rFonts w:ascii="Arial" w:hAnsi="Arial" w:cs="Arial"/>
        </w:rPr>
        <w:tab/>
        <w:t xml:space="preserve">The discussions contributed to improve the understanding on the </w:t>
      </w:r>
      <w:r w:rsidR="00BC5139">
        <w:rPr>
          <w:rFonts w:ascii="Arial" w:hAnsi="Arial" w:cs="Arial"/>
        </w:rPr>
        <w:t>need for limitations and exceptions for</w:t>
      </w:r>
      <w:r w:rsidR="000A66A4" w:rsidRPr="007F409A">
        <w:rPr>
          <w:rFonts w:ascii="Arial" w:hAnsi="Arial" w:cs="Arial"/>
        </w:rPr>
        <w:t xml:space="preserve"> libraries and archives, in particular in the digital environment.</w:t>
      </w:r>
    </w:p>
    <w:p w:rsidR="00931553" w:rsidRDefault="00931553" w:rsidP="000A66A4">
      <w:pPr>
        <w:widowControl w:val="0"/>
        <w:autoSpaceDE w:val="0"/>
        <w:autoSpaceDN w:val="0"/>
        <w:adjustRightInd w:val="0"/>
        <w:spacing w:after="0" w:line="240" w:lineRule="auto"/>
        <w:rPr>
          <w:rFonts w:ascii="Arial" w:hAnsi="Arial" w:cs="Arial"/>
        </w:rPr>
      </w:pPr>
    </w:p>
    <w:p w:rsidR="000A66A4" w:rsidRPr="007F409A" w:rsidRDefault="00EC4225" w:rsidP="000A66A4">
      <w:pPr>
        <w:widowControl w:val="0"/>
        <w:autoSpaceDE w:val="0"/>
        <w:autoSpaceDN w:val="0"/>
        <w:adjustRightInd w:val="0"/>
        <w:spacing w:after="0" w:line="240" w:lineRule="auto"/>
        <w:rPr>
          <w:rFonts w:ascii="Arial" w:hAnsi="Arial" w:cs="Arial"/>
        </w:rPr>
      </w:pPr>
      <w:r>
        <w:rPr>
          <w:rFonts w:ascii="Arial" w:hAnsi="Arial" w:cs="Arial"/>
        </w:rPr>
        <w:t>1</w:t>
      </w:r>
      <w:r w:rsidR="00FA5FB6">
        <w:rPr>
          <w:rFonts w:ascii="Arial" w:hAnsi="Arial" w:cs="Arial"/>
        </w:rPr>
        <w:t>1</w:t>
      </w:r>
      <w:r w:rsidR="000918C5">
        <w:rPr>
          <w:rFonts w:ascii="Arial" w:hAnsi="Arial" w:cs="Arial"/>
        </w:rPr>
        <w:t>.</w:t>
      </w:r>
      <w:r w:rsidR="00381A33" w:rsidRPr="007F409A">
        <w:rPr>
          <w:rFonts w:ascii="Arial" w:hAnsi="Arial" w:cs="Arial"/>
        </w:rPr>
        <w:tab/>
        <w:t>This</w:t>
      </w:r>
      <w:r w:rsidR="000A66A4" w:rsidRPr="007F409A">
        <w:rPr>
          <w:rFonts w:ascii="Arial" w:hAnsi="Arial" w:cs="Arial"/>
        </w:rPr>
        <w:t xml:space="preserve"> item wil</w:t>
      </w:r>
      <w:r w:rsidR="00381A33" w:rsidRPr="007F409A">
        <w:rPr>
          <w:rFonts w:ascii="Arial" w:hAnsi="Arial" w:cs="Arial"/>
        </w:rPr>
        <w:t>l</w:t>
      </w:r>
      <w:r w:rsidR="005324EB">
        <w:rPr>
          <w:rFonts w:ascii="Arial" w:hAnsi="Arial" w:cs="Arial"/>
        </w:rPr>
        <w:t xml:space="preserve"> be maintained on the agenda of</w:t>
      </w:r>
      <w:r w:rsidR="000A66A4" w:rsidRPr="007F409A">
        <w:rPr>
          <w:rFonts w:ascii="Arial" w:hAnsi="Arial" w:cs="Arial"/>
        </w:rPr>
        <w:t xml:space="preserve"> the 29th session of the SCCR.</w:t>
      </w:r>
    </w:p>
    <w:p w:rsidR="00FE6DDA" w:rsidRPr="007F409A" w:rsidRDefault="00FE6DDA" w:rsidP="000A66A4">
      <w:pPr>
        <w:widowControl w:val="0"/>
        <w:autoSpaceDE w:val="0"/>
        <w:autoSpaceDN w:val="0"/>
        <w:adjustRightInd w:val="0"/>
        <w:spacing w:after="0" w:line="240" w:lineRule="auto"/>
        <w:rPr>
          <w:rFonts w:ascii="Arial" w:hAnsi="Arial" w:cs="Arial"/>
        </w:rPr>
      </w:pPr>
    </w:p>
    <w:p w:rsidR="00F13F5A" w:rsidRPr="007F409A" w:rsidRDefault="00EC4225" w:rsidP="00F13F5A">
      <w:pPr>
        <w:widowControl w:val="0"/>
        <w:spacing w:after="0"/>
        <w:rPr>
          <w:rFonts w:ascii="Arial" w:hAnsi="Arial" w:cs="Arial"/>
        </w:rPr>
      </w:pPr>
      <w:r>
        <w:rPr>
          <w:rFonts w:ascii="Arial" w:hAnsi="Arial" w:cs="Arial"/>
        </w:rPr>
        <w:t>1</w:t>
      </w:r>
      <w:r w:rsidR="00FA5FB6">
        <w:rPr>
          <w:rFonts w:ascii="Arial" w:hAnsi="Arial" w:cs="Arial"/>
        </w:rPr>
        <w:t>2</w:t>
      </w:r>
      <w:r w:rsidR="00B5343A" w:rsidRPr="007F409A">
        <w:rPr>
          <w:rFonts w:ascii="Arial" w:hAnsi="Arial" w:cs="Arial"/>
        </w:rPr>
        <w:t>.</w:t>
      </w:r>
      <w:r w:rsidR="00B5343A" w:rsidRPr="007F409A">
        <w:rPr>
          <w:rFonts w:ascii="Arial" w:hAnsi="Arial" w:cs="Arial"/>
        </w:rPr>
        <w:tab/>
        <w:t>The</w:t>
      </w:r>
      <w:r w:rsidR="00A472C7">
        <w:rPr>
          <w:rFonts w:ascii="Arial" w:hAnsi="Arial" w:cs="Arial"/>
        </w:rPr>
        <w:t>re was no agreement on</w:t>
      </w:r>
      <w:r w:rsidR="00B5343A" w:rsidRPr="007F409A">
        <w:rPr>
          <w:rFonts w:ascii="Arial" w:hAnsi="Arial" w:cs="Arial"/>
        </w:rPr>
        <w:t xml:space="preserve"> </w:t>
      </w:r>
      <w:r w:rsidR="00F13F5A" w:rsidRPr="007F409A">
        <w:rPr>
          <w:rFonts w:ascii="Arial" w:hAnsi="Arial" w:cs="Arial"/>
        </w:rPr>
        <w:t>recommend</w:t>
      </w:r>
      <w:r w:rsidR="00B5343A" w:rsidRPr="007F409A">
        <w:rPr>
          <w:rFonts w:ascii="Arial" w:hAnsi="Arial" w:cs="Arial"/>
        </w:rPr>
        <w:t>ations</w:t>
      </w:r>
      <w:r w:rsidR="00F13F5A" w:rsidRPr="007F409A">
        <w:rPr>
          <w:rFonts w:ascii="Arial" w:hAnsi="Arial" w:cs="Arial"/>
        </w:rPr>
        <w:t xml:space="preserve"> to the WIPO General Assembly</w:t>
      </w:r>
      <w:r w:rsidR="00B5343A" w:rsidRPr="007F409A">
        <w:rPr>
          <w:rFonts w:ascii="Arial" w:hAnsi="Arial" w:cs="Arial"/>
        </w:rPr>
        <w:t xml:space="preserve"> (WIPO/GA/46)</w:t>
      </w:r>
      <w:r w:rsidR="00A472C7">
        <w:rPr>
          <w:rFonts w:ascii="Arial" w:hAnsi="Arial" w:cs="Arial"/>
        </w:rPr>
        <w:t>.</w:t>
      </w:r>
    </w:p>
    <w:p w:rsidR="00B711A6" w:rsidRDefault="00B711A6" w:rsidP="00B711A6">
      <w:pPr>
        <w:pStyle w:val="ListParagraph"/>
        <w:rPr>
          <w:rFonts w:ascii="Arial" w:hAnsi="Arial" w:cs="Arial"/>
        </w:rPr>
      </w:pPr>
    </w:p>
    <w:p w:rsidR="00B711A6" w:rsidRPr="007F409A" w:rsidRDefault="00B711A6" w:rsidP="00B711A6">
      <w:pPr>
        <w:spacing w:after="0" w:line="260" w:lineRule="atLeast"/>
        <w:rPr>
          <w:rFonts w:ascii="Arial" w:eastAsia="Times New Roman" w:hAnsi="Arial" w:cs="Arial"/>
          <w:b/>
        </w:rPr>
      </w:pPr>
      <w:r w:rsidRPr="00FE6DDA">
        <w:rPr>
          <w:rFonts w:ascii="Arial" w:eastAsia="Times New Roman" w:hAnsi="Arial" w:cs="Arial"/>
          <w:b/>
        </w:rPr>
        <w:t>Limitations and Exceptions:  educational and research institutions and persons with other disabilities</w:t>
      </w:r>
    </w:p>
    <w:p w:rsidR="00B711A6" w:rsidRPr="007F409A" w:rsidRDefault="00B711A6" w:rsidP="00B711A6">
      <w:pPr>
        <w:spacing w:after="0" w:line="260" w:lineRule="atLeast"/>
        <w:rPr>
          <w:rFonts w:ascii="Arial" w:eastAsia="Times New Roman" w:hAnsi="Arial" w:cs="Arial"/>
          <w:b/>
        </w:rPr>
      </w:pPr>
    </w:p>
    <w:p w:rsidR="00B711A6" w:rsidRPr="007F409A" w:rsidRDefault="00B711A6" w:rsidP="00B711A6">
      <w:pPr>
        <w:spacing w:line="260" w:lineRule="atLeast"/>
        <w:rPr>
          <w:rFonts w:ascii="Arial" w:hAnsi="Arial" w:cs="Arial"/>
        </w:rPr>
      </w:pPr>
      <w:r>
        <w:rPr>
          <w:rFonts w:ascii="Arial" w:hAnsi="Arial" w:cs="Arial"/>
        </w:rPr>
        <w:t>1</w:t>
      </w:r>
      <w:r w:rsidR="00FA5FB6">
        <w:rPr>
          <w:rFonts w:ascii="Arial" w:hAnsi="Arial" w:cs="Arial"/>
        </w:rPr>
        <w:t>3</w:t>
      </w:r>
      <w:r>
        <w:rPr>
          <w:rFonts w:ascii="Arial" w:hAnsi="Arial" w:cs="Arial"/>
        </w:rPr>
        <w:t>.</w:t>
      </w:r>
      <w:r w:rsidRPr="007F409A">
        <w:rPr>
          <w:rFonts w:ascii="Arial" w:hAnsi="Arial" w:cs="Arial"/>
        </w:rPr>
        <w:tab/>
        <w:t xml:space="preserve">Based on the outcome of the 27th session of the SCCR and documents SCCR/26/4 and SCCR/27/8, the Committee </w:t>
      </w:r>
      <w:r w:rsidR="00BC5139">
        <w:rPr>
          <w:rFonts w:ascii="Arial" w:hAnsi="Arial" w:cs="Arial"/>
        </w:rPr>
        <w:t>exchanged views</w:t>
      </w:r>
      <w:r w:rsidRPr="007F409A">
        <w:rPr>
          <w:rFonts w:ascii="Arial" w:hAnsi="Arial" w:cs="Arial"/>
        </w:rPr>
        <w:t xml:space="preserve"> on limitations and exceptions for educational and research institutions and for persons with other disabilities</w:t>
      </w:r>
      <w:r w:rsidR="00612AE0">
        <w:rPr>
          <w:rFonts w:ascii="Arial" w:hAnsi="Arial" w:cs="Arial"/>
        </w:rPr>
        <w:t>, and reiterated the importance of these subjects</w:t>
      </w:r>
      <w:r w:rsidRPr="007F409A">
        <w:rPr>
          <w:rFonts w:ascii="Arial" w:hAnsi="Arial" w:cs="Arial"/>
        </w:rPr>
        <w:t>.</w:t>
      </w:r>
    </w:p>
    <w:p w:rsidR="00B711A6" w:rsidRPr="007F409A" w:rsidRDefault="00B711A6" w:rsidP="00B711A6">
      <w:pPr>
        <w:widowControl w:val="0"/>
        <w:autoSpaceDE w:val="0"/>
        <w:autoSpaceDN w:val="0"/>
        <w:adjustRightInd w:val="0"/>
        <w:spacing w:after="0" w:line="240" w:lineRule="auto"/>
        <w:rPr>
          <w:rFonts w:ascii="Arial" w:hAnsi="Arial" w:cs="Arial"/>
        </w:rPr>
      </w:pPr>
      <w:r>
        <w:rPr>
          <w:rFonts w:ascii="Arial" w:hAnsi="Arial" w:cs="Arial"/>
        </w:rPr>
        <w:t>1</w:t>
      </w:r>
      <w:r w:rsidR="00FA5FB6">
        <w:rPr>
          <w:rFonts w:ascii="Arial" w:hAnsi="Arial" w:cs="Arial"/>
        </w:rPr>
        <w:t>4</w:t>
      </w:r>
      <w:r>
        <w:rPr>
          <w:rFonts w:ascii="Arial" w:hAnsi="Arial" w:cs="Arial"/>
        </w:rPr>
        <w:t>.</w:t>
      </w:r>
      <w:r w:rsidRPr="007F409A">
        <w:rPr>
          <w:rFonts w:ascii="Arial" w:hAnsi="Arial" w:cs="Arial"/>
        </w:rPr>
        <w:tab/>
        <w:t>This item will be maintained on the agend</w:t>
      </w:r>
      <w:r>
        <w:rPr>
          <w:rFonts w:ascii="Arial" w:hAnsi="Arial" w:cs="Arial"/>
        </w:rPr>
        <w:t>a of</w:t>
      </w:r>
      <w:r w:rsidRPr="007F409A">
        <w:rPr>
          <w:rFonts w:ascii="Arial" w:hAnsi="Arial" w:cs="Arial"/>
        </w:rPr>
        <w:t xml:space="preserve"> the 29th session of the SCCR.</w:t>
      </w:r>
    </w:p>
    <w:p w:rsidR="00B711A6" w:rsidRPr="007F409A" w:rsidRDefault="00B711A6" w:rsidP="00B711A6">
      <w:pPr>
        <w:widowControl w:val="0"/>
        <w:autoSpaceDE w:val="0"/>
        <w:autoSpaceDN w:val="0"/>
        <w:adjustRightInd w:val="0"/>
        <w:spacing w:after="0" w:line="240" w:lineRule="auto"/>
        <w:rPr>
          <w:rFonts w:ascii="Arial" w:hAnsi="Arial" w:cs="Arial"/>
        </w:rPr>
      </w:pPr>
    </w:p>
    <w:p w:rsidR="00B711A6" w:rsidRPr="007F409A" w:rsidRDefault="00B711A6" w:rsidP="00B711A6">
      <w:pPr>
        <w:spacing w:after="0" w:line="260" w:lineRule="atLeast"/>
        <w:rPr>
          <w:rFonts w:ascii="Arial" w:eastAsia="Times New Roman" w:hAnsi="Arial" w:cs="Arial"/>
          <w:b/>
        </w:rPr>
      </w:pPr>
    </w:p>
    <w:p w:rsidR="00B711A6" w:rsidRPr="007F409A" w:rsidRDefault="00B711A6" w:rsidP="00B711A6">
      <w:pPr>
        <w:spacing w:after="0" w:line="260" w:lineRule="atLeast"/>
        <w:rPr>
          <w:rFonts w:ascii="Arial" w:hAnsi="Arial" w:cs="Arial"/>
          <w:b/>
        </w:rPr>
      </w:pPr>
      <w:r w:rsidRPr="007F409A">
        <w:rPr>
          <w:rFonts w:ascii="Arial" w:hAnsi="Arial" w:cs="Arial"/>
          <w:b/>
        </w:rPr>
        <w:t>Contribution of the SCCR to the implementation of the respective Development Agenda recommendations</w:t>
      </w:r>
    </w:p>
    <w:p w:rsidR="00B711A6" w:rsidRPr="00FE6DDA" w:rsidRDefault="00B711A6" w:rsidP="00B711A6">
      <w:pPr>
        <w:spacing w:after="0" w:line="260" w:lineRule="atLeast"/>
        <w:rPr>
          <w:rFonts w:ascii="Arial" w:eastAsia="Times New Roman" w:hAnsi="Arial" w:cs="Arial"/>
          <w:b/>
        </w:rPr>
      </w:pPr>
    </w:p>
    <w:p w:rsidR="00B711A6" w:rsidRDefault="00B711A6" w:rsidP="00B711A6">
      <w:pPr>
        <w:widowControl w:val="0"/>
        <w:autoSpaceDE w:val="0"/>
        <w:autoSpaceDN w:val="0"/>
        <w:adjustRightInd w:val="0"/>
        <w:spacing w:after="0" w:line="240" w:lineRule="auto"/>
        <w:rPr>
          <w:rFonts w:ascii="Arial" w:hAnsi="Arial" w:cs="Arial"/>
        </w:rPr>
      </w:pPr>
      <w:r>
        <w:rPr>
          <w:rFonts w:ascii="Arial" w:hAnsi="Arial" w:cs="Arial"/>
        </w:rPr>
        <w:t>1</w:t>
      </w:r>
      <w:r w:rsidR="00FA5FB6">
        <w:rPr>
          <w:rFonts w:ascii="Arial" w:hAnsi="Arial" w:cs="Arial"/>
        </w:rPr>
        <w:t>5</w:t>
      </w:r>
      <w:r>
        <w:rPr>
          <w:rFonts w:ascii="Arial" w:hAnsi="Arial" w:cs="Arial"/>
        </w:rPr>
        <w:t>.</w:t>
      </w:r>
      <w:r>
        <w:rPr>
          <w:rFonts w:ascii="Arial" w:hAnsi="Arial" w:cs="Arial"/>
        </w:rPr>
        <w:tab/>
      </w:r>
      <w:r w:rsidR="00A472C7">
        <w:rPr>
          <w:rFonts w:ascii="Arial" w:hAnsi="Arial" w:cs="Arial"/>
        </w:rPr>
        <w:t xml:space="preserve">Several delegations made statements regarding this agenda item.  </w:t>
      </w:r>
      <w:r w:rsidRPr="007F409A">
        <w:rPr>
          <w:rFonts w:ascii="Arial" w:hAnsi="Arial" w:cs="Arial"/>
        </w:rPr>
        <w:t xml:space="preserve">The Chair stated that all statements </w:t>
      </w:r>
      <w:r w:rsidR="0061259F">
        <w:rPr>
          <w:rFonts w:ascii="Arial" w:hAnsi="Arial" w:cs="Arial"/>
        </w:rPr>
        <w:t xml:space="preserve">including those </w:t>
      </w:r>
      <w:r w:rsidR="00862900">
        <w:rPr>
          <w:rFonts w:ascii="Arial" w:hAnsi="Arial" w:cs="Arial"/>
        </w:rPr>
        <w:t>submitted to the Secretariat in writing by July 11, 2014</w:t>
      </w:r>
      <w:r w:rsidRPr="007F409A">
        <w:rPr>
          <w:rFonts w:ascii="Arial" w:hAnsi="Arial" w:cs="Arial"/>
        </w:rPr>
        <w:t xml:space="preserve"> in relation to </w:t>
      </w:r>
      <w:r w:rsidR="00FA5FB6">
        <w:rPr>
          <w:rFonts w:ascii="Arial" w:hAnsi="Arial" w:cs="Arial"/>
        </w:rPr>
        <w:t>the c</w:t>
      </w:r>
      <w:r w:rsidRPr="007F409A">
        <w:rPr>
          <w:rFonts w:ascii="Arial" w:hAnsi="Arial" w:cs="Arial"/>
        </w:rPr>
        <w:t xml:space="preserve">ontribution of the SCCR to the implementation of the respective Development Agenda recommendations would be </w:t>
      </w:r>
      <w:r w:rsidR="008E116F">
        <w:rPr>
          <w:rFonts w:ascii="Arial" w:hAnsi="Arial" w:cs="Arial"/>
        </w:rPr>
        <w:t>recorded in the report of the 28</w:t>
      </w:r>
      <w:r w:rsidRPr="007F409A">
        <w:rPr>
          <w:rFonts w:ascii="Arial" w:hAnsi="Arial" w:cs="Arial"/>
        </w:rPr>
        <w:t>th session of the SCCR and would be transmitted to the WIPO General Assembly in line with the decision taken by the WIPO General Assembly related to the Development Agen</w:t>
      </w:r>
      <w:r>
        <w:rPr>
          <w:rFonts w:ascii="Arial" w:hAnsi="Arial" w:cs="Arial"/>
        </w:rPr>
        <w:t>da Coordination Mechanism.</w:t>
      </w:r>
    </w:p>
    <w:p w:rsidR="00B711A6" w:rsidRPr="007F409A" w:rsidRDefault="00B711A6" w:rsidP="00B711A6">
      <w:pPr>
        <w:widowControl w:val="0"/>
        <w:autoSpaceDE w:val="0"/>
        <w:autoSpaceDN w:val="0"/>
        <w:adjustRightInd w:val="0"/>
        <w:spacing w:after="0" w:line="240" w:lineRule="auto"/>
        <w:rPr>
          <w:rFonts w:ascii="Arial" w:hAnsi="Arial" w:cs="Arial"/>
        </w:rPr>
      </w:pPr>
    </w:p>
    <w:p w:rsidR="009404CC" w:rsidRPr="007F409A" w:rsidRDefault="009404CC" w:rsidP="000A66A4">
      <w:pPr>
        <w:widowControl w:val="0"/>
        <w:autoSpaceDE w:val="0"/>
        <w:autoSpaceDN w:val="0"/>
        <w:adjustRightInd w:val="0"/>
        <w:spacing w:after="0" w:line="240" w:lineRule="auto"/>
        <w:rPr>
          <w:rFonts w:ascii="Arial" w:hAnsi="Arial" w:cs="Arial"/>
        </w:rPr>
      </w:pPr>
    </w:p>
    <w:p w:rsidR="00FE6DDA" w:rsidRDefault="00FE6DDA" w:rsidP="00FE6DDA">
      <w:pPr>
        <w:keepNext/>
        <w:keepLines/>
        <w:spacing w:after="0" w:line="260" w:lineRule="atLeast"/>
        <w:rPr>
          <w:rFonts w:ascii="Arial" w:eastAsia="Times New Roman" w:hAnsi="Arial" w:cs="Arial"/>
          <w:b/>
        </w:rPr>
      </w:pPr>
      <w:r w:rsidRPr="00FE6DDA">
        <w:rPr>
          <w:rFonts w:ascii="Arial" w:eastAsia="Times New Roman" w:hAnsi="Arial" w:cs="Arial"/>
          <w:b/>
        </w:rPr>
        <w:t xml:space="preserve">Next </w:t>
      </w:r>
      <w:r w:rsidR="007F409A">
        <w:rPr>
          <w:rFonts w:ascii="Arial" w:eastAsia="Times New Roman" w:hAnsi="Arial" w:cs="Arial"/>
          <w:b/>
        </w:rPr>
        <w:t>s</w:t>
      </w:r>
      <w:r w:rsidRPr="00FE6DDA">
        <w:rPr>
          <w:rFonts w:ascii="Arial" w:eastAsia="Times New Roman" w:hAnsi="Arial" w:cs="Arial"/>
          <w:b/>
        </w:rPr>
        <w:t>ession of the SCCR</w:t>
      </w:r>
    </w:p>
    <w:p w:rsidR="007F409A" w:rsidRDefault="007F409A" w:rsidP="00FE6DDA">
      <w:pPr>
        <w:keepNext/>
        <w:keepLines/>
        <w:spacing w:after="0" w:line="260" w:lineRule="atLeast"/>
        <w:rPr>
          <w:rFonts w:ascii="Arial" w:eastAsia="Times New Roman" w:hAnsi="Arial" w:cs="Arial"/>
          <w:b/>
        </w:rPr>
      </w:pPr>
    </w:p>
    <w:p w:rsidR="007F409A" w:rsidRPr="007F409A" w:rsidRDefault="00B711A6" w:rsidP="007F409A">
      <w:pPr>
        <w:spacing w:line="260" w:lineRule="atLeast"/>
        <w:rPr>
          <w:rFonts w:ascii="Arial" w:hAnsi="Arial" w:cs="Arial"/>
        </w:rPr>
      </w:pPr>
      <w:r>
        <w:rPr>
          <w:rFonts w:ascii="Arial" w:eastAsia="Times New Roman" w:hAnsi="Arial" w:cs="Arial"/>
        </w:rPr>
        <w:t>1</w:t>
      </w:r>
      <w:r w:rsidR="00FA5FB6">
        <w:rPr>
          <w:rFonts w:ascii="Arial" w:eastAsia="Times New Roman" w:hAnsi="Arial" w:cs="Arial"/>
        </w:rPr>
        <w:t>6</w:t>
      </w:r>
      <w:r w:rsidR="000918C5">
        <w:rPr>
          <w:rFonts w:ascii="Arial" w:eastAsia="Times New Roman" w:hAnsi="Arial" w:cs="Arial"/>
        </w:rPr>
        <w:t>.</w:t>
      </w:r>
      <w:r w:rsidR="007F409A" w:rsidRPr="00FE6DDA">
        <w:rPr>
          <w:rFonts w:ascii="Arial" w:eastAsia="Times New Roman" w:hAnsi="Arial" w:cs="Arial"/>
        </w:rPr>
        <w:tab/>
      </w:r>
      <w:r w:rsidR="007F409A" w:rsidRPr="007F409A">
        <w:rPr>
          <w:rFonts w:ascii="Arial" w:hAnsi="Arial" w:cs="Arial"/>
        </w:rPr>
        <w:t>The 29th session of the SCCR will</w:t>
      </w:r>
      <w:r w:rsidR="005324EB">
        <w:rPr>
          <w:rFonts w:ascii="Arial" w:hAnsi="Arial" w:cs="Arial"/>
        </w:rPr>
        <w:t xml:space="preserve"> take place from December 8 - 12</w:t>
      </w:r>
      <w:r w:rsidR="007F409A" w:rsidRPr="007F409A">
        <w:rPr>
          <w:rFonts w:ascii="Arial" w:hAnsi="Arial" w:cs="Arial"/>
        </w:rPr>
        <w:t xml:space="preserve">, 2014.  </w:t>
      </w:r>
    </w:p>
    <w:p w:rsidR="00FE6DDA" w:rsidRPr="007F409A" w:rsidRDefault="00B711A6" w:rsidP="00FE6DDA">
      <w:pPr>
        <w:keepNext/>
        <w:keepLines/>
        <w:spacing w:after="0" w:line="240" w:lineRule="auto"/>
        <w:rPr>
          <w:rFonts w:ascii="Arial" w:eastAsia="Times New Roman" w:hAnsi="Arial" w:cs="Arial"/>
        </w:rPr>
      </w:pPr>
      <w:r>
        <w:rPr>
          <w:rFonts w:ascii="Arial" w:eastAsia="Times New Roman" w:hAnsi="Arial" w:cs="Arial"/>
        </w:rPr>
        <w:t>1</w:t>
      </w:r>
      <w:r w:rsidR="00FA5FB6">
        <w:rPr>
          <w:rFonts w:ascii="Arial" w:eastAsia="Times New Roman" w:hAnsi="Arial" w:cs="Arial"/>
        </w:rPr>
        <w:t>7</w:t>
      </w:r>
      <w:r w:rsidR="000918C5">
        <w:rPr>
          <w:rFonts w:ascii="Arial" w:eastAsia="Times New Roman" w:hAnsi="Arial" w:cs="Arial"/>
        </w:rPr>
        <w:t>.</w:t>
      </w:r>
      <w:r w:rsidR="00FE6DDA" w:rsidRPr="00FE6DDA">
        <w:rPr>
          <w:rFonts w:ascii="Arial" w:eastAsia="Times New Roman" w:hAnsi="Arial" w:cs="Arial"/>
        </w:rPr>
        <w:tab/>
      </w:r>
      <w:r w:rsidR="00A472C7">
        <w:rPr>
          <w:rFonts w:ascii="Arial" w:eastAsia="Times New Roman" w:hAnsi="Arial" w:cs="Arial"/>
        </w:rPr>
        <w:t xml:space="preserve">Chair’s proposal for future work:  </w:t>
      </w:r>
      <w:r w:rsidR="00DB6CFB">
        <w:rPr>
          <w:rFonts w:ascii="Arial" w:eastAsia="Times New Roman" w:hAnsi="Arial" w:cs="Arial"/>
        </w:rPr>
        <w:t>The allocation of time at SCCR/29 will be the same as the allocation for SCCR/28.</w:t>
      </w:r>
    </w:p>
    <w:p w:rsidR="009404CC" w:rsidRPr="007F409A" w:rsidRDefault="009404CC" w:rsidP="009404CC">
      <w:pPr>
        <w:pStyle w:val="ListParagraph"/>
        <w:keepNext/>
        <w:keepLines/>
        <w:spacing w:after="0" w:line="240" w:lineRule="auto"/>
        <w:ind w:left="0"/>
        <w:rPr>
          <w:rFonts w:ascii="Arial" w:eastAsia="Times New Roman" w:hAnsi="Arial" w:cs="Arial"/>
        </w:rPr>
      </w:pPr>
    </w:p>
    <w:p w:rsidR="000A66A4" w:rsidRPr="007F409A" w:rsidRDefault="000A66A4" w:rsidP="000A66A4">
      <w:pPr>
        <w:widowControl w:val="0"/>
        <w:spacing w:after="0"/>
        <w:rPr>
          <w:rFonts w:ascii="Arial" w:hAnsi="Arial" w:cs="Arial"/>
        </w:rPr>
      </w:pPr>
    </w:p>
    <w:p w:rsidR="000A66A4" w:rsidRPr="007F409A" w:rsidRDefault="000A66A4" w:rsidP="00DB3A83">
      <w:pPr>
        <w:autoSpaceDE w:val="0"/>
        <w:autoSpaceDN w:val="0"/>
        <w:adjustRightInd w:val="0"/>
        <w:spacing w:after="0" w:line="240" w:lineRule="auto"/>
        <w:rPr>
          <w:rFonts w:ascii="Arial" w:hAnsi="Arial" w:cs="Arial"/>
        </w:rPr>
      </w:pPr>
    </w:p>
    <w:p w:rsidR="002D64B3" w:rsidRPr="007F409A" w:rsidRDefault="00265FAF" w:rsidP="00265FAF">
      <w:pPr>
        <w:ind w:left="5040"/>
        <w:rPr>
          <w:rFonts w:ascii="Arial" w:hAnsi="Arial" w:cs="Arial"/>
        </w:rPr>
      </w:pPr>
      <w:r>
        <w:rPr>
          <w:rFonts w:ascii="Arial" w:hAnsi="Arial" w:cs="Arial"/>
        </w:rPr>
        <w:t>[</w:t>
      </w:r>
      <w:r w:rsidR="00FA5FB6">
        <w:rPr>
          <w:rFonts w:ascii="Arial" w:hAnsi="Arial" w:cs="Arial"/>
        </w:rPr>
        <w:t>End</w:t>
      </w:r>
      <w:r>
        <w:rPr>
          <w:rFonts w:ascii="Arial" w:hAnsi="Arial" w:cs="Arial"/>
        </w:rPr>
        <w:t xml:space="preserve"> of conclusions]   </w:t>
      </w:r>
    </w:p>
    <w:sectPr w:rsidR="002D64B3" w:rsidRPr="007F409A" w:rsidSect="00DB6CFB">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1C" w:rsidRDefault="00B3111C" w:rsidP="00FE6DDA">
      <w:pPr>
        <w:spacing w:after="0" w:line="240" w:lineRule="auto"/>
      </w:pPr>
      <w:r>
        <w:separator/>
      </w:r>
    </w:p>
  </w:endnote>
  <w:endnote w:type="continuationSeparator" w:id="0">
    <w:p w:rsidR="00B3111C" w:rsidRDefault="00B3111C" w:rsidP="00FE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1C" w:rsidRDefault="00B3111C" w:rsidP="00FE6DDA">
      <w:pPr>
        <w:spacing w:after="0" w:line="240" w:lineRule="auto"/>
      </w:pPr>
      <w:r>
        <w:separator/>
      </w:r>
    </w:p>
  </w:footnote>
  <w:footnote w:type="continuationSeparator" w:id="0">
    <w:p w:rsidR="00B3111C" w:rsidRDefault="00B3111C" w:rsidP="00FE6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535210"/>
      <w:docPartObj>
        <w:docPartGallery w:val="Page Numbers (Top of Page)"/>
        <w:docPartUnique/>
      </w:docPartObj>
    </w:sdtPr>
    <w:sdtEndPr>
      <w:rPr>
        <w:noProof/>
      </w:rPr>
    </w:sdtEndPr>
    <w:sdtContent>
      <w:p w:rsidR="00DB6CFB" w:rsidRDefault="00DB6CFB">
        <w:pPr>
          <w:pStyle w:val="Header"/>
          <w:jc w:val="right"/>
        </w:pPr>
        <w:r>
          <w:fldChar w:fldCharType="begin"/>
        </w:r>
        <w:r>
          <w:instrText xml:space="preserve"> PAGE   \* MERGEFORMAT </w:instrText>
        </w:r>
        <w:r>
          <w:fldChar w:fldCharType="separate"/>
        </w:r>
        <w:r w:rsidR="00FE3869">
          <w:rPr>
            <w:noProof/>
          </w:rPr>
          <w:t>2</w:t>
        </w:r>
        <w:r>
          <w:rPr>
            <w:noProof/>
          </w:rPr>
          <w:fldChar w:fldCharType="end"/>
        </w:r>
      </w:p>
    </w:sdtContent>
  </w:sdt>
  <w:p w:rsidR="00DB6CFB" w:rsidRDefault="00DB6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D4F"/>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B42B74"/>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F65F3B"/>
    <w:multiLevelType w:val="hybridMultilevel"/>
    <w:tmpl w:val="61BE4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1110A1"/>
    <w:multiLevelType w:val="hybridMultilevel"/>
    <w:tmpl w:val="91B40AA8"/>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DC4D34"/>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B4C3C79"/>
    <w:multiLevelType w:val="hybridMultilevel"/>
    <w:tmpl w:val="8528A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852D9F"/>
    <w:multiLevelType w:val="hybridMultilevel"/>
    <w:tmpl w:val="C1CEA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83"/>
    <w:rsid w:val="0003372B"/>
    <w:rsid w:val="00034FA5"/>
    <w:rsid w:val="00074D54"/>
    <w:rsid w:val="000918C5"/>
    <w:rsid w:val="000A66A4"/>
    <w:rsid w:val="000B2259"/>
    <w:rsid w:val="001265F5"/>
    <w:rsid w:val="001268D5"/>
    <w:rsid w:val="00252708"/>
    <w:rsid w:val="002562A3"/>
    <w:rsid w:val="00265FAF"/>
    <w:rsid w:val="002A0A5D"/>
    <w:rsid w:val="002B772B"/>
    <w:rsid w:val="002E07CC"/>
    <w:rsid w:val="00315FC1"/>
    <w:rsid w:val="003349E7"/>
    <w:rsid w:val="00381A33"/>
    <w:rsid w:val="003868FB"/>
    <w:rsid w:val="003B0A0F"/>
    <w:rsid w:val="003B2941"/>
    <w:rsid w:val="00510D8B"/>
    <w:rsid w:val="00521C8E"/>
    <w:rsid w:val="005324EB"/>
    <w:rsid w:val="00542261"/>
    <w:rsid w:val="00594345"/>
    <w:rsid w:val="0061259F"/>
    <w:rsid w:val="00612AE0"/>
    <w:rsid w:val="00627723"/>
    <w:rsid w:val="00630422"/>
    <w:rsid w:val="00703226"/>
    <w:rsid w:val="00752CB7"/>
    <w:rsid w:val="007E5CE1"/>
    <w:rsid w:val="007F409A"/>
    <w:rsid w:val="00857D58"/>
    <w:rsid w:val="00862900"/>
    <w:rsid w:val="008D3088"/>
    <w:rsid w:val="008E116F"/>
    <w:rsid w:val="009243E6"/>
    <w:rsid w:val="00926845"/>
    <w:rsid w:val="00931553"/>
    <w:rsid w:val="009404CC"/>
    <w:rsid w:val="00951BE9"/>
    <w:rsid w:val="00A472C7"/>
    <w:rsid w:val="00A47D19"/>
    <w:rsid w:val="00A72DC8"/>
    <w:rsid w:val="00AE25A3"/>
    <w:rsid w:val="00B3111C"/>
    <w:rsid w:val="00B5343A"/>
    <w:rsid w:val="00B711A6"/>
    <w:rsid w:val="00BC5139"/>
    <w:rsid w:val="00C746E2"/>
    <w:rsid w:val="00D12E4E"/>
    <w:rsid w:val="00DB3A83"/>
    <w:rsid w:val="00DB6CFB"/>
    <w:rsid w:val="00DF6B09"/>
    <w:rsid w:val="00E57BD4"/>
    <w:rsid w:val="00EC4225"/>
    <w:rsid w:val="00EE01B9"/>
    <w:rsid w:val="00F13F5A"/>
    <w:rsid w:val="00F40BD3"/>
    <w:rsid w:val="00F54795"/>
    <w:rsid w:val="00F858D4"/>
    <w:rsid w:val="00FA5FB6"/>
    <w:rsid w:val="00FB1462"/>
    <w:rsid w:val="00FE3869"/>
    <w:rsid w:val="00FE5C2C"/>
    <w:rsid w:val="00FE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6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DDA"/>
    <w:rPr>
      <w:sz w:val="20"/>
      <w:szCs w:val="20"/>
    </w:rPr>
  </w:style>
  <w:style w:type="character" w:styleId="CommentReference">
    <w:name w:val="annotation reference"/>
    <w:uiPriority w:val="99"/>
    <w:unhideWhenUsed/>
    <w:rsid w:val="00FE6DDA"/>
    <w:rPr>
      <w:sz w:val="18"/>
      <w:szCs w:val="18"/>
    </w:rPr>
  </w:style>
  <w:style w:type="character" w:styleId="FootnoteReference">
    <w:name w:val="footnote reference"/>
    <w:uiPriority w:val="99"/>
    <w:unhideWhenUsed/>
    <w:rsid w:val="00FE6DDA"/>
    <w:rPr>
      <w:vertAlign w:val="superscript"/>
    </w:rPr>
  </w:style>
  <w:style w:type="paragraph" w:styleId="ListParagraph">
    <w:name w:val="List Paragraph"/>
    <w:basedOn w:val="Normal"/>
    <w:uiPriority w:val="34"/>
    <w:qFormat/>
    <w:rsid w:val="009404CC"/>
    <w:pPr>
      <w:ind w:left="720"/>
      <w:contextualSpacing/>
    </w:pPr>
  </w:style>
  <w:style w:type="paragraph" w:styleId="Header">
    <w:name w:val="header"/>
    <w:basedOn w:val="Normal"/>
    <w:link w:val="HeaderChar"/>
    <w:uiPriority w:val="99"/>
    <w:unhideWhenUsed/>
    <w:rsid w:val="00DB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FB"/>
  </w:style>
  <w:style w:type="paragraph" w:styleId="Footer">
    <w:name w:val="footer"/>
    <w:basedOn w:val="Normal"/>
    <w:link w:val="FooterChar"/>
    <w:uiPriority w:val="99"/>
    <w:unhideWhenUsed/>
    <w:rsid w:val="00DB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FB"/>
  </w:style>
  <w:style w:type="paragraph" w:styleId="CommentText">
    <w:name w:val="annotation text"/>
    <w:basedOn w:val="Normal"/>
    <w:link w:val="CommentTextChar"/>
    <w:uiPriority w:val="99"/>
    <w:semiHidden/>
    <w:unhideWhenUsed/>
    <w:rsid w:val="00A472C7"/>
    <w:pPr>
      <w:spacing w:line="240" w:lineRule="auto"/>
    </w:pPr>
    <w:rPr>
      <w:sz w:val="20"/>
      <w:szCs w:val="20"/>
    </w:rPr>
  </w:style>
  <w:style w:type="character" w:customStyle="1" w:styleId="CommentTextChar">
    <w:name w:val="Comment Text Char"/>
    <w:basedOn w:val="DefaultParagraphFont"/>
    <w:link w:val="CommentText"/>
    <w:uiPriority w:val="99"/>
    <w:semiHidden/>
    <w:rsid w:val="00A472C7"/>
    <w:rPr>
      <w:sz w:val="20"/>
      <w:szCs w:val="20"/>
    </w:rPr>
  </w:style>
  <w:style w:type="paragraph" w:styleId="CommentSubject">
    <w:name w:val="annotation subject"/>
    <w:basedOn w:val="CommentText"/>
    <w:next w:val="CommentText"/>
    <w:link w:val="CommentSubjectChar"/>
    <w:uiPriority w:val="99"/>
    <w:semiHidden/>
    <w:unhideWhenUsed/>
    <w:rsid w:val="00A472C7"/>
    <w:rPr>
      <w:b/>
      <w:bCs/>
    </w:rPr>
  </w:style>
  <w:style w:type="character" w:customStyle="1" w:styleId="CommentSubjectChar">
    <w:name w:val="Comment Subject Char"/>
    <w:basedOn w:val="CommentTextChar"/>
    <w:link w:val="CommentSubject"/>
    <w:uiPriority w:val="99"/>
    <w:semiHidden/>
    <w:rsid w:val="00A472C7"/>
    <w:rPr>
      <w:b/>
      <w:bCs/>
      <w:sz w:val="20"/>
      <w:szCs w:val="20"/>
    </w:rPr>
  </w:style>
  <w:style w:type="paragraph" w:styleId="BalloonText">
    <w:name w:val="Balloon Text"/>
    <w:basedOn w:val="Normal"/>
    <w:link w:val="BalloonTextChar"/>
    <w:uiPriority w:val="99"/>
    <w:semiHidden/>
    <w:unhideWhenUsed/>
    <w:rsid w:val="00A4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6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DDA"/>
    <w:rPr>
      <w:sz w:val="20"/>
      <w:szCs w:val="20"/>
    </w:rPr>
  </w:style>
  <w:style w:type="character" w:styleId="CommentReference">
    <w:name w:val="annotation reference"/>
    <w:uiPriority w:val="99"/>
    <w:unhideWhenUsed/>
    <w:rsid w:val="00FE6DDA"/>
    <w:rPr>
      <w:sz w:val="18"/>
      <w:szCs w:val="18"/>
    </w:rPr>
  </w:style>
  <w:style w:type="character" w:styleId="FootnoteReference">
    <w:name w:val="footnote reference"/>
    <w:uiPriority w:val="99"/>
    <w:unhideWhenUsed/>
    <w:rsid w:val="00FE6DDA"/>
    <w:rPr>
      <w:vertAlign w:val="superscript"/>
    </w:rPr>
  </w:style>
  <w:style w:type="paragraph" w:styleId="ListParagraph">
    <w:name w:val="List Paragraph"/>
    <w:basedOn w:val="Normal"/>
    <w:uiPriority w:val="34"/>
    <w:qFormat/>
    <w:rsid w:val="009404CC"/>
    <w:pPr>
      <w:ind w:left="720"/>
      <w:contextualSpacing/>
    </w:pPr>
  </w:style>
  <w:style w:type="paragraph" w:styleId="Header">
    <w:name w:val="header"/>
    <w:basedOn w:val="Normal"/>
    <w:link w:val="HeaderChar"/>
    <w:uiPriority w:val="99"/>
    <w:unhideWhenUsed/>
    <w:rsid w:val="00DB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FB"/>
  </w:style>
  <w:style w:type="paragraph" w:styleId="Footer">
    <w:name w:val="footer"/>
    <w:basedOn w:val="Normal"/>
    <w:link w:val="FooterChar"/>
    <w:uiPriority w:val="99"/>
    <w:unhideWhenUsed/>
    <w:rsid w:val="00DB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FB"/>
  </w:style>
  <w:style w:type="paragraph" w:styleId="CommentText">
    <w:name w:val="annotation text"/>
    <w:basedOn w:val="Normal"/>
    <w:link w:val="CommentTextChar"/>
    <w:uiPriority w:val="99"/>
    <w:semiHidden/>
    <w:unhideWhenUsed/>
    <w:rsid w:val="00A472C7"/>
    <w:pPr>
      <w:spacing w:line="240" w:lineRule="auto"/>
    </w:pPr>
    <w:rPr>
      <w:sz w:val="20"/>
      <w:szCs w:val="20"/>
    </w:rPr>
  </w:style>
  <w:style w:type="character" w:customStyle="1" w:styleId="CommentTextChar">
    <w:name w:val="Comment Text Char"/>
    <w:basedOn w:val="DefaultParagraphFont"/>
    <w:link w:val="CommentText"/>
    <w:uiPriority w:val="99"/>
    <w:semiHidden/>
    <w:rsid w:val="00A472C7"/>
    <w:rPr>
      <w:sz w:val="20"/>
      <w:szCs w:val="20"/>
    </w:rPr>
  </w:style>
  <w:style w:type="paragraph" w:styleId="CommentSubject">
    <w:name w:val="annotation subject"/>
    <w:basedOn w:val="CommentText"/>
    <w:next w:val="CommentText"/>
    <w:link w:val="CommentSubjectChar"/>
    <w:uiPriority w:val="99"/>
    <w:semiHidden/>
    <w:unhideWhenUsed/>
    <w:rsid w:val="00A472C7"/>
    <w:rPr>
      <w:b/>
      <w:bCs/>
    </w:rPr>
  </w:style>
  <w:style w:type="character" w:customStyle="1" w:styleId="CommentSubjectChar">
    <w:name w:val="Comment Subject Char"/>
    <w:basedOn w:val="CommentTextChar"/>
    <w:link w:val="CommentSubject"/>
    <w:uiPriority w:val="99"/>
    <w:semiHidden/>
    <w:rsid w:val="00A472C7"/>
    <w:rPr>
      <w:b/>
      <w:bCs/>
      <w:sz w:val="20"/>
      <w:szCs w:val="20"/>
    </w:rPr>
  </w:style>
  <w:style w:type="paragraph" w:styleId="BalloonText">
    <w:name w:val="Balloon Text"/>
    <w:basedOn w:val="Normal"/>
    <w:link w:val="BalloonTextChar"/>
    <w:uiPriority w:val="99"/>
    <w:semiHidden/>
    <w:unhideWhenUsed/>
    <w:rsid w:val="00A4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6037">
      <w:bodyDiv w:val="1"/>
      <w:marLeft w:val="0"/>
      <w:marRight w:val="0"/>
      <w:marTop w:val="0"/>
      <w:marBottom w:val="0"/>
      <w:divBdr>
        <w:top w:val="none" w:sz="0" w:space="0" w:color="auto"/>
        <w:left w:val="none" w:sz="0" w:space="0" w:color="auto"/>
        <w:bottom w:val="none" w:sz="0" w:space="0" w:color="auto"/>
        <w:right w:val="none" w:sz="0" w:space="0" w:color="auto"/>
      </w:divBdr>
    </w:div>
    <w:div w:id="563951504">
      <w:bodyDiv w:val="1"/>
      <w:marLeft w:val="0"/>
      <w:marRight w:val="0"/>
      <w:marTop w:val="0"/>
      <w:marBottom w:val="0"/>
      <w:divBdr>
        <w:top w:val="none" w:sz="0" w:space="0" w:color="auto"/>
        <w:left w:val="none" w:sz="0" w:space="0" w:color="auto"/>
        <w:bottom w:val="none" w:sz="0" w:space="0" w:color="auto"/>
        <w:right w:val="none" w:sz="0" w:space="0" w:color="auto"/>
      </w:divBdr>
    </w:div>
    <w:div w:id="1119028135">
      <w:bodyDiv w:val="1"/>
      <w:marLeft w:val="0"/>
      <w:marRight w:val="0"/>
      <w:marTop w:val="0"/>
      <w:marBottom w:val="0"/>
      <w:divBdr>
        <w:top w:val="none" w:sz="0" w:space="0" w:color="auto"/>
        <w:left w:val="none" w:sz="0" w:space="0" w:color="auto"/>
        <w:bottom w:val="none" w:sz="0" w:space="0" w:color="auto"/>
        <w:right w:val="none" w:sz="0" w:space="0" w:color="auto"/>
      </w:divBdr>
    </w:div>
    <w:div w:id="15880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Rafael Ferraz Vazquez</cp:lastModifiedBy>
  <cp:revision>2</cp:revision>
  <dcterms:created xsi:type="dcterms:W3CDTF">2014-07-11T14:36:00Z</dcterms:created>
  <dcterms:modified xsi:type="dcterms:W3CDTF">2014-07-11T14:36:00Z</dcterms:modified>
</cp:coreProperties>
</file>