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0172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FEA03D6" wp14:editId="5FA20ED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90B070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7D46625" w14:textId="5F83BC95" w:rsidR="008B2CC1" w:rsidRPr="002326AB" w:rsidRDefault="008E4690" w:rsidP="00A55395">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w:t>
      </w:r>
      <w:r w:rsidR="006136C6">
        <w:rPr>
          <w:rFonts w:ascii="Arial Black" w:hAnsi="Arial Black"/>
          <w:caps/>
          <w:sz w:val="15"/>
          <w:szCs w:val="15"/>
        </w:rPr>
        <w:t>45</w:t>
      </w:r>
      <w:r w:rsidR="00D90B96">
        <w:rPr>
          <w:rFonts w:ascii="Arial Black" w:hAnsi="Arial Black"/>
          <w:caps/>
          <w:sz w:val="15"/>
          <w:szCs w:val="15"/>
        </w:rPr>
        <w:t>/</w:t>
      </w:r>
      <w:bookmarkStart w:id="0" w:name="Code"/>
      <w:bookmarkEnd w:id="0"/>
      <w:r w:rsidR="00126320">
        <w:rPr>
          <w:rFonts w:ascii="Arial Black" w:hAnsi="Arial Black"/>
          <w:caps/>
          <w:sz w:val="15"/>
          <w:szCs w:val="15"/>
        </w:rPr>
        <w:t>SUMMARY</w:t>
      </w:r>
    </w:p>
    <w:p w14:paraId="1A5F5769" w14:textId="77777777" w:rsidR="008B2CC1" w:rsidRPr="00A55395" w:rsidRDefault="00CC3E2D" w:rsidP="00CC3E2D">
      <w:pPr>
        <w:jc w:val="right"/>
        <w:rPr>
          <w:rFonts w:asciiTheme="minorHAnsi" w:hAnsiTheme="minorHAnsi" w:cstheme="minorHAnsi"/>
          <w:b/>
          <w:bCs/>
          <w:caps/>
          <w:sz w:val="15"/>
          <w:szCs w:val="15"/>
        </w:rPr>
      </w:pPr>
      <w:bookmarkStart w:id="1" w:name="Original"/>
      <w:r w:rsidRPr="00A55395">
        <w:rPr>
          <w:rFonts w:asciiTheme="minorHAnsi" w:hAnsiTheme="minorHAnsi" w:cstheme="minorHAnsi" w:hint="cs"/>
          <w:b/>
          <w:bCs/>
          <w:caps/>
          <w:sz w:val="15"/>
          <w:szCs w:val="15"/>
          <w:rtl/>
        </w:rPr>
        <w:t xml:space="preserve">الأصل: </w:t>
      </w:r>
      <w:r w:rsidR="00CA3553" w:rsidRPr="00A55395">
        <w:rPr>
          <w:rFonts w:asciiTheme="minorHAnsi" w:hAnsiTheme="minorHAnsi" w:cstheme="minorHAnsi" w:hint="cs"/>
          <w:b/>
          <w:bCs/>
          <w:caps/>
          <w:sz w:val="15"/>
          <w:szCs w:val="15"/>
          <w:rtl/>
        </w:rPr>
        <w:t>بالإنكليزية</w:t>
      </w:r>
    </w:p>
    <w:p w14:paraId="56A912F0" w14:textId="3243ED75" w:rsidR="008B2CC1" w:rsidRPr="00CC3E2D" w:rsidRDefault="00CC3E2D" w:rsidP="00A55395">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126320">
        <w:rPr>
          <w:rFonts w:asciiTheme="minorHAnsi" w:hAnsiTheme="minorHAnsi" w:cstheme="minorHAnsi" w:hint="cs"/>
          <w:b/>
          <w:bCs/>
          <w:caps/>
          <w:sz w:val="15"/>
          <w:szCs w:val="15"/>
          <w:rtl/>
        </w:rPr>
        <w:t xml:space="preserve"> 19 أبريل </w:t>
      </w:r>
      <w:r w:rsidR="00354B14">
        <w:rPr>
          <w:rFonts w:asciiTheme="minorHAnsi" w:hAnsiTheme="minorHAnsi" w:cstheme="minorHAnsi" w:hint="cs"/>
          <w:b/>
          <w:bCs/>
          <w:caps/>
          <w:sz w:val="15"/>
          <w:szCs w:val="15"/>
          <w:rtl/>
        </w:rPr>
        <w:t>2024</w:t>
      </w:r>
    </w:p>
    <w:bookmarkEnd w:id="2"/>
    <w:p w14:paraId="2F485914" w14:textId="77777777" w:rsidR="008B2CC1" w:rsidRPr="00D67EAE" w:rsidRDefault="008E4690" w:rsidP="0019592A">
      <w:pPr>
        <w:pStyle w:val="Heading1"/>
      </w:pPr>
      <w:r>
        <w:rPr>
          <w:rtl/>
        </w:rPr>
        <w:t>اللجنة ال</w:t>
      </w:r>
      <w:r>
        <w:rPr>
          <w:rFonts w:hint="cs"/>
          <w:rtl/>
        </w:rPr>
        <w:t>دائمة المعنية بحق المؤلف والحقوق المجاورة</w:t>
      </w:r>
    </w:p>
    <w:p w14:paraId="058E3095" w14:textId="6C21705D" w:rsidR="00A90F0A" w:rsidRPr="00D67EAE" w:rsidRDefault="00D67EAE" w:rsidP="00A5539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6136C6">
        <w:rPr>
          <w:rFonts w:asciiTheme="minorHAnsi" w:hAnsiTheme="minorHAnsi" w:cstheme="minorHAnsi" w:hint="cs"/>
          <w:bCs/>
          <w:sz w:val="24"/>
          <w:szCs w:val="24"/>
          <w:rtl/>
        </w:rPr>
        <w:t>خامس</w:t>
      </w:r>
      <w:r w:rsidR="00A55395">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14:paraId="3AEA6F37" w14:textId="153C4B59" w:rsidR="008B2CC1" w:rsidRPr="00D67EAE" w:rsidRDefault="00D67EAE" w:rsidP="00A5539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6136C6">
        <w:rPr>
          <w:rFonts w:asciiTheme="minorHAnsi" w:hAnsiTheme="minorHAnsi" w:cstheme="minorHAnsi" w:hint="cs"/>
          <w:bCs/>
          <w:sz w:val="24"/>
          <w:szCs w:val="24"/>
          <w:rtl/>
        </w:rPr>
        <w:t xml:space="preserve"> 15 </w:t>
      </w:r>
      <w:r w:rsidRPr="00D67EAE">
        <w:rPr>
          <w:rFonts w:asciiTheme="minorHAnsi" w:hAnsiTheme="minorHAnsi" w:cstheme="minorHAnsi" w:hint="cs"/>
          <w:bCs/>
          <w:sz w:val="24"/>
          <w:szCs w:val="24"/>
          <w:rtl/>
        </w:rPr>
        <w:t xml:space="preserve">إلى </w:t>
      </w:r>
      <w:r w:rsidR="006136C6">
        <w:rPr>
          <w:rFonts w:asciiTheme="minorHAnsi" w:hAnsiTheme="minorHAnsi" w:cstheme="minorHAnsi" w:hint="cs"/>
          <w:bCs/>
          <w:sz w:val="24"/>
          <w:szCs w:val="24"/>
          <w:rtl/>
        </w:rPr>
        <w:t>19</w:t>
      </w:r>
      <w:r w:rsidR="00A55395">
        <w:rPr>
          <w:rFonts w:asciiTheme="minorHAnsi" w:hAnsiTheme="minorHAnsi" w:cstheme="minorHAnsi" w:hint="cs"/>
          <w:bCs/>
          <w:sz w:val="24"/>
          <w:szCs w:val="24"/>
          <w:rtl/>
        </w:rPr>
        <w:t xml:space="preserve"> </w:t>
      </w:r>
      <w:r w:rsidR="006136C6">
        <w:rPr>
          <w:rFonts w:asciiTheme="minorHAnsi" w:hAnsiTheme="minorHAnsi" w:cstheme="minorHAnsi" w:hint="cs"/>
          <w:bCs/>
          <w:sz w:val="24"/>
          <w:szCs w:val="24"/>
          <w:rtl/>
        </w:rPr>
        <w:t>أبريل 2024</w:t>
      </w:r>
    </w:p>
    <w:p w14:paraId="4EB95577" w14:textId="678DFBA2" w:rsidR="008B2CC1" w:rsidRPr="00D67EAE" w:rsidRDefault="00CA3553"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م</w:t>
      </w:r>
      <w:r w:rsidR="00126320">
        <w:rPr>
          <w:rFonts w:asciiTheme="minorHAnsi" w:hAnsiTheme="minorHAnsi" w:cstheme="minorHAnsi" w:hint="cs"/>
          <w:caps/>
          <w:sz w:val="28"/>
          <w:szCs w:val="24"/>
          <w:rtl/>
        </w:rPr>
        <w:t>لخص الرئيس</w:t>
      </w:r>
    </w:p>
    <w:p w14:paraId="371090D2" w14:textId="23A4E347" w:rsidR="002928D3" w:rsidRDefault="00D67EAE" w:rsidP="00A96190">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CA3553">
        <w:rPr>
          <w:rFonts w:asciiTheme="minorHAnsi" w:hAnsiTheme="minorHAnsi" w:cstheme="minorHAnsi" w:hint="cs"/>
          <w:iCs/>
          <w:rtl/>
        </w:rPr>
        <w:t xml:space="preserve"> ال</w:t>
      </w:r>
      <w:r w:rsidR="00126320">
        <w:rPr>
          <w:rFonts w:asciiTheme="minorHAnsi" w:hAnsiTheme="minorHAnsi" w:cstheme="minorHAnsi" w:hint="cs"/>
          <w:iCs/>
          <w:rtl/>
        </w:rPr>
        <w:t>رئيس</w:t>
      </w:r>
    </w:p>
    <w:p w14:paraId="7E668049" w14:textId="3D547B5D" w:rsidR="00126320" w:rsidRDefault="00126320">
      <w:pPr>
        <w:bidi w:val="0"/>
        <w:rPr>
          <w:rFonts w:asciiTheme="minorHAnsi" w:hAnsiTheme="minorHAnsi" w:cstheme="minorHAnsi"/>
          <w:iCs/>
          <w:rtl/>
        </w:rPr>
      </w:pPr>
      <w:r>
        <w:rPr>
          <w:rFonts w:asciiTheme="minorHAnsi" w:hAnsiTheme="minorHAnsi" w:cstheme="minorHAnsi"/>
          <w:iCs/>
          <w:rtl/>
        </w:rPr>
        <w:br w:type="page"/>
      </w:r>
    </w:p>
    <w:p w14:paraId="58CFC2FA" w14:textId="77777777" w:rsidR="00126320" w:rsidRPr="00126320" w:rsidRDefault="00126320" w:rsidP="00126320">
      <w:pPr>
        <w:pStyle w:val="Heading2"/>
        <w:spacing w:after="240"/>
        <w:rPr>
          <w:i/>
          <w:iCs w:val="0"/>
          <w:sz w:val="24"/>
          <w:szCs w:val="24"/>
          <w:rtl/>
        </w:rPr>
      </w:pPr>
      <w:r w:rsidRPr="00126320">
        <w:rPr>
          <w:rFonts w:hint="cs"/>
          <w:i/>
          <w:iCs w:val="0"/>
          <w:sz w:val="24"/>
          <w:szCs w:val="24"/>
          <w:rtl/>
        </w:rPr>
        <w:lastRenderedPageBreak/>
        <w:t>البند 1 من جدول الأعمال:  افتتاح الدورة</w:t>
      </w:r>
    </w:p>
    <w:p w14:paraId="4E95735A" w14:textId="60EF8BE5" w:rsidR="00126320" w:rsidRPr="00126320" w:rsidRDefault="00126320" w:rsidP="00126320">
      <w:pPr>
        <w:pStyle w:val="ONUMA"/>
        <w:rPr>
          <w:rtl/>
        </w:rPr>
      </w:pPr>
      <w:r w:rsidRPr="00126320">
        <w:rPr>
          <w:rFonts w:hint="cs"/>
          <w:rtl/>
        </w:rPr>
        <w:t xml:space="preserve">افتتحت السيدة سيلفي فوربان، نائبة المدير العام، الدورة الخامسة والأربعين للجنة الدائمة المعنية بحق المؤلف والحقوق المجاورة ("لجنة حق المؤلف" أو "اللجنة").  وتولت السيدة أدريانا موسكوسو </w:t>
      </w:r>
      <w:r w:rsidR="00D251C0">
        <w:rPr>
          <w:rFonts w:hint="cs"/>
          <w:rtl/>
        </w:rPr>
        <w:t xml:space="preserve">ديل برادو </w:t>
      </w:r>
      <w:r w:rsidRPr="00126320">
        <w:rPr>
          <w:rFonts w:hint="cs"/>
          <w:rtl/>
        </w:rPr>
        <w:t>مهمة رئيسة اللجنة وتولى السيد بيتر لابودي والسيدة فانيسا كوهين مهمة نائبي الرئيسة.  وتولت السيدة ميشيل وودز (الويبو) مهمة أمين اللجنة.</w:t>
      </w:r>
    </w:p>
    <w:p w14:paraId="059AD59F" w14:textId="76C25976" w:rsidR="00126320" w:rsidRPr="00126320" w:rsidRDefault="00126320" w:rsidP="00126320">
      <w:pPr>
        <w:pStyle w:val="Heading2"/>
        <w:spacing w:after="240"/>
        <w:rPr>
          <w:i/>
          <w:iCs w:val="0"/>
          <w:sz w:val="24"/>
          <w:szCs w:val="24"/>
          <w:rtl/>
        </w:rPr>
      </w:pPr>
      <w:r w:rsidRPr="00126320">
        <w:rPr>
          <w:rFonts w:hint="cs"/>
          <w:i/>
          <w:iCs w:val="0"/>
          <w:sz w:val="24"/>
          <w:szCs w:val="24"/>
          <w:rtl/>
        </w:rPr>
        <w:t>البند 2 من جدول الأعمال:  اعتماد جدول الأعمال</w:t>
      </w:r>
    </w:p>
    <w:p w14:paraId="0248D415" w14:textId="2B03B1EB" w:rsidR="00126320" w:rsidRPr="00126320" w:rsidRDefault="00126320" w:rsidP="00126320">
      <w:pPr>
        <w:pStyle w:val="ONUMA"/>
        <w:rPr>
          <w:rtl/>
        </w:rPr>
      </w:pPr>
      <w:r w:rsidRPr="00126320">
        <w:rPr>
          <w:rFonts w:hint="cs"/>
          <w:rtl/>
        </w:rPr>
        <w:t xml:space="preserve">اعتمدت اللجنة مشروع جدول الأعمال (الوثيقة </w:t>
      </w:r>
      <w:r>
        <w:t>2</w:t>
      </w:r>
      <w:r w:rsidRPr="00126320">
        <w:rPr>
          <w:rFonts w:hint="cs"/>
          <w:rtl/>
        </w:rPr>
        <w:t>.</w:t>
      </w:r>
      <w:r w:rsidRPr="00126320">
        <w:rPr>
          <w:lang w:bidi="ar-EG"/>
        </w:rPr>
        <w:t>SCCR/45/1 PROV</w:t>
      </w:r>
      <w:r w:rsidRPr="00126320">
        <w:rPr>
          <w:rFonts w:hint="cs"/>
          <w:rtl/>
        </w:rPr>
        <w:t>).</w:t>
      </w:r>
    </w:p>
    <w:p w14:paraId="7062D708" w14:textId="77777777" w:rsidR="00126320" w:rsidRPr="00126320" w:rsidRDefault="00126320" w:rsidP="00126320">
      <w:pPr>
        <w:pStyle w:val="Heading2"/>
        <w:spacing w:after="240"/>
        <w:rPr>
          <w:i/>
          <w:iCs w:val="0"/>
          <w:sz w:val="24"/>
          <w:szCs w:val="24"/>
          <w:rtl/>
        </w:rPr>
      </w:pPr>
      <w:r w:rsidRPr="00126320">
        <w:rPr>
          <w:rFonts w:hint="cs"/>
          <w:i/>
          <w:iCs w:val="0"/>
          <w:sz w:val="24"/>
          <w:szCs w:val="24"/>
          <w:rtl/>
        </w:rPr>
        <w:t>البند 3 من جدول الأعمال:  اعتماد منظمات غير حكومية جديدة</w:t>
      </w:r>
    </w:p>
    <w:p w14:paraId="28E53F13" w14:textId="77777777" w:rsidR="00126320" w:rsidRPr="00126320" w:rsidRDefault="00126320" w:rsidP="00126320">
      <w:pPr>
        <w:pStyle w:val="ONUMA"/>
        <w:rPr>
          <w:rtl/>
        </w:rPr>
      </w:pPr>
      <w:r w:rsidRPr="00126320">
        <w:rPr>
          <w:rFonts w:hint="cs"/>
          <w:rtl/>
        </w:rPr>
        <w:t>وافقت اللجنة على اعتماد المنظمات غير الحكومية التالية بصفة مراقب مؤقت في دوراتها المشار إليها في مرفق الوثيقة .</w:t>
      </w:r>
      <w:r w:rsidRPr="00126320">
        <w:t>SCCR/45/2 REV</w:t>
      </w:r>
      <w:r w:rsidRPr="00126320">
        <w:rPr>
          <w:rFonts w:hint="cs"/>
          <w:rtl/>
        </w:rPr>
        <w:t xml:space="preserve">: </w:t>
      </w:r>
    </w:p>
    <w:p w14:paraId="1E4F2847" w14:textId="6EE48AF8" w:rsidR="00126320" w:rsidRPr="00126320" w:rsidRDefault="00126320" w:rsidP="00126320">
      <w:pPr>
        <w:pStyle w:val="ONUMA"/>
        <w:numPr>
          <w:ilvl w:val="0"/>
          <w:numId w:val="0"/>
        </w:numPr>
        <w:spacing w:after="120"/>
        <w:ind w:left="562"/>
        <w:rPr>
          <w:rtl/>
          <w:lang w:val="fr-CH" w:bidi="ar-SY"/>
        </w:rPr>
      </w:pPr>
      <w:r w:rsidRPr="00126320">
        <w:rPr>
          <w:rFonts w:hint="cs"/>
          <w:rtl/>
        </w:rPr>
        <w:t>-</w:t>
      </w:r>
      <w:r>
        <w:t xml:space="preserve"> </w:t>
      </w:r>
      <w:r w:rsidRPr="00126320">
        <w:rPr>
          <w:rFonts w:hint="cs"/>
          <w:rtl/>
        </w:rPr>
        <w:t>المنظمة غير التجارية لحماية حق المؤلف والحقوق المجاور</w:t>
      </w:r>
      <w:r>
        <w:rPr>
          <w:rFonts w:hint="cs"/>
          <w:rtl/>
        </w:rPr>
        <w:t>ة (</w:t>
      </w:r>
      <w:proofErr w:type="spellStart"/>
      <w:r>
        <w:rPr>
          <w:lang w:bidi="hi-IN"/>
        </w:rPr>
        <w:t>Amanat</w:t>
      </w:r>
      <w:proofErr w:type="spellEnd"/>
      <w:r>
        <w:rPr>
          <w:rFonts w:hint="cs"/>
          <w:rtl/>
        </w:rPr>
        <w:t>)</w:t>
      </w:r>
    </w:p>
    <w:p w14:paraId="5DC8FB4A" w14:textId="46E67015" w:rsidR="00126320" w:rsidRPr="00126320" w:rsidRDefault="00126320" w:rsidP="00126320">
      <w:pPr>
        <w:pStyle w:val="ONUMA"/>
        <w:numPr>
          <w:ilvl w:val="0"/>
          <w:numId w:val="0"/>
        </w:numPr>
        <w:spacing w:after="120"/>
        <w:ind w:left="562"/>
        <w:rPr>
          <w:rtl/>
        </w:rPr>
      </w:pPr>
      <w:r w:rsidRPr="00126320">
        <w:rPr>
          <w:rFonts w:hint="cs"/>
          <w:rtl/>
        </w:rPr>
        <w:t>-</w:t>
      </w:r>
      <w:r>
        <w:t xml:space="preserve"> </w:t>
      </w:r>
      <w:r w:rsidRPr="00126320">
        <w:rPr>
          <w:rFonts w:hint="cs"/>
          <w:rtl/>
        </w:rPr>
        <w:t>الرابطة الفيدرالية لصناعة الموسيقى الألمانية</w:t>
      </w:r>
      <w:r>
        <w:rPr>
          <w:rFonts w:hint="cs"/>
          <w:rtl/>
        </w:rPr>
        <w:t xml:space="preserve"> (</w:t>
      </w:r>
      <w:r w:rsidRPr="00126320">
        <w:rPr>
          <w:lang w:bidi="ar-EG"/>
        </w:rPr>
        <w:t>BVMI</w:t>
      </w:r>
      <w:r>
        <w:rPr>
          <w:rFonts w:hint="cs"/>
          <w:rtl/>
          <w:lang w:bidi="ar-EG"/>
        </w:rPr>
        <w:t>)</w:t>
      </w:r>
    </w:p>
    <w:p w14:paraId="2CE3ABC9" w14:textId="77777777" w:rsidR="00126320" w:rsidRPr="00126320" w:rsidRDefault="00126320" w:rsidP="00126320">
      <w:pPr>
        <w:pStyle w:val="Heading2"/>
        <w:spacing w:after="240"/>
        <w:rPr>
          <w:i/>
          <w:iCs w:val="0"/>
          <w:sz w:val="24"/>
          <w:szCs w:val="24"/>
          <w:rtl/>
        </w:rPr>
      </w:pPr>
      <w:r w:rsidRPr="00126320">
        <w:rPr>
          <w:rFonts w:hint="cs"/>
          <w:i/>
          <w:iCs w:val="0"/>
          <w:sz w:val="24"/>
          <w:szCs w:val="24"/>
          <w:rtl/>
        </w:rPr>
        <w:t>البند 4 من جدول الأعمال:  حماية هيئات البث</w:t>
      </w:r>
    </w:p>
    <w:p w14:paraId="43078B31" w14:textId="17128362" w:rsidR="00126320" w:rsidRDefault="00126320" w:rsidP="00126320">
      <w:pPr>
        <w:pStyle w:val="ONUMA"/>
      </w:pPr>
      <w:r w:rsidRPr="00126320">
        <w:rPr>
          <w:rFonts w:hint="cs"/>
          <w:rtl/>
        </w:rPr>
        <w:t xml:space="preserve">يمكن الاطلاع على وثائق الدورات السابقة المتعلقة بهذا البند من جدول الأعمال على الصفحة الإلكترونية المخصصة للدورة </w:t>
      </w:r>
      <w:r>
        <w:rPr>
          <w:rFonts w:hint="cs"/>
          <w:rtl/>
        </w:rPr>
        <w:t xml:space="preserve">الخامسة والأربعين </w:t>
      </w:r>
      <w:r w:rsidRPr="00126320">
        <w:rPr>
          <w:rFonts w:hint="cs"/>
          <w:rtl/>
        </w:rPr>
        <w:t>للجنة على:</w:t>
      </w:r>
      <w:r>
        <w:rPr>
          <w:rFonts w:hint="cs"/>
          <w:rtl/>
        </w:rPr>
        <w:t xml:space="preserve"> </w:t>
      </w:r>
      <w:hyperlink r:id="rId12" w:history="1">
        <w:r w:rsidRPr="00721FA9">
          <w:rPr>
            <w:rStyle w:val="Hyperlink"/>
          </w:rPr>
          <w:t>https://www.wipo.int/meetings/en/details.jsp?meeting_id=80924</w:t>
        </w:r>
      </w:hyperlink>
      <w:r>
        <w:rPr>
          <w:rFonts w:hint="cs"/>
          <w:rtl/>
        </w:rPr>
        <w:t xml:space="preserve">. </w:t>
      </w:r>
    </w:p>
    <w:p w14:paraId="553B988E" w14:textId="00553B8A" w:rsidR="00126320" w:rsidRPr="00126320" w:rsidRDefault="00126320" w:rsidP="00126320">
      <w:pPr>
        <w:pStyle w:val="ONUMA"/>
        <w:rPr>
          <w:rtl/>
        </w:rPr>
      </w:pPr>
      <w:r w:rsidRPr="00126320">
        <w:rPr>
          <w:rFonts w:hint="cs"/>
          <w:rtl/>
        </w:rPr>
        <w:t xml:space="preserve">عرض نائب الرئيس </w:t>
      </w:r>
      <w:r w:rsidR="00D251C0">
        <w:rPr>
          <w:rFonts w:hint="cs"/>
          <w:rtl/>
        </w:rPr>
        <w:t xml:space="preserve">السيد </w:t>
      </w:r>
      <w:r w:rsidRPr="00126320">
        <w:rPr>
          <w:rFonts w:hint="cs"/>
          <w:rtl/>
        </w:rPr>
        <w:t xml:space="preserve">بيتر لابودي والميسران </w:t>
      </w:r>
      <w:r w:rsidR="00D251C0">
        <w:rPr>
          <w:rFonts w:hint="cs"/>
          <w:rtl/>
        </w:rPr>
        <w:t xml:space="preserve">السيد </w:t>
      </w:r>
      <w:r w:rsidRPr="00126320">
        <w:rPr>
          <w:rFonts w:hint="cs"/>
          <w:rtl/>
        </w:rPr>
        <w:t>هيزيكيل أويرا و</w:t>
      </w:r>
      <w:r w:rsidR="00D251C0">
        <w:rPr>
          <w:rFonts w:hint="cs"/>
          <w:rtl/>
        </w:rPr>
        <w:t xml:space="preserve">السيد </w:t>
      </w:r>
      <w:r w:rsidRPr="00126320">
        <w:rPr>
          <w:rFonts w:hint="cs"/>
          <w:rtl/>
        </w:rPr>
        <w:t>يوكا ليديس</w:t>
      </w:r>
      <w:bookmarkStart w:id="5" w:name="_Hlk164281414"/>
      <w:r w:rsidRPr="00126320">
        <w:rPr>
          <w:rFonts w:hint="cs"/>
          <w:rtl/>
        </w:rPr>
        <w:t xml:space="preserve"> </w:t>
      </w:r>
      <w:r w:rsidRPr="00126320">
        <w:rPr>
          <w:rFonts w:hint="cs"/>
          <w:i/>
          <w:iCs/>
          <w:rtl/>
        </w:rPr>
        <w:t>"مشروع معاهدة الويبو بشأن هيئات البث"</w:t>
      </w:r>
      <w:r w:rsidRPr="00126320">
        <w:rPr>
          <w:rFonts w:hint="cs"/>
          <w:rtl/>
        </w:rPr>
        <w:t xml:space="preserve"> (الوثيقة</w:t>
      </w:r>
      <w:r>
        <w:rPr>
          <w:rFonts w:hint="eastAsia"/>
          <w:rtl/>
        </w:rPr>
        <w:t> </w:t>
      </w:r>
      <w:r w:rsidRPr="00126320">
        <w:rPr>
          <w:lang w:bidi="ar-EG"/>
        </w:rPr>
        <w:t>SCCR/45/3</w:t>
      </w:r>
      <w:bookmarkEnd w:id="5"/>
      <w:r>
        <w:rPr>
          <w:rFonts w:hint="cs"/>
          <w:rtl/>
          <w:lang w:bidi="ar-EG"/>
        </w:rPr>
        <w:t>)</w:t>
      </w:r>
      <w:r w:rsidRPr="00126320">
        <w:rPr>
          <w:rFonts w:hint="cs"/>
          <w:rtl/>
        </w:rPr>
        <w:t xml:space="preserve"> الذي أعد تحت إشراف الرئيس.</w:t>
      </w:r>
    </w:p>
    <w:p w14:paraId="5C3A4772" w14:textId="41807FA3" w:rsidR="00126320" w:rsidRPr="00126320" w:rsidRDefault="00126320" w:rsidP="00126320">
      <w:pPr>
        <w:pStyle w:val="ONUMA"/>
        <w:rPr>
          <w:rtl/>
        </w:rPr>
      </w:pPr>
      <w:r w:rsidRPr="00126320">
        <w:rPr>
          <w:rFonts w:hint="cs"/>
          <w:rtl/>
        </w:rPr>
        <w:t>واستخدمت اللجنة "مشروع معاهدة الويبو بشأن هيئات البث" (الوثيقة</w:t>
      </w:r>
      <w:r>
        <w:rPr>
          <w:rFonts w:hint="eastAsia"/>
          <w:rtl/>
        </w:rPr>
        <w:t> </w:t>
      </w:r>
      <w:r w:rsidRPr="00126320">
        <w:rPr>
          <w:lang w:bidi="ar-EG"/>
        </w:rPr>
        <w:t>SCCR/45/3</w:t>
      </w:r>
      <w:r>
        <w:rPr>
          <w:rFonts w:hint="cs"/>
          <w:rtl/>
          <w:lang w:bidi="ar-EG"/>
        </w:rPr>
        <w:t>)</w:t>
      </w:r>
      <w:r w:rsidRPr="00126320">
        <w:rPr>
          <w:rFonts w:hint="cs"/>
          <w:rtl/>
        </w:rPr>
        <w:t>، كأساس للمناقشة</w:t>
      </w:r>
      <w:r>
        <w:rPr>
          <w:rFonts w:hint="cs"/>
          <w:rtl/>
        </w:rPr>
        <w:t>.</w:t>
      </w:r>
    </w:p>
    <w:p w14:paraId="53999360" w14:textId="77777777" w:rsidR="00126320" w:rsidRPr="00126320" w:rsidRDefault="00126320" w:rsidP="00126320">
      <w:pPr>
        <w:pStyle w:val="ONUMA"/>
        <w:rPr>
          <w:rtl/>
        </w:rPr>
      </w:pPr>
      <w:r w:rsidRPr="00126320">
        <w:rPr>
          <w:rFonts w:hint="cs"/>
          <w:rtl/>
        </w:rPr>
        <w:t xml:space="preserve">وفيما يلي تقييم الرئيسة لحالة هذا العمل. فيما يتعلق بالأهداف، هناك تفاهم مشترك بين اللجنة على أن المعاهدة ينبغي أن تركز تركيزاً ضيقاً على قرصنة الإشارات، وينبغي ألا يتناول نطاقها أياً من أنشطة ما بعد التثبيت، وأنها ينبغي أن توفر للدول الأعضاء المرونة اللازمة لتنفيذ الالتزامات من خلال وسائل قانونية مناسبة وفعالة. وهناك أيضاً فهم مشترك بأن موضوع الحماية (موضوع) بموجب المعاهدة يتعلق بإرسال الإشارات الحاملة للبرامج المرتبطة بالإرسال الخطي. </w:t>
      </w:r>
    </w:p>
    <w:p w14:paraId="5FEDE3ED" w14:textId="4531C1CD" w:rsidR="00D251C0" w:rsidRDefault="00126320" w:rsidP="00126320">
      <w:pPr>
        <w:pStyle w:val="ONUMA"/>
      </w:pPr>
      <w:r w:rsidRPr="00126320">
        <w:rPr>
          <w:rFonts w:hint="cs"/>
          <w:rtl/>
        </w:rPr>
        <w:t xml:space="preserve">وتلاحظ الرئيسة التقدم المحرز في العديد من مواضيع النقاش مما سيسمح </w:t>
      </w:r>
      <w:r w:rsidR="00D251C0">
        <w:rPr>
          <w:rFonts w:hint="cs"/>
          <w:rtl/>
        </w:rPr>
        <w:t xml:space="preserve">للجنة </w:t>
      </w:r>
      <w:r w:rsidRPr="00126320">
        <w:rPr>
          <w:rFonts w:hint="cs"/>
          <w:rtl/>
        </w:rPr>
        <w:t xml:space="preserve">بتضييق الفجوات بين المواقف المختلفة، ولكن لم يكن هناك اتفاق على التغييرات المقترحة على عدة مواد.  وعلى وجه الخصوص، </w:t>
      </w:r>
      <w:r w:rsidR="00D251C0">
        <w:rPr>
          <w:rFonts w:hint="cs"/>
          <w:rtl/>
        </w:rPr>
        <w:t xml:space="preserve">قدّمت اقتراحات إيجابية </w:t>
      </w:r>
      <w:r w:rsidRPr="00126320">
        <w:rPr>
          <w:rFonts w:hint="cs"/>
          <w:rtl/>
        </w:rPr>
        <w:t>بشأن تعريف مؤسسات البث؛ والمستفيدين من الحماية؛</w:t>
      </w:r>
      <w:r w:rsidR="00D251C0">
        <w:rPr>
          <w:rFonts w:hint="cs"/>
          <w:rtl/>
        </w:rPr>
        <w:t xml:space="preserve"> و</w:t>
      </w:r>
      <w:r w:rsidR="00D251C0" w:rsidRPr="00D251C0">
        <w:rPr>
          <w:rtl/>
        </w:rPr>
        <w:t>ضمان ألا تمنع تدابير الحماية التقنية المستفيدين من التمتع بال</w:t>
      </w:r>
      <w:r w:rsidR="00D251C0">
        <w:rPr>
          <w:rFonts w:hint="cs"/>
          <w:rtl/>
        </w:rPr>
        <w:t>ت</w:t>
      </w:r>
      <w:r w:rsidR="00D251C0" w:rsidRPr="00D251C0">
        <w:rPr>
          <w:rtl/>
        </w:rPr>
        <w:t>قي</w:t>
      </w:r>
      <w:r w:rsidR="00D251C0">
        <w:rPr>
          <w:rFonts w:hint="cs"/>
          <w:rtl/>
        </w:rPr>
        <w:t>ي</w:t>
      </w:r>
      <w:r w:rsidR="00D251C0" w:rsidRPr="00D251C0">
        <w:rPr>
          <w:rtl/>
        </w:rPr>
        <w:t>د</w:t>
      </w:r>
      <w:r w:rsidR="00D251C0">
        <w:rPr>
          <w:rFonts w:hint="cs"/>
          <w:rtl/>
        </w:rPr>
        <w:t>ات</w:t>
      </w:r>
      <w:r w:rsidR="00D251C0" w:rsidRPr="00D251C0">
        <w:rPr>
          <w:rtl/>
        </w:rPr>
        <w:t xml:space="preserve"> والاستثناءات المنصوص عليها في المعاهدة</w:t>
      </w:r>
      <w:r w:rsidR="00D251C0">
        <w:rPr>
          <w:rFonts w:hint="cs"/>
          <w:rtl/>
        </w:rPr>
        <w:t>؛</w:t>
      </w:r>
      <w:r w:rsidRPr="00126320">
        <w:rPr>
          <w:rFonts w:hint="cs"/>
          <w:rtl/>
        </w:rPr>
        <w:t xml:space="preserve"> وتوفير مرونة إضافية بشأن تنفيذ الأطراف المتعاقدة لوسائل الحماية الكافية والفعالة</w:t>
      </w:r>
      <w:r w:rsidR="00D251C0">
        <w:rPr>
          <w:rFonts w:hint="cs"/>
          <w:rtl/>
        </w:rPr>
        <w:t xml:space="preserve">. وأشارت إلى </w:t>
      </w:r>
      <w:r w:rsidR="00D251C0" w:rsidRPr="00D251C0">
        <w:rPr>
          <w:rtl/>
        </w:rPr>
        <w:t>اقتراح بأن لا يطب</w:t>
      </w:r>
      <w:r w:rsidR="00D251C0">
        <w:rPr>
          <w:rFonts w:hint="cs"/>
          <w:rtl/>
        </w:rPr>
        <w:t>ّ</w:t>
      </w:r>
      <w:r w:rsidR="00D251C0" w:rsidRPr="00D251C0">
        <w:rPr>
          <w:rtl/>
        </w:rPr>
        <w:t xml:space="preserve">ق حكم المعاملة الوطنية على أي </w:t>
      </w:r>
      <w:r w:rsidR="00D251C0" w:rsidRPr="00126320">
        <w:rPr>
          <w:rFonts w:hint="cs"/>
          <w:rtl/>
        </w:rPr>
        <w:t xml:space="preserve">أنظمة مكافآت </w:t>
      </w:r>
      <w:r w:rsidR="00D251C0" w:rsidRPr="00D251C0">
        <w:rPr>
          <w:rtl/>
        </w:rPr>
        <w:t>منصوص عليها في إطار ال</w:t>
      </w:r>
      <w:r w:rsidR="00D251C0">
        <w:rPr>
          <w:rFonts w:hint="cs"/>
          <w:rtl/>
        </w:rPr>
        <w:t>ت</w:t>
      </w:r>
      <w:r w:rsidR="00D251C0" w:rsidRPr="00D251C0">
        <w:rPr>
          <w:rtl/>
        </w:rPr>
        <w:t>قي</w:t>
      </w:r>
      <w:r w:rsidR="00D251C0">
        <w:rPr>
          <w:rFonts w:hint="cs"/>
          <w:rtl/>
        </w:rPr>
        <w:t>ي</w:t>
      </w:r>
      <w:r w:rsidR="00D251C0" w:rsidRPr="00D251C0">
        <w:rPr>
          <w:rtl/>
        </w:rPr>
        <w:t>د</w:t>
      </w:r>
      <w:r w:rsidR="00D251C0">
        <w:rPr>
          <w:rFonts w:hint="cs"/>
          <w:rtl/>
        </w:rPr>
        <w:t>ات</w:t>
      </w:r>
      <w:r w:rsidR="00D251C0" w:rsidRPr="00D251C0">
        <w:rPr>
          <w:rtl/>
        </w:rPr>
        <w:t xml:space="preserve"> والاستثناءات التي تغطيها المعاهدة</w:t>
      </w:r>
      <w:r w:rsidR="00D251C0">
        <w:rPr>
          <w:rFonts w:hint="cs"/>
          <w:rtl/>
        </w:rPr>
        <w:t>.</w:t>
      </w:r>
    </w:p>
    <w:p w14:paraId="7A8101C7" w14:textId="1034D5EB" w:rsidR="00C17E4C" w:rsidRDefault="00126320" w:rsidP="00126320">
      <w:pPr>
        <w:pStyle w:val="ONUMA"/>
      </w:pPr>
      <w:r w:rsidRPr="00126320">
        <w:rPr>
          <w:rFonts w:hint="cs"/>
          <w:rtl/>
        </w:rPr>
        <w:t>وبالإضافة إلى ما سبق، تلاحظ الرئيسة أن احتم</w:t>
      </w:r>
      <w:r w:rsidR="00D251C0">
        <w:rPr>
          <w:rFonts w:hint="cs"/>
          <w:rtl/>
        </w:rPr>
        <w:t>ا</w:t>
      </w:r>
      <w:r w:rsidRPr="00126320">
        <w:rPr>
          <w:rFonts w:hint="cs"/>
          <w:rtl/>
        </w:rPr>
        <w:t xml:space="preserve">ل </w:t>
      </w:r>
      <w:r w:rsidR="00D251C0">
        <w:rPr>
          <w:rFonts w:hint="cs"/>
          <w:rtl/>
        </w:rPr>
        <w:t>استبعاد ا</w:t>
      </w:r>
      <w:r w:rsidRPr="00126320">
        <w:rPr>
          <w:rFonts w:hint="cs"/>
          <w:rtl/>
        </w:rPr>
        <w:t xml:space="preserve">لبث الشبكي البحت من نطاق المعاهدة قد يكون مطلوبًا أيضًا من أجل تحقيق </w:t>
      </w:r>
      <w:r w:rsidR="00D251C0">
        <w:rPr>
          <w:rFonts w:hint="cs"/>
          <w:rtl/>
        </w:rPr>
        <w:t>ا</w:t>
      </w:r>
      <w:r w:rsidRPr="00126320">
        <w:rPr>
          <w:rFonts w:hint="cs"/>
          <w:rtl/>
        </w:rPr>
        <w:t>تف</w:t>
      </w:r>
      <w:r w:rsidR="00D251C0">
        <w:rPr>
          <w:rFonts w:hint="cs"/>
          <w:rtl/>
        </w:rPr>
        <w:t>ا</w:t>
      </w:r>
      <w:r w:rsidRPr="00126320">
        <w:rPr>
          <w:rFonts w:hint="cs"/>
          <w:rtl/>
        </w:rPr>
        <w:t xml:space="preserve">ق أوسع. </w:t>
      </w:r>
      <w:r w:rsidR="00D251C0">
        <w:rPr>
          <w:rFonts w:hint="cs"/>
          <w:rtl/>
        </w:rPr>
        <w:t>وستطبّق ا</w:t>
      </w:r>
      <w:r w:rsidRPr="00126320">
        <w:rPr>
          <w:rFonts w:hint="cs"/>
          <w:rtl/>
        </w:rPr>
        <w:t xml:space="preserve">لدول الأعضاء التي </w:t>
      </w:r>
      <w:r w:rsidR="00D251C0">
        <w:rPr>
          <w:rFonts w:hint="cs"/>
          <w:rtl/>
        </w:rPr>
        <w:t>أ</w:t>
      </w:r>
      <w:r w:rsidRPr="00126320">
        <w:rPr>
          <w:rFonts w:hint="cs"/>
          <w:rtl/>
        </w:rPr>
        <w:t>بد</w:t>
      </w:r>
      <w:r w:rsidR="00D251C0">
        <w:rPr>
          <w:rFonts w:hint="cs"/>
          <w:rtl/>
        </w:rPr>
        <w:t>ت</w:t>
      </w:r>
      <w:r w:rsidRPr="00126320">
        <w:rPr>
          <w:rFonts w:hint="cs"/>
          <w:rtl/>
        </w:rPr>
        <w:t xml:space="preserve"> تحفظات</w:t>
      </w:r>
      <w:r w:rsidR="00D251C0">
        <w:rPr>
          <w:rFonts w:hint="cs"/>
          <w:rtl/>
        </w:rPr>
        <w:t xml:space="preserve"> بهذا الصدد</w:t>
      </w:r>
      <w:r w:rsidRPr="00126320">
        <w:rPr>
          <w:rFonts w:hint="cs"/>
          <w:rtl/>
        </w:rPr>
        <w:t xml:space="preserve">، حماية </w:t>
      </w:r>
      <w:r w:rsidR="00D251C0">
        <w:rPr>
          <w:rFonts w:hint="cs"/>
          <w:rtl/>
        </w:rPr>
        <w:t xml:space="preserve">المعاهدة </w:t>
      </w:r>
      <w:r w:rsidR="00C17E4C">
        <w:rPr>
          <w:rFonts w:hint="cs"/>
          <w:rtl/>
        </w:rPr>
        <w:t xml:space="preserve">على </w:t>
      </w:r>
      <w:r w:rsidRPr="00126320">
        <w:rPr>
          <w:rFonts w:hint="cs"/>
          <w:rtl/>
        </w:rPr>
        <w:t xml:space="preserve">هيئات البث </w:t>
      </w:r>
      <w:r w:rsidR="00C17E4C">
        <w:rPr>
          <w:rFonts w:hint="cs"/>
          <w:rtl/>
        </w:rPr>
        <w:t xml:space="preserve">بالمعنى التقليدي </w:t>
      </w:r>
      <w:r w:rsidR="00C17E4C" w:rsidRPr="00C17E4C">
        <w:rPr>
          <w:rtl/>
        </w:rPr>
        <w:t xml:space="preserve">أيًا كانت وسيلة </w:t>
      </w:r>
      <w:r w:rsidR="00C17E4C">
        <w:rPr>
          <w:rFonts w:hint="cs"/>
          <w:rtl/>
        </w:rPr>
        <w:t>إرسال</w:t>
      </w:r>
      <w:r w:rsidR="00C17E4C" w:rsidRPr="00C17E4C">
        <w:rPr>
          <w:rtl/>
        </w:rPr>
        <w:t xml:space="preserve">ها، ولكن ليس </w:t>
      </w:r>
      <w:r w:rsidR="00C17E4C">
        <w:rPr>
          <w:rFonts w:hint="cs"/>
          <w:rtl/>
        </w:rPr>
        <w:t>على هيئات ا</w:t>
      </w:r>
      <w:r w:rsidR="00C17E4C" w:rsidRPr="00126320">
        <w:rPr>
          <w:rFonts w:hint="cs"/>
          <w:rtl/>
        </w:rPr>
        <w:t>لبث الشبكي البحت</w:t>
      </w:r>
      <w:r w:rsidR="00C17E4C">
        <w:rPr>
          <w:rFonts w:hint="cs"/>
          <w:rtl/>
        </w:rPr>
        <w:t>.</w:t>
      </w:r>
      <w:r w:rsidR="00C17E4C" w:rsidRPr="00C17E4C">
        <w:rPr>
          <w:rtl/>
        </w:rPr>
        <w:t xml:space="preserve"> </w:t>
      </w:r>
      <w:r w:rsidRPr="00126320">
        <w:rPr>
          <w:rFonts w:hint="cs"/>
          <w:rtl/>
        </w:rPr>
        <w:t>وفي هذه الحالة، تنتفي الحاجة إلى المادة 6(2).</w:t>
      </w:r>
      <w:r w:rsidR="00C17E4C">
        <w:rPr>
          <w:rFonts w:hint="cs"/>
          <w:rtl/>
        </w:rPr>
        <w:t xml:space="preserve"> </w:t>
      </w:r>
      <w:r w:rsidR="00C17E4C" w:rsidRPr="00C17E4C">
        <w:rPr>
          <w:rtl/>
        </w:rPr>
        <w:t>وأشارت دول أعضاء أخرى إلى أنها تحتاج إلى مزيد من المشاورات بشأن الآثار المترتبة على حذف المادة 6 (2).</w:t>
      </w:r>
    </w:p>
    <w:p w14:paraId="3723E6F8" w14:textId="55FF5E47" w:rsidR="00126320" w:rsidRPr="00126320" w:rsidRDefault="00126320" w:rsidP="00126320">
      <w:pPr>
        <w:pStyle w:val="ONUMA"/>
        <w:rPr>
          <w:rtl/>
        </w:rPr>
      </w:pPr>
      <w:r w:rsidRPr="00126320">
        <w:rPr>
          <w:rFonts w:hint="cs"/>
          <w:rtl/>
        </w:rPr>
        <w:t xml:space="preserve">وتحقيق توافق في الآراء قد يستدعي أيضاً معالجة جديدة لاختبار الخطوات الثلاث في المادة 11. </w:t>
      </w:r>
    </w:p>
    <w:p w14:paraId="4C054F70" w14:textId="77777777" w:rsidR="00126320" w:rsidRPr="00126320" w:rsidRDefault="00126320" w:rsidP="00126320">
      <w:pPr>
        <w:pStyle w:val="ONUMA"/>
        <w:rPr>
          <w:rtl/>
        </w:rPr>
      </w:pPr>
      <w:r w:rsidRPr="00126320">
        <w:rPr>
          <w:rFonts w:hint="cs"/>
          <w:rtl/>
        </w:rPr>
        <w:t>وأشارت الرئيسة إلى أن بعض الدول الأعضاء رأت أن النص جاهز للتفاوض النهائي في مؤتمر دبلوماسي في عام 2025، بينما رأت دول أعضاء أخرى أن هناك حاجة إلى مزيد من المناقشات.</w:t>
      </w:r>
    </w:p>
    <w:p w14:paraId="6A714B0E" w14:textId="5D6944BF" w:rsidR="00126320" w:rsidRPr="00126320" w:rsidRDefault="00126320" w:rsidP="00126320">
      <w:pPr>
        <w:pStyle w:val="ONUMA"/>
        <w:rPr>
          <w:rtl/>
        </w:rPr>
      </w:pPr>
      <w:r w:rsidRPr="00126320">
        <w:rPr>
          <w:rFonts w:hint="cs"/>
          <w:rtl/>
        </w:rPr>
        <w:t xml:space="preserve">واستناداً إلى ما سبق، ستقوم الرئيسة بإعداد صياغة جديدة للنص بغية السماح للجنة بأن </w:t>
      </w:r>
      <w:r w:rsidR="00C17E4C">
        <w:rPr>
          <w:rFonts w:hint="cs"/>
          <w:rtl/>
        </w:rPr>
        <w:t>تناقش النص و</w:t>
      </w:r>
      <w:r w:rsidRPr="00126320">
        <w:rPr>
          <w:rFonts w:hint="cs"/>
          <w:rtl/>
        </w:rPr>
        <w:t>تواصل</w:t>
      </w:r>
      <w:r w:rsidR="00C17E4C">
        <w:rPr>
          <w:rFonts w:hint="cs"/>
          <w:rtl/>
        </w:rPr>
        <w:t xml:space="preserve"> النظر</w:t>
      </w:r>
      <w:r w:rsidRPr="00126320">
        <w:rPr>
          <w:rFonts w:hint="cs"/>
          <w:rtl/>
        </w:rPr>
        <w:t xml:space="preserve"> خلال الدورة السادسة والأربعين للجنة حق المؤلف، فيما إذا كانت ستوصي الجمعية العامة بعقد مؤتمر دبلوماسي أم لا.</w:t>
      </w:r>
    </w:p>
    <w:p w14:paraId="55026C95" w14:textId="77777777" w:rsidR="00126320" w:rsidRPr="00126320" w:rsidRDefault="00126320" w:rsidP="00126320">
      <w:pPr>
        <w:pStyle w:val="ONUMA"/>
        <w:rPr>
          <w:rtl/>
        </w:rPr>
      </w:pPr>
      <w:r w:rsidRPr="00126320">
        <w:rPr>
          <w:rFonts w:hint="cs"/>
          <w:rtl/>
        </w:rPr>
        <w:lastRenderedPageBreak/>
        <w:t xml:space="preserve"> وسيبقى هذا البند على جدول أعمال الدورة السادسة والأربعين للجنة حق المؤلف.</w:t>
      </w:r>
    </w:p>
    <w:p w14:paraId="4B1C4E58" w14:textId="77777777" w:rsidR="00126320" w:rsidRPr="00126320" w:rsidRDefault="00126320" w:rsidP="00126320">
      <w:pPr>
        <w:pStyle w:val="Heading2"/>
        <w:spacing w:after="240"/>
        <w:rPr>
          <w:i/>
          <w:iCs w:val="0"/>
          <w:sz w:val="24"/>
          <w:szCs w:val="24"/>
          <w:rtl/>
        </w:rPr>
      </w:pPr>
      <w:r w:rsidRPr="00126320">
        <w:rPr>
          <w:rFonts w:hint="cs"/>
          <w:i/>
          <w:iCs w:val="0"/>
          <w:sz w:val="24"/>
          <w:szCs w:val="24"/>
          <w:rtl/>
        </w:rPr>
        <w:t>البند 5 من جدول الأعمال:  التقييدات والاستثناءات لفائدة المكتبات ودور المحفوظات</w:t>
      </w:r>
    </w:p>
    <w:p w14:paraId="17F66A13" w14:textId="77777777" w:rsidR="00126320" w:rsidRPr="00126320" w:rsidRDefault="00126320" w:rsidP="00126320">
      <w:pPr>
        <w:pStyle w:val="Heading2"/>
        <w:spacing w:after="240"/>
        <w:rPr>
          <w:i/>
          <w:iCs w:val="0"/>
          <w:sz w:val="24"/>
          <w:szCs w:val="24"/>
          <w:rtl/>
        </w:rPr>
      </w:pPr>
      <w:r w:rsidRPr="00126320">
        <w:rPr>
          <w:rFonts w:hint="cs"/>
          <w:i/>
          <w:iCs w:val="0"/>
          <w:sz w:val="24"/>
          <w:szCs w:val="24"/>
          <w:rtl/>
        </w:rPr>
        <w:t>البند 6 من جدول الأعمال:  التقييدات والاستثناءات لفائدة مؤسسات التعليم والبحث ولفائدة الأشخاص ذوي إعاقات أخرى</w:t>
      </w:r>
    </w:p>
    <w:p w14:paraId="1521446D" w14:textId="0B44F3CF" w:rsidR="00126320" w:rsidRDefault="00126320" w:rsidP="00126320">
      <w:pPr>
        <w:pStyle w:val="ONUMA"/>
      </w:pPr>
      <w:r w:rsidRPr="00126320">
        <w:rPr>
          <w:rFonts w:hint="cs"/>
          <w:rtl/>
        </w:rPr>
        <w:t xml:space="preserve"> تم تناول هذين البندين من جدول الأعمال معاً.  يمكن الاطلاع على وثائق الدورات السابقة المتعلقة بهذا البند من جدول الأعمال على الصفحة الإلكترونية المخصصة للدورة 45 للجنة على:</w:t>
      </w:r>
      <w:r>
        <w:rPr>
          <w:rFonts w:hint="cs"/>
          <w:rtl/>
        </w:rPr>
        <w:t xml:space="preserve"> </w:t>
      </w:r>
      <w:hyperlink r:id="rId13" w:history="1">
        <w:r w:rsidR="00CC0FD6" w:rsidRPr="00721FA9">
          <w:rPr>
            <w:rStyle w:val="Hyperlink"/>
          </w:rPr>
          <w:t>https://</w:t>
        </w:r>
        <w:proofErr w:type="spellStart"/>
        <w:r w:rsidR="00CC0FD6" w:rsidRPr="00721FA9">
          <w:rPr>
            <w:rStyle w:val="Hyperlink"/>
          </w:rPr>
          <w:t>www.wipo.int</w:t>
        </w:r>
        <w:proofErr w:type="spellEnd"/>
        <w:r w:rsidR="00CC0FD6" w:rsidRPr="00721FA9">
          <w:rPr>
            <w:rStyle w:val="Hyperlink"/>
          </w:rPr>
          <w:t>/meetings/</w:t>
        </w:r>
        <w:proofErr w:type="spellStart"/>
        <w:r w:rsidR="00CC0FD6" w:rsidRPr="00721FA9">
          <w:rPr>
            <w:rStyle w:val="Hyperlink"/>
          </w:rPr>
          <w:t>ar</w:t>
        </w:r>
        <w:proofErr w:type="spellEnd"/>
        <w:r w:rsidR="00CC0FD6" w:rsidRPr="00721FA9">
          <w:rPr>
            <w:rStyle w:val="Hyperlink"/>
          </w:rPr>
          <w:t>/</w:t>
        </w:r>
        <w:proofErr w:type="spellStart"/>
        <w:r w:rsidR="00CC0FD6" w:rsidRPr="00721FA9">
          <w:rPr>
            <w:rStyle w:val="Hyperlink"/>
          </w:rPr>
          <w:t>details.jsp?meeting_id</w:t>
        </w:r>
        <w:proofErr w:type="spellEnd"/>
        <w:r w:rsidR="00CC0FD6" w:rsidRPr="00721FA9">
          <w:rPr>
            <w:rStyle w:val="Hyperlink"/>
          </w:rPr>
          <w:t>=80924</w:t>
        </w:r>
      </w:hyperlink>
      <w:r w:rsidR="00CC0FD6">
        <w:rPr>
          <w:rFonts w:hint="cs"/>
          <w:rtl/>
        </w:rPr>
        <w:t>.</w:t>
      </w:r>
    </w:p>
    <w:p w14:paraId="26781140" w14:textId="074C65B8" w:rsidR="00126320" w:rsidRPr="00CC0FD6" w:rsidRDefault="00126320" w:rsidP="00CC0FD6">
      <w:pPr>
        <w:pStyle w:val="ONUMA"/>
      </w:pPr>
      <w:r w:rsidRPr="00126320">
        <w:rPr>
          <w:rFonts w:hint="cs"/>
          <w:rtl/>
        </w:rPr>
        <w:t xml:space="preserve">وقدمت الأمانة العامة تقريرًا عن حلقة النقاش الافتراضية بشأن الاستخدامات عبر الحدود للمصنفات المحمية بحق المؤلف في قطاعي التعليم والبحث، باستخدام نهج دراسة الحالة، التي عقدت خلال فترة ما بين الدورتين في </w:t>
      </w:r>
      <w:r w:rsidR="00C17E4C">
        <w:rPr>
          <w:rFonts w:hint="cs"/>
          <w:rtl/>
        </w:rPr>
        <w:t>15</w:t>
      </w:r>
      <w:r w:rsidRPr="00126320">
        <w:rPr>
          <w:rFonts w:hint="cs"/>
          <w:rtl/>
        </w:rPr>
        <w:t xml:space="preserve"> مارس 2024.  ويتاح رابط الفيديو الخاص بالجلسة على</w:t>
      </w:r>
      <w:r w:rsidR="00CC0FD6">
        <w:rPr>
          <w:rFonts w:hint="cs"/>
          <w:rtl/>
          <w:lang w:val="fr-CH" w:bidi="ar-SY"/>
        </w:rPr>
        <w:t xml:space="preserve"> </w:t>
      </w:r>
      <w:hyperlink r:id="rId14" w:history="1">
        <w:r w:rsidR="00CC0FD6" w:rsidRPr="00721FA9">
          <w:rPr>
            <w:rStyle w:val="Hyperlink"/>
            <w:lang w:val="fr-CH" w:bidi="ar-SY"/>
          </w:rPr>
          <w:t>https://</w:t>
        </w:r>
        <w:proofErr w:type="spellStart"/>
        <w:r w:rsidR="00CC0FD6" w:rsidRPr="00721FA9">
          <w:rPr>
            <w:rStyle w:val="Hyperlink"/>
            <w:lang w:val="fr-CH" w:bidi="ar-SY"/>
          </w:rPr>
          <w:t>www.wipo.int</w:t>
        </w:r>
        <w:proofErr w:type="spellEnd"/>
        <w:r w:rsidR="00CC0FD6" w:rsidRPr="00721FA9">
          <w:rPr>
            <w:rStyle w:val="Hyperlink"/>
            <w:lang w:val="fr-CH" w:bidi="ar-SY"/>
          </w:rPr>
          <w:t>/meetings/</w:t>
        </w:r>
        <w:proofErr w:type="spellStart"/>
        <w:r w:rsidR="00CC0FD6" w:rsidRPr="00721FA9">
          <w:rPr>
            <w:rStyle w:val="Hyperlink"/>
            <w:lang w:val="fr-CH" w:bidi="ar-SY"/>
          </w:rPr>
          <w:t>ar</w:t>
        </w:r>
        <w:proofErr w:type="spellEnd"/>
        <w:r w:rsidR="00CC0FD6" w:rsidRPr="00721FA9">
          <w:rPr>
            <w:rStyle w:val="Hyperlink"/>
            <w:lang w:val="fr-CH" w:bidi="ar-SY"/>
          </w:rPr>
          <w:t>/</w:t>
        </w:r>
        <w:proofErr w:type="spellStart"/>
        <w:r w:rsidR="00CC0FD6" w:rsidRPr="00721FA9">
          <w:rPr>
            <w:rStyle w:val="Hyperlink"/>
            <w:lang w:val="fr-CH" w:bidi="ar-SY"/>
          </w:rPr>
          <w:t>doc_details.jsp?doc_id</w:t>
        </w:r>
        <w:proofErr w:type="spellEnd"/>
        <w:r w:rsidR="00CC0FD6" w:rsidRPr="00721FA9">
          <w:rPr>
            <w:rStyle w:val="Hyperlink"/>
            <w:lang w:val="fr-CH" w:bidi="ar-SY"/>
          </w:rPr>
          <w:t>=628926</w:t>
        </w:r>
      </w:hyperlink>
      <w:r w:rsidR="00CC0FD6">
        <w:rPr>
          <w:rFonts w:hint="cs"/>
          <w:rtl/>
          <w:lang w:val="fr-CH" w:bidi="ar-SY"/>
        </w:rPr>
        <w:t>.</w:t>
      </w:r>
    </w:p>
    <w:p w14:paraId="4960689F" w14:textId="77E2DE1A" w:rsidR="00126320" w:rsidRPr="00126320" w:rsidRDefault="00126320" w:rsidP="00CC0FD6">
      <w:pPr>
        <w:pStyle w:val="ONUMA"/>
        <w:rPr>
          <w:rtl/>
        </w:rPr>
      </w:pPr>
      <w:r w:rsidRPr="00126320">
        <w:rPr>
          <w:rFonts w:hint="cs"/>
          <w:rtl/>
        </w:rPr>
        <w:t xml:space="preserve">وعرضت الأمانة </w:t>
      </w:r>
      <w:r w:rsidRPr="00CC0FD6">
        <w:rPr>
          <w:rFonts w:hint="cs"/>
          <w:i/>
          <w:iCs/>
          <w:rtl/>
        </w:rPr>
        <w:t>مشروع خطة تنفيذ برنامج العمل بشأن الاستثناءات والتقييدات والتعليقات الأولية المتلقاة بحلول 29 مارس 2024</w:t>
      </w:r>
      <w:r w:rsidRPr="00126320">
        <w:rPr>
          <w:rFonts w:hint="cs"/>
          <w:rtl/>
        </w:rPr>
        <w:t xml:space="preserve"> (الوثيقة</w:t>
      </w:r>
      <w:r w:rsidR="00CC0FD6">
        <w:rPr>
          <w:rFonts w:hint="eastAsia"/>
          <w:rtl/>
        </w:rPr>
        <w:t> </w:t>
      </w:r>
      <w:r w:rsidRPr="00126320">
        <w:rPr>
          <w:lang w:bidi="ar-EG"/>
        </w:rPr>
        <w:t>SCCR/45/6</w:t>
      </w:r>
      <w:r w:rsidR="00CC0FD6">
        <w:rPr>
          <w:rFonts w:hint="cs"/>
          <w:rtl/>
          <w:lang w:bidi="ar-EG"/>
        </w:rPr>
        <w:t xml:space="preserve">). </w:t>
      </w:r>
      <w:r w:rsidRPr="00126320">
        <w:rPr>
          <w:rFonts w:hint="cs"/>
          <w:rtl/>
        </w:rPr>
        <w:t xml:space="preserve">وقد أُعدّ مشروع الخطة استجابة للطلب الذي وجّه في الدورة الرابعة والأربعين للجنة حق المؤلف إلى الأمانة العامة بإعداد خطة تنفيذ مفصلة </w:t>
      </w:r>
      <w:r w:rsidRPr="00CC0FD6">
        <w:rPr>
          <w:rFonts w:hint="cs"/>
          <w:i/>
          <w:iCs/>
          <w:rtl/>
        </w:rPr>
        <w:t>لبرنامج العمل بشأن الاستثناءات والتقييدات</w:t>
      </w:r>
      <w:r w:rsidRPr="00126320">
        <w:rPr>
          <w:rFonts w:hint="cs"/>
          <w:rtl/>
        </w:rPr>
        <w:t xml:space="preserve"> الذي اعتمدته اللجنة في دورتها الثالثة والأربعين (الوثيقة</w:t>
      </w:r>
      <w:r w:rsidR="00CC0FD6">
        <w:rPr>
          <w:rFonts w:hint="eastAsia"/>
          <w:rtl/>
        </w:rPr>
        <w:t> </w:t>
      </w:r>
      <w:r w:rsidRPr="00126320">
        <w:rPr>
          <w:lang w:bidi="ar-EG"/>
        </w:rPr>
        <w:t>SCCR/43/8</w:t>
      </w:r>
      <w:r w:rsidR="00C17E4C">
        <w:rPr>
          <w:lang w:bidi="ar-EG"/>
        </w:rPr>
        <w:t xml:space="preserve"> REV.</w:t>
      </w:r>
      <w:r w:rsidR="00CC0FD6">
        <w:rPr>
          <w:rFonts w:hint="cs"/>
          <w:rtl/>
          <w:lang w:bidi="ar-EG"/>
        </w:rPr>
        <w:t>)</w:t>
      </w:r>
      <w:r w:rsidRPr="00126320">
        <w:rPr>
          <w:rFonts w:hint="cs"/>
          <w:rtl/>
        </w:rPr>
        <w:t>، مع مراعاة التعليقات التي أبديت خلال الدورة الرابعة والأربعين للجنة حق المؤلف والتشاور مع الدول الأعضاء بشأن نسخة المشروع</w:t>
      </w:r>
      <w:r w:rsidR="00CC0FD6">
        <w:rPr>
          <w:rFonts w:hint="cs"/>
          <w:rtl/>
        </w:rPr>
        <w:t>.</w:t>
      </w:r>
    </w:p>
    <w:p w14:paraId="4A81A7E9" w14:textId="0138E364" w:rsidR="00126320" w:rsidRPr="00126320" w:rsidRDefault="00126320" w:rsidP="00CC0FD6">
      <w:pPr>
        <w:pStyle w:val="ONUMA"/>
        <w:rPr>
          <w:rtl/>
        </w:rPr>
      </w:pPr>
      <w:r w:rsidRPr="00126320">
        <w:rPr>
          <w:rFonts w:hint="cs"/>
          <w:rtl/>
        </w:rPr>
        <w:t xml:space="preserve"> وقدم وفد الولايات المتحدة الأمريكية شرحاً للوثيقة المعنونة </w:t>
      </w:r>
      <w:r w:rsidRPr="00CC0FD6">
        <w:rPr>
          <w:rFonts w:hint="cs"/>
          <w:i/>
          <w:iCs/>
          <w:rtl/>
        </w:rPr>
        <w:t>نسخة محدثة من وثيقة "الأهداف والمبادئ بشأن الاستثناءات والتقييدات لفائدة المكتبات ودور المحفوظات"</w:t>
      </w:r>
      <w:r w:rsidRPr="00126320">
        <w:rPr>
          <w:rFonts w:hint="cs"/>
          <w:rtl/>
        </w:rPr>
        <w:t xml:space="preserve"> </w:t>
      </w:r>
      <w:r w:rsidRPr="00CC0FD6">
        <w:rPr>
          <w:rFonts w:hint="cs"/>
          <w:i/>
          <w:iCs/>
          <w:rtl/>
        </w:rPr>
        <w:t>(</w:t>
      </w:r>
      <w:r w:rsidRPr="00CC0FD6">
        <w:rPr>
          <w:i/>
          <w:iCs/>
          <w:lang w:bidi="ar-EG"/>
        </w:rPr>
        <w:t>SCCR/26/8</w:t>
      </w:r>
      <w:r w:rsidRPr="00CC0FD6">
        <w:rPr>
          <w:rFonts w:hint="cs"/>
          <w:i/>
          <w:iCs/>
          <w:rtl/>
        </w:rPr>
        <w:t xml:space="preserve">) </w:t>
      </w:r>
      <w:r w:rsidRPr="00126320">
        <w:rPr>
          <w:rFonts w:hint="cs"/>
          <w:rtl/>
        </w:rPr>
        <w:t>(الوثيقة</w:t>
      </w:r>
      <w:r w:rsidR="00CC0FD6">
        <w:rPr>
          <w:rFonts w:hint="eastAsia"/>
          <w:rtl/>
        </w:rPr>
        <w:t> </w:t>
      </w:r>
      <w:r w:rsidRPr="00126320">
        <w:rPr>
          <w:lang w:bidi="ar-EG"/>
        </w:rPr>
        <w:t>SCCR/44/5</w:t>
      </w:r>
      <w:r w:rsidR="00CC0FD6">
        <w:rPr>
          <w:rFonts w:hint="cs"/>
          <w:rtl/>
          <w:lang w:bidi="ar-EG"/>
        </w:rPr>
        <w:t>)</w:t>
      </w:r>
      <w:r w:rsidRPr="00126320">
        <w:rPr>
          <w:rFonts w:hint="cs"/>
          <w:rtl/>
        </w:rPr>
        <w:t>، التي سبق تقديمها في الدورة الرابعة والأربعين للجنة حق المؤلف في نوفمبر 2023.</w:t>
      </w:r>
    </w:p>
    <w:p w14:paraId="6404B594" w14:textId="769AF72C" w:rsidR="00126320" w:rsidRPr="00126320" w:rsidRDefault="00126320" w:rsidP="00CC0FD6">
      <w:pPr>
        <w:pStyle w:val="ONUMA"/>
        <w:rPr>
          <w:rtl/>
        </w:rPr>
      </w:pPr>
      <w:r w:rsidRPr="00126320">
        <w:rPr>
          <w:rFonts w:hint="cs"/>
          <w:rtl/>
        </w:rPr>
        <w:t xml:space="preserve">وخلال المناقشات التي جرت في الجلسات العامة والجلسات غير الرسمية، ناقشت اللجنة الوثيقة التي ستستخدم كوثيقة أساسية للعمل على الخطوات التالية بشأن بندي جدول الأعمال هذين.  واقترحت بعض المجموعات والوفود استخدام </w:t>
      </w:r>
      <w:r w:rsidRPr="00CC0FD6">
        <w:rPr>
          <w:rFonts w:hint="cs"/>
          <w:i/>
          <w:iCs/>
          <w:rtl/>
        </w:rPr>
        <w:t>مشروع خطة تنفيذ برنامج العمل بشأن الاستثناءات والتقييدات والتعليقات الأولية المتلقاة بحلول 29 مارس 2024</w:t>
      </w:r>
      <w:r w:rsidRPr="00126320">
        <w:rPr>
          <w:rFonts w:hint="cs"/>
          <w:rtl/>
        </w:rPr>
        <w:t xml:space="preserve"> (الوثيقة</w:t>
      </w:r>
      <w:r w:rsidR="00CC0FD6">
        <w:rPr>
          <w:rFonts w:hint="eastAsia"/>
          <w:rtl/>
        </w:rPr>
        <w:t> </w:t>
      </w:r>
      <w:r w:rsidRPr="00126320">
        <w:rPr>
          <w:lang w:bidi="ar-EG"/>
        </w:rPr>
        <w:t>SCCR/45/6</w:t>
      </w:r>
      <w:r w:rsidR="00CC0FD6">
        <w:rPr>
          <w:rFonts w:hint="cs"/>
          <w:rtl/>
          <w:lang w:bidi="ar-EG"/>
        </w:rPr>
        <w:t xml:space="preserve">). </w:t>
      </w:r>
      <w:r w:rsidRPr="00126320">
        <w:rPr>
          <w:rFonts w:hint="cs"/>
          <w:rtl/>
        </w:rPr>
        <w:t xml:space="preserve">واقترحت مجموعات ووفود أخرى استخدام </w:t>
      </w:r>
      <w:r w:rsidRPr="00CC0FD6">
        <w:rPr>
          <w:rFonts w:hint="cs"/>
          <w:i/>
          <w:iCs/>
          <w:rtl/>
        </w:rPr>
        <w:t>مسودة اقتراح من المجموعة الأفريقية بخصوص تنفيذ برنامج العمل بشأن الاستثناءات والتقييدات</w:t>
      </w:r>
      <w:r w:rsidRPr="00126320">
        <w:rPr>
          <w:rFonts w:hint="cs"/>
          <w:rtl/>
        </w:rPr>
        <w:t xml:space="preserve"> (الوثيقة</w:t>
      </w:r>
      <w:r w:rsidR="00CC0FD6">
        <w:rPr>
          <w:rFonts w:hint="eastAsia"/>
          <w:rtl/>
        </w:rPr>
        <w:t> </w:t>
      </w:r>
      <w:r w:rsidRPr="00126320">
        <w:rPr>
          <w:lang w:bidi="ar-EG"/>
        </w:rPr>
        <w:t>SCCR/44/6</w:t>
      </w:r>
      <w:r w:rsidR="00C17E4C">
        <w:rPr>
          <w:lang w:bidi="ar-EG"/>
        </w:rPr>
        <w:t xml:space="preserve"> REV.</w:t>
      </w:r>
      <w:r w:rsidR="00CC0FD6">
        <w:rPr>
          <w:rFonts w:hint="cs"/>
          <w:rtl/>
          <w:lang w:bidi="ar-EG"/>
        </w:rPr>
        <w:t>)</w:t>
      </w:r>
      <w:r w:rsidRPr="00126320">
        <w:rPr>
          <w:rFonts w:hint="cs"/>
          <w:rtl/>
        </w:rPr>
        <w:t>، التي سبق تقديمها في الدورة الرابعة والأربعين للجنة حق المؤلف في نوفمبر 2023.</w:t>
      </w:r>
    </w:p>
    <w:p w14:paraId="396B0F41" w14:textId="63D41808" w:rsidR="00126320" w:rsidRPr="00126320" w:rsidRDefault="00126320" w:rsidP="00CC0FD6">
      <w:pPr>
        <w:pStyle w:val="ONUMA"/>
        <w:rPr>
          <w:rtl/>
        </w:rPr>
      </w:pPr>
      <w:r w:rsidRPr="00126320">
        <w:rPr>
          <w:rFonts w:hint="cs"/>
          <w:rtl/>
        </w:rPr>
        <w:t xml:space="preserve">وبعد مشاورات فيما بين المجموعات والوفود، طُلب إلى اﻷمانة العامة أن تعدّ، خلال الدورة، وثيقة عمل غير رسمية بعنوان </w:t>
      </w:r>
      <w:r w:rsidRPr="00CC0FD6">
        <w:rPr>
          <w:rFonts w:hint="cs"/>
          <w:i/>
          <w:iCs/>
          <w:rtl/>
        </w:rPr>
        <w:t>الوثيقة الحالية</w:t>
      </w:r>
      <w:r w:rsidRPr="00126320">
        <w:rPr>
          <w:rFonts w:hint="cs"/>
          <w:rtl/>
        </w:rPr>
        <w:t xml:space="preserve">، تشمل الوثيقة </w:t>
      </w:r>
      <w:r w:rsidRPr="00126320">
        <w:rPr>
          <w:lang w:bidi="ar-EG"/>
        </w:rPr>
        <w:t>SCCR/45/6</w:t>
      </w:r>
      <w:r w:rsidRPr="00126320">
        <w:rPr>
          <w:rFonts w:hint="cs"/>
          <w:rtl/>
        </w:rPr>
        <w:t xml:space="preserve"> ومرفقها الذي يتضمن جميع التعليقات التي تلقتها اﻷمانة على تلك الوثيقة، وإدراج نص إضافي بشأن </w:t>
      </w:r>
      <w:r w:rsidR="008406B2" w:rsidRPr="008406B2">
        <w:rPr>
          <w:rtl/>
        </w:rPr>
        <w:t>الاقتراح المنقح</w:t>
      </w:r>
      <w:r w:rsidRPr="00126320">
        <w:rPr>
          <w:rFonts w:hint="cs"/>
          <w:rtl/>
        </w:rPr>
        <w:t xml:space="preserve"> </w:t>
      </w:r>
      <w:r w:rsidR="008406B2">
        <w:rPr>
          <w:rFonts w:hint="cs"/>
          <w:rtl/>
        </w:rPr>
        <w:t xml:space="preserve">الذي </w:t>
      </w:r>
      <w:r w:rsidRPr="00126320">
        <w:rPr>
          <w:rFonts w:hint="cs"/>
          <w:rtl/>
        </w:rPr>
        <w:t>قدمته المجموعة اﻷفريقية</w:t>
      </w:r>
      <w:r w:rsidR="008406B2">
        <w:rPr>
          <w:rFonts w:hint="cs"/>
          <w:rtl/>
        </w:rPr>
        <w:t xml:space="preserve"> بناء على </w:t>
      </w:r>
      <w:r w:rsidR="008406B2" w:rsidRPr="00126320">
        <w:rPr>
          <w:rFonts w:hint="cs"/>
          <w:rtl/>
        </w:rPr>
        <w:t>الوثيقة</w:t>
      </w:r>
      <w:r w:rsidR="008406B2">
        <w:rPr>
          <w:rFonts w:hint="eastAsia"/>
          <w:rtl/>
        </w:rPr>
        <w:t> </w:t>
      </w:r>
      <w:r w:rsidR="008406B2" w:rsidRPr="00126320">
        <w:rPr>
          <w:lang w:bidi="ar-EG"/>
        </w:rPr>
        <w:t>SCCR/44/6</w:t>
      </w:r>
      <w:r w:rsidR="008406B2">
        <w:rPr>
          <w:lang w:bidi="ar-EG"/>
        </w:rPr>
        <w:t xml:space="preserve"> REV.</w:t>
      </w:r>
      <w:r w:rsidRPr="00126320">
        <w:rPr>
          <w:rFonts w:hint="cs"/>
          <w:rtl/>
        </w:rPr>
        <w:t xml:space="preserve">. وجرى الاتفاق على أن تحمل الوثيقة الحالية عنوان </w:t>
      </w:r>
      <w:r w:rsidRPr="00CC0FD6">
        <w:rPr>
          <w:rFonts w:hint="cs"/>
          <w:i/>
          <w:iCs/>
          <w:rtl/>
        </w:rPr>
        <w:t xml:space="preserve">مشروع خطة تنفيذ </w:t>
      </w:r>
      <w:r w:rsidR="00692A4A">
        <w:rPr>
          <w:rFonts w:hint="cs"/>
          <w:i/>
          <w:iCs/>
          <w:rtl/>
        </w:rPr>
        <w:t>ل</w:t>
      </w:r>
      <w:r w:rsidR="00692A4A" w:rsidRPr="00CC0FD6">
        <w:rPr>
          <w:rFonts w:hint="cs"/>
          <w:i/>
          <w:iCs/>
          <w:rtl/>
        </w:rPr>
        <w:t>برنامج العمل بشأن التقييدات</w:t>
      </w:r>
      <w:r w:rsidRPr="00126320">
        <w:rPr>
          <w:rFonts w:hint="cs"/>
          <w:rtl/>
        </w:rPr>
        <w:t xml:space="preserve"> </w:t>
      </w:r>
      <w:r w:rsidR="00692A4A" w:rsidRPr="00692A4A">
        <w:rPr>
          <w:rFonts w:hint="cs"/>
          <w:i/>
          <w:iCs/>
          <w:rtl/>
        </w:rPr>
        <w:t>والاستثناءات</w:t>
      </w:r>
      <w:r w:rsidR="00692A4A" w:rsidRPr="00CC0FD6">
        <w:rPr>
          <w:rFonts w:hint="cs"/>
          <w:i/>
          <w:iCs/>
          <w:rtl/>
        </w:rPr>
        <w:t xml:space="preserve"> </w:t>
      </w:r>
      <w:r w:rsidRPr="00126320">
        <w:rPr>
          <w:rFonts w:hint="cs"/>
          <w:rtl/>
        </w:rPr>
        <w:t>وستنشر بوصفها الوثيقة .</w:t>
      </w:r>
      <w:r w:rsidRPr="00126320">
        <w:rPr>
          <w:lang w:bidi="ar-EG"/>
        </w:rPr>
        <w:t>SCCR/45/10</w:t>
      </w:r>
      <w:r w:rsidR="00692A4A">
        <w:rPr>
          <w:lang w:bidi="ar-EG"/>
        </w:rPr>
        <w:t> </w:t>
      </w:r>
      <w:r w:rsidRPr="00126320">
        <w:rPr>
          <w:lang w:bidi="ar-EG"/>
        </w:rPr>
        <w:t>PROV</w:t>
      </w:r>
      <w:r w:rsidRPr="00126320">
        <w:rPr>
          <w:rFonts w:hint="cs"/>
          <w:rtl/>
        </w:rPr>
        <w:t>.</w:t>
      </w:r>
    </w:p>
    <w:p w14:paraId="2FA28435" w14:textId="4BF3FA24" w:rsidR="00692A4A" w:rsidRDefault="00692A4A" w:rsidP="00CC0FD6">
      <w:pPr>
        <w:pStyle w:val="ONUMA"/>
      </w:pPr>
      <w:r w:rsidRPr="00692A4A">
        <w:rPr>
          <w:rtl/>
        </w:rPr>
        <w:t xml:space="preserve">وبغية إحراز تقدم في </w:t>
      </w:r>
      <w:r w:rsidRPr="00692A4A">
        <w:rPr>
          <w:i/>
          <w:iCs/>
          <w:rtl/>
        </w:rPr>
        <w:t xml:space="preserve">برنامج العمل </w:t>
      </w:r>
      <w:r>
        <w:rPr>
          <w:rFonts w:hint="cs"/>
          <w:i/>
          <w:iCs/>
          <w:rtl/>
          <w:lang w:val="fr-CH" w:bidi="ar-SY"/>
        </w:rPr>
        <w:t xml:space="preserve">بشأن </w:t>
      </w:r>
      <w:r w:rsidRPr="00692A4A">
        <w:rPr>
          <w:i/>
          <w:iCs/>
          <w:rtl/>
        </w:rPr>
        <w:t>ال</w:t>
      </w:r>
      <w:r>
        <w:rPr>
          <w:rFonts w:hint="cs"/>
          <w:i/>
          <w:iCs/>
          <w:rtl/>
        </w:rPr>
        <w:t xml:space="preserve">تقييدات </w:t>
      </w:r>
      <w:r w:rsidRPr="00692A4A">
        <w:rPr>
          <w:i/>
          <w:iCs/>
          <w:rtl/>
        </w:rPr>
        <w:t>والاستثناءات</w:t>
      </w:r>
      <w:r w:rsidRPr="00692A4A">
        <w:rPr>
          <w:rtl/>
        </w:rPr>
        <w:t xml:space="preserve"> المعتمد في </w:t>
      </w:r>
      <w:r w:rsidRPr="00126320">
        <w:rPr>
          <w:rFonts w:hint="cs"/>
          <w:rtl/>
        </w:rPr>
        <w:t xml:space="preserve">الدورة </w:t>
      </w:r>
      <w:r>
        <w:rPr>
          <w:rFonts w:hint="cs"/>
          <w:rtl/>
        </w:rPr>
        <w:t>الثالثة</w:t>
      </w:r>
      <w:r w:rsidRPr="00126320">
        <w:rPr>
          <w:rFonts w:hint="cs"/>
          <w:rtl/>
        </w:rPr>
        <w:t xml:space="preserve"> والأربعين للجنة حق المؤلف</w:t>
      </w:r>
      <w:r w:rsidRPr="00692A4A">
        <w:rPr>
          <w:rtl/>
        </w:rPr>
        <w:t xml:space="preserve"> (الوثيقة</w:t>
      </w:r>
      <w:r>
        <w:rPr>
          <w:rFonts w:hint="cs"/>
          <w:rtl/>
        </w:rPr>
        <w:t> .</w:t>
      </w:r>
      <w:r w:rsidRPr="00692A4A">
        <w:t>SCCR/43/8 REV</w:t>
      </w:r>
      <w:r w:rsidRPr="00692A4A">
        <w:rPr>
          <w:rtl/>
        </w:rPr>
        <w:t>)، فإن الدول الأعضاء مدعوة لإرسال تعليقاتها إلى</w:t>
      </w:r>
      <w:r>
        <w:rPr>
          <w:rFonts w:hint="cs"/>
          <w:rtl/>
        </w:rPr>
        <w:t xml:space="preserve"> البريد الإلكتروني </w:t>
      </w:r>
      <w:r w:rsidRPr="00692A4A">
        <w:t>copyright.mail@wipo.int</w:t>
      </w:r>
      <w:r w:rsidRPr="00692A4A">
        <w:rPr>
          <w:rtl/>
        </w:rPr>
        <w:t xml:space="preserve"> بحلول 15 أكتوبر</w:t>
      </w:r>
      <w:r>
        <w:rPr>
          <w:rFonts w:hint="cs"/>
          <w:rtl/>
        </w:rPr>
        <w:t xml:space="preserve"> </w:t>
      </w:r>
      <w:r w:rsidRPr="00692A4A">
        <w:rPr>
          <w:rtl/>
        </w:rPr>
        <w:t>2024، حتى تتمكن الأمانة من إجراء سلسلة من المشاورات (اجتماعات، بريد إلكتروني، إلخ</w:t>
      </w:r>
      <w:r>
        <w:rPr>
          <w:rFonts w:hint="cs"/>
          <w:rtl/>
        </w:rPr>
        <w:t>.</w:t>
      </w:r>
      <w:r w:rsidRPr="00692A4A">
        <w:rPr>
          <w:rtl/>
        </w:rPr>
        <w:t xml:space="preserve">) مع منسقي المجموعات والدول الأعضاء المهتمة، من أجل نشر مشروع خطة التنفيذ في موعد لا يتجاوز شهرين قبل اليوم الأول من الدورة السادسة والأربعين للجنة </w:t>
      </w:r>
      <w:r w:rsidRPr="00126320">
        <w:rPr>
          <w:rFonts w:hint="cs"/>
          <w:rtl/>
        </w:rPr>
        <w:t>حق المؤلف</w:t>
      </w:r>
      <w:r>
        <w:rPr>
          <w:rFonts w:hint="cs"/>
          <w:rtl/>
        </w:rPr>
        <w:t>،</w:t>
      </w:r>
      <w:r w:rsidRPr="00692A4A">
        <w:rPr>
          <w:rtl/>
        </w:rPr>
        <w:t xml:space="preserve"> لمناقشتها في الدورة </w:t>
      </w:r>
      <w:r>
        <w:rPr>
          <w:rFonts w:hint="cs"/>
          <w:rtl/>
        </w:rPr>
        <w:t>المذكورة</w:t>
      </w:r>
      <w:r w:rsidRPr="00692A4A">
        <w:rPr>
          <w:rtl/>
        </w:rPr>
        <w:t>.</w:t>
      </w:r>
    </w:p>
    <w:p w14:paraId="2EB1B9EE" w14:textId="77777777" w:rsidR="00126320" w:rsidRPr="00126320" w:rsidRDefault="00126320" w:rsidP="00CC0FD6">
      <w:pPr>
        <w:pStyle w:val="ONUMA"/>
        <w:rPr>
          <w:rtl/>
        </w:rPr>
      </w:pPr>
      <w:r w:rsidRPr="00126320">
        <w:rPr>
          <w:rFonts w:hint="cs"/>
          <w:rtl/>
        </w:rPr>
        <w:t xml:space="preserve">وستناقش الوثيقة </w:t>
      </w:r>
      <w:r w:rsidRPr="00126320">
        <w:rPr>
          <w:lang w:bidi="ar-EG"/>
        </w:rPr>
        <w:t>SCCR/44/5</w:t>
      </w:r>
      <w:r w:rsidRPr="00126320">
        <w:rPr>
          <w:rFonts w:hint="cs"/>
          <w:rtl/>
        </w:rPr>
        <w:t xml:space="preserve"> المعنونة </w:t>
      </w:r>
      <w:r w:rsidRPr="00692A4A">
        <w:rPr>
          <w:rFonts w:hint="cs"/>
          <w:i/>
          <w:iCs/>
          <w:rtl/>
        </w:rPr>
        <w:t>نسخة محدثة من وثيقة</w:t>
      </w:r>
      <w:r w:rsidRPr="00126320">
        <w:rPr>
          <w:rFonts w:hint="cs"/>
          <w:rtl/>
        </w:rPr>
        <w:t xml:space="preserve"> </w:t>
      </w:r>
      <w:r w:rsidRPr="00CC0FD6">
        <w:rPr>
          <w:rFonts w:hint="cs"/>
          <w:i/>
          <w:iCs/>
          <w:rtl/>
        </w:rPr>
        <w:t>"الأهداف والمبادئ بشأن الاستثناءات والتقييدات لفائدة المكتبات ودور المحفوظات</w:t>
      </w:r>
      <w:r w:rsidRPr="00692A4A">
        <w:rPr>
          <w:rFonts w:hint="cs"/>
          <w:i/>
          <w:iCs/>
          <w:rtl/>
        </w:rPr>
        <w:t>" (</w:t>
      </w:r>
      <w:r w:rsidRPr="00692A4A">
        <w:rPr>
          <w:i/>
          <w:iCs/>
          <w:lang w:bidi="ar-EG"/>
        </w:rPr>
        <w:t>SCCR/26/8</w:t>
      </w:r>
      <w:r w:rsidRPr="00692A4A">
        <w:rPr>
          <w:rFonts w:hint="cs"/>
          <w:i/>
          <w:iCs/>
          <w:rtl/>
        </w:rPr>
        <w:t>)</w:t>
      </w:r>
      <w:r w:rsidRPr="00126320">
        <w:rPr>
          <w:rFonts w:hint="cs"/>
          <w:rtl/>
        </w:rPr>
        <w:t xml:space="preserve"> في الدورة السادسة والأربعين للجنة حق المؤلف. </w:t>
      </w:r>
    </w:p>
    <w:p w14:paraId="15BA4D49" w14:textId="77777777" w:rsidR="00126320" w:rsidRPr="00126320" w:rsidRDefault="00126320" w:rsidP="00CC0FD6">
      <w:pPr>
        <w:pStyle w:val="ONUMA"/>
        <w:rPr>
          <w:rtl/>
        </w:rPr>
      </w:pPr>
      <w:r w:rsidRPr="00126320">
        <w:rPr>
          <w:rFonts w:hint="cs"/>
          <w:rtl/>
        </w:rPr>
        <w:t>وسيظل بندا جدول الأعمال المتعلقان بالتقييدات والاستثناءات لفائدة المكتبات ودور المحفوظات ومؤسسات التعليم والبحث والأشخاص ذوي إعاقات أخرى مدرجين في جدول أعمال الدورة السادسة والأربعين للجنة حق المؤلف.</w:t>
      </w:r>
    </w:p>
    <w:p w14:paraId="69057127" w14:textId="77777777" w:rsidR="00126320" w:rsidRPr="00126320" w:rsidRDefault="00126320" w:rsidP="00CC0FD6">
      <w:pPr>
        <w:pStyle w:val="Heading2"/>
        <w:spacing w:after="240"/>
        <w:rPr>
          <w:i/>
          <w:iCs w:val="0"/>
          <w:sz w:val="24"/>
          <w:szCs w:val="24"/>
          <w:rtl/>
        </w:rPr>
      </w:pPr>
      <w:r w:rsidRPr="00126320">
        <w:rPr>
          <w:rFonts w:hint="cs"/>
          <w:i/>
          <w:iCs w:val="0"/>
          <w:sz w:val="24"/>
          <w:szCs w:val="24"/>
          <w:rtl/>
        </w:rPr>
        <w:t>البند 7 من جدول الأعمال:  مسائل أخرى</w:t>
      </w:r>
    </w:p>
    <w:p w14:paraId="03D64BCA" w14:textId="6F0F9D71" w:rsidR="00126320" w:rsidRDefault="00126320" w:rsidP="00CC0FD6">
      <w:pPr>
        <w:pStyle w:val="ONUMA"/>
      </w:pPr>
      <w:r w:rsidRPr="00126320">
        <w:rPr>
          <w:rFonts w:hint="cs"/>
          <w:rtl/>
        </w:rPr>
        <w:t>يمكن الاطلاع على وثائق الدورات السابقة المتعلقة بهذا البند من جدول الأعمال على الصفحة الإلكترونية المخصصة للدورة 45 للجنة على:</w:t>
      </w:r>
      <w:r w:rsidR="00CC0FD6">
        <w:rPr>
          <w:rFonts w:hint="cs"/>
          <w:rtl/>
        </w:rPr>
        <w:t xml:space="preserve"> </w:t>
      </w:r>
      <w:hyperlink r:id="rId15" w:history="1">
        <w:r w:rsidR="00CC0FD6" w:rsidRPr="00721FA9">
          <w:rPr>
            <w:rStyle w:val="Hyperlink"/>
          </w:rPr>
          <w:t>https://www.wipo.int/meetings/ar/details.jsp?meeting_id=80924</w:t>
        </w:r>
      </w:hyperlink>
      <w:r w:rsidR="00CC0FD6">
        <w:rPr>
          <w:rFonts w:hint="cs"/>
          <w:rtl/>
        </w:rPr>
        <w:t>.</w:t>
      </w:r>
    </w:p>
    <w:p w14:paraId="75678E33" w14:textId="0C37F4AA" w:rsidR="00692A4A" w:rsidRPr="00184529" w:rsidRDefault="00692A4A" w:rsidP="00340F1F">
      <w:pPr>
        <w:pStyle w:val="Heading2"/>
        <w:spacing w:after="240"/>
        <w:rPr>
          <w:sz w:val="22"/>
          <w:szCs w:val="22"/>
        </w:rPr>
      </w:pPr>
      <w:r w:rsidRPr="00184529">
        <w:rPr>
          <w:rFonts w:hint="cs"/>
          <w:sz w:val="22"/>
          <w:szCs w:val="22"/>
          <w:rtl/>
        </w:rPr>
        <w:lastRenderedPageBreak/>
        <w:t>حق المؤلف في البيئة الرقمية</w:t>
      </w:r>
    </w:p>
    <w:p w14:paraId="6AFC1DF8" w14:textId="42653554" w:rsidR="00340F1F" w:rsidRDefault="00126320" w:rsidP="00CC0FD6">
      <w:pPr>
        <w:pStyle w:val="ONUMA"/>
      </w:pPr>
      <w:r w:rsidRPr="00126320">
        <w:rPr>
          <w:rFonts w:hint="cs"/>
          <w:rtl/>
        </w:rPr>
        <w:t xml:space="preserve">وفيما يتعلق بموضوع حق المؤلف في البيئة الرقمية، قدمت مجموعة بلدان أمريكا اللاتينية والكاريبي </w:t>
      </w:r>
      <w:hyperlink r:id="rId16" w:history="1">
        <w:r w:rsidRPr="00CC0FD6">
          <w:rPr>
            <w:rStyle w:val="Hyperlink"/>
            <w:rFonts w:hint="cs"/>
            <w:i/>
            <w:iCs/>
            <w:rtl/>
          </w:rPr>
          <w:t>مشروع خطة عمل بشأن حق المؤلف في البيئة الرقمية</w:t>
        </w:r>
      </w:hyperlink>
      <w:r w:rsidRPr="00126320">
        <w:rPr>
          <w:rFonts w:hint="cs"/>
          <w:rtl/>
        </w:rPr>
        <w:t xml:space="preserve"> (الوثيقة</w:t>
      </w:r>
      <w:r w:rsidR="00CC0FD6">
        <w:rPr>
          <w:rFonts w:hint="eastAsia"/>
          <w:rtl/>
        </w:rPr>
        <w:t> </w:t>
      </w:r>
      <w:r w:rsidRPr="00126320">
        <w:rPr>
          <w:lang w:bidi="ar-EG"/>
        </w:rPr>
        <w:t>SCCR/45/4</w:t>
      </w:r>
      <w:r w:rsidR="00CC0FD6">
        <w:rPr>
          <w:rFonts w:hint="cs"/>
          <w:rtl/>
          <w:lang w:bidi="ar-EG"/>
        </w:rPr>
        <w:t xml:space="preserve">) </w:t>
      </w:r>
      <w:r w:rsidRPr="00126320">
        <w:rPr>
          <w:rFonts w:hint="cs"/>
          <w:rtl/>
        </w:rPr>
        <w:t xml:space="preserve">وتتبع هذه الوثيقة الاقتراح السابق المعنون </w:t>
      </w:r>
      <w:r w:rsidRPr="00CC0FD6">
        <w:rPr>
          <w:rFonts w:hint="cs"/>
          <w:i/>
          <w:iCs/>
          <w:rtl/>
        </w:rPr>
        <w:t>اقتراح لتحليل حق المؤلف المتعلق بالبيئة الرقمية</w:t>
      </w:r>
      <w:r w:rsidR="00CC0FD6">
        <w:rPr>
          <w:rFonts w:hint="cs"/>
          <w:i/>
          <w:iCs/>
          <w:rtl/>
        </w:rPr>
        <w:t xml:space="preserve"> </w:t>
      </w:r>
      <w:r w:rsidRPr="00126320">
        <w:rPr>
          <w:rFonts w:hint="cs"/>
          <w:rtl/>
        </w:rPr>
        <w:t>(الوثيقة</w:t>
      </w:r>
      <w:r w:rsidR="00CC0FD6">
        <w:rPr>
          <w:rFonts w:hint="eastAsia"/>
          <w:rtl/>
        </w:rPr>
        <w:t> </w:t>
      </w:r>
      <w:r w:rsidRPr="00126320">
        <w:rPr>
          <w:lang w:bidi="ar-EG"/>
        </w:rPr>
        <w:t>SCCR/43/7</w:t>
      </w:r>
      <w:r w:rsidR="00CC0FD6">
        <w:rPr>
          <w:rFonts w:hint="cs"/>
          <w:rtl/>
          <w:lang w:bidi="ar-EG"/>
        </w:rPr>
        <w:t>)</w:t>
      </w:r>
      <w:r w:rsidRPr="00126320">
        <w:rPr>
          <w:rFonts w:hint="cs"/>
          <w:rtl/>
        </w:rPr>
        <w:t>، الذي عُرض خلال الدورة الثالثة والأربعين للجنة</w:t>
      </w:r>
      <w:r w:rsidR="00340F1F">
        <w:rPr>
          <w:rFonts w:hint="cs"/>
          <w:rtl/>
        </w:rPr>
        <w:t xml:space="preserve">، </w:t>
      </w:r>
      <w:r w:rsidR="00340F1F" w:rsidRPr="00340F1F">
        <w:rPr>
          <w:rtl/>
        </w:rPr>
        <w:t>وجدد</w:t>
      </w:r>
      <w:r w:rsidR="00340F1F">
        <w:rPr>
          <w:rFonts w:hint="cs"/>
          <w:rtl/>
        </w:rPr>
        <w:t xml:space="preserve">ت </w:t>
      </w:r>
      <w:r w:rsidR="00340F1F" w:rsidRPr="00340F1F">
        <w:rPr>
          <w:rtl/>
        </w:rPr>
        <w:t xml:space="preserve">طلب إدراج حق </w:t>
      </w:r>
      <w:r w:rsidR="00340F1F">
        <w:rPr>
          <w:rFonts w:hint="cs"/>
          <w:rtl/>
        </w:rPr>
        <w:t xml:space="preserve">المؤلف </w:t>
      </w:r>
      <w:r w:rsidR="00340F1F" w:rsidRPr="00340F1F">
        <w:rPr>
          <w:rtl/>
        </w:rPr>
        <w:t xml:space="preserve">في البيئة الرقمية كبند دائم على جدول أعمال اللجنة.  ورحب بعض الأعضاء بالاقتراح الداعي إلى أن </w:t>
      </w:r>
      <w:r w:rsidR="00340F1F">
        <w:rPr>
          <w:rFonts w:hint="cs"/>
          <w:rtl/>
        </w:rPr>
        <w:t xml:space="preserve">إدراج </w:t>
      </w:r>
      <w:r w:rsidR="00340F1F" w:rsidRPr="00340F1F">
        <w:rPr>
          <w:rtl/>
        </w:rPr>
        <w:t>حق ال</w:t>
      </w:r>
      <w:r w:rsidR="00340F1F">
        <w:rPr>
          <w:rFonts w:hint="cs"/>
          <w:rtl/>
        </w:rPr>
        <w:t xml:space="preserve">مؤلف </w:t>
      </w:r>
      <w:r w:rsidR="00340F1F" w:rsidRPr="00340F1F">
        <w:rPr>
          <w:rtl/>
        </w:rPr>
        <w:t xml:space="preserve">في البيئة الرقمية </w:t>
      </w:r>
      <w:r w:rsidR="00340F1F">
        <w:rPr>
          <w:rFonts w:hint="cs"/>
          <w:rtl/>
        </w:rPr>
        <w:t>ك</w:t>
      </w:r>
      <w:r w:rsidR="00340F1F" w:rsidRPr="00340F1F">
        <w:rPr>
          <w:rtl/>
        </w:rPr>
        <w:t xml:space="preserve">بند دائم على جدول أعمال اللجنة، </w:t>
      </w:r>
      <w:r w:rsidR="00340F1F" w:rsidRPr="00126320">
        <w:rPr>
          <w:rFonts w:hint="cs"/>
          <w:rtl/>
        </w:rPr>
        <w:t>بينما أعرب آخرون عن تحفظات</w:t>
      </w:r>
      <w:r w:rsidR="00340F1F">
        <w:rPr>
          <w:rFonts w:hint="cs"/>
          <w:rtl/>
        </w:rPr>
        <w:t>.</w:t>
      </w:r>
    </w:p>
    <w:p w14:paraId="568DD8BD" w14:textId="0B134CDC" w:rsidR="00340F1F" w:rsidRDefault="00A708F6" w:rsidP="00CC0FD6">
      <w:pPr>
        <w:pStyle w:val="ONUMA"/>
      </w:pPr>
      <w:r w:rsidRPr="00A708F6">
        <w:rPr>
          <w:rtl/>
        </w:rPr>
        <w:t>و</w:t>
      </w:r>
      <w:r>
        <w:rPr>
          <w:rFonts w:hint="cs"/>
          <w:rtl/>
        </w:rPr>
        <w:t xml:space="preserve">لاقت </w:t>
      </w:r>
      <w:r w:rsidRPr="00A708F6">
        <w:rPr>
          <w:i/>
          <w:iCs/>
          <w:rtl/>
        </w:rPr>
        <w:t>خطة العمل بشأن حق ال</w:t>
      </w:r>
      <w:r w:rsidRPr="00A708F6">
        <w:rPr>
          <w:rFonts w:hint="cs"/>
          <w:i/>
          <w:iCs/>
          <w:rtl/>
        </w:rPr>
        <w:t xml:space="preserve">مؤلف </w:t>
      </w:r>
      <w:r w:rsidRPr="00A708F6">
        <w:rPr>
          <w:i/>
          <w:iCs/>
          <w:rtl/>
        </w:rPr>
        <w:t>في البيئة الرقمية</w:t>
      </w:r>
      <w:r w:rsidRPr="00A708F6">
        <w:rPr>
          <w:rtl/>
        </w:rPr>
        <w:t xml:space="preserve">، </w:t>
      </w:r>
      <w:r>
        <w:rPr>
          <w:rFonts w:hint="cs"/>
          <w:rtl/>
        </w:rPr>
        <w:t>ت</w:t>
      </w:r>
      <w:r w:rsidRPr="00A708F6">
        <w:rPr>
          <w:rtl/>
        </w:rPr>
        <w:t>أي</w:t>
      </w:r>
      <w:r>
        <w:rPr>
          <w:rFonts w:hint="cs"/>
          <w:rtl/>
        </w:rPr>
        <w:t>ي</w:t>
      </w:r>
      <w:r w:rsidRPr="00A708F6">
        <w:rPr>
          <w:rtl/>
        </w:rPr>
        <w:t>د بعض الأعضاء، بينما طلب بعض الأعضاء وقتاً إضافياً لاستعراض ال</w:t>
      </w:r>
      <w:r>
        <w:rPr>
          <w:rFonts w:hint="cs"/>
          <w:rtl/>
        </w:rPr>
        <w:t>ا</w:t>
      </w:r>
      <w:r w:rsidRPr="00A708F6">
        <w:rPr>
          <w:rtl/>
        </w:rPr>
        <w:t>قتر</w:t>
      </w:r>
      <w:r>
        <w:rPr>
          <w:rFonts w:hint="cs"/>
          <w:rtl/>
        </w:rPr>
        <w:t>ا</w:t>
      </w:r>
      <w:r w:rsidRPr="00A708F6">
        <w:rPr>
          <w:rtl/>
        </w:rPr>
        <w:t>ح.  وسيخضع ال</w:t>
      </w:r>
      <w:r>
        <w:rPr>
          <w:rFonts w:hint="cs"/>
          <w:rtl/>
        </w:rPr>
        <w:t>ا</w:t>
      </w:r>
      <w:r w:rsidRPr="00A708F6">
        <w:rPr>
          <w:rtl/>
        </w:rPr>
        <w:t>قتر</w:t>
      </w:r>
      <w:r>
        <w:rPr>
          <w:rFonts w:hint="cs"/>
          <w:rtl/>
        </w:rPr>
        <w:t>ا</w:t>
      </w:r>
      <w:r w:rsidRPr="00A708F6">
        <w:rPr>
          <w:rtl/>
        </w:rPr>
        <w:t xml:space="preserve">ح للمزيد من المناقشة في </w:t>
      </w:r>
      <w:r w:rsidRPr="00126320">
        <w:rPr>
          <w:rFonts w:hint="cs"/>
          <w:rtl/>
        </w:rPr>
        <w:t>الدورة السادسة والأربعين للجنة حق المؤلف</w:t>
      </w:r>
      <w:r>
        <w:rPr>
          <w:rFonts w:hint="cs"/>
          <w:rtl/>
        </w:rPr>
        <w:t xml:space="preserve">. </w:t>
      </w:r>
      <w:r w:rsidRPr="00A708F6">
        <w:rPr>
          <w:rtl/>
        </w:rPr>
        <w:t xml:space="preserve">وإضافة إلى ذلك، طلب بعض الأعضاء من الأمانة تحديث الدراسات الحالية حسب الضرورة بشأن القضايا المتعلقة بحق </w:t>
      </w:r>
      <w:r>
        <w:rPr>
          <w:rFonts w:hint="cs"/>
          <w:rtl/>
        </w:rPr>
        <w:t>المؤلف</w:t>
      </w:r>
      <w:r w:rsidRPr="00A708F6">
        <w:rPr>
          <w:rtl/>
        </w:rPr>
        <w:t xml:space="preserve"> في البيئة الرقمية في الدورات التالية للجنة.</w:t>
      </w:r>
    </w:p>
    <w:p w14:paraId="0ECAB2DD" w14:textId="7267F439" w:rsidR="00126320" w:rsidRPr="00126320" w:rsidRDefault="00126320" w:rsidP="00CC0FD6">
      <w:pPr>
        <w:pStyle w:val="ONUMA"/>
        <w:rPr>
          <w:rtl/>
        </w:rPr>
      </w:pPr>
      <w:r w:rsidRPr="00126320">
        <w:rPr>
          <w:rFonts w:hint="cs"/>
          <w:rtl/>
        </w:rPr>
        <w:t xml:space="preserve">وبناءً على طلب الدول الأعضاء في الدورة الرابعة والأربعين للجنة حق المؤلف، نظمت الأمانة </w:t>
      </w:r>
      <w:r w:rsidRPr="00F67B98">
        <w:rPr>
          <w:rFonts w:hint="cs"/>
          <w:i/>
          <w:iCs/>
          <w:rtl/>
        </w:rPr>
        <w:t>جلسة إعلامية بشأن الفرص والتحديات التي يثيرها الذكاء الاصطناعي التوليدي من حيث صلتها بحق المؤلف</w:t>
      </w:r>
      <w:r w:rsidRPr="00126320">
        <w:rPr>
          <w:rFonts w:hint="cs"/>
          <w:rtl/>
        </w:rPr>
        <w:t xml:space="preserve"> (انظر(ي) الوثائق </w:t>
      </w:r>
      <w:r w:rsidRPr="00126320">
        <w:rPr>
          <w:lang w:bidi="ar-EG"/>
        </w:rPr>
        <w:t>SCCR/45/5</w:t>
      </w:r>
      <w:r w:rsidRPr="00126320">
        <w:rPr>
          <w:rFonts w:hint="cs"/>
          <w:rtl/>
        </w:rPr>
        <w:t xml:space="preserve"> و </w:t>
      </w:r>
      <w:r w:rsidRPr="00126320">
        <w:rPr>
          <w:lang w:bidi="ar-EG"/>
        </w:rPr>
        <w:t>SCCR/45/8 PROV.</w:t>
      </w:r>
      <w:r w:rsidR="00F67B98">
        <w:rPr>
          <w:rFonts w:hint="cs"/>
          <w:rtl/>
          <w:lang w:bidi="ar-EG"/>
        </w:rPr>
        <w:t xml:space="preserve"> و</w:t>
      </w:r>
      <w:r w:rsidRPr="00126320">
        <w:rPr>
          <w:rFonts w:hint="cs"/>
          <w:rtl/>
        </w:rPr>
        <w:t> .</w:t>
      </w:r>
      <w:r w:rsidRPr="00126320">
        <w:rPr>
          <w:lang w:bidi="ar-EG"/>
        </w:rPr>
        <w:t>SCCR/45/9 PROV</w:t>
      </w:r>
      <w:r w:rsidRPr="00126320">
        <w:rPr>
          <w:rFonts w:hint="cs"/>
          <w:rtl/>
        </w:rPr>
        <w:t>).  وقد رحبت اللجنة بالجلسة الإعلامية</w:t>
      </w:r>
      <w:r w:rsidR="00A708F6">
        <w:rPr>
          <w:rFonts w:hint="cs"/>
          <w:rtl/>
        </w:rPr>
        <w:t xml:space="preserve"> </w:t>
      </w:r>
      <w:r w:rsidR="00A708F6" w:rsidRPr="00A708F6">
        <w:rPr>
          <w:rtl/>
        </w:rPr>
        <w:t>وهنأ</w:t>
      </w:r>
      <w:r w:rsidR="00A708F6">
        <w:rPr>
          <w:rFonts w:hint="cs"/>
          <w:rtl/>
        </w:rPr>
        <w:t>ت</w:t>
      </w:r>
      <w:r w:rsidR="00A708F6" w:rsidRPr="00A708F6">
        <w:rPr>
          <w:rtl/>
        </w:rPr>
        <w:t xml:space="preserve"> الأمانة العامة على تنظيمها</w:t>
      </w:r>
      <w:r w:rsidRPr="00126320">
        <w:rPr>
          <w:rFonts w:hint="cs"/>
          <w:rtl/>
        </w:rPr>
        <w:t>.  وشاركت الوفود في جلسة أسئلة وأجوبة</w:t>
      </w:r>
      <w:r w:rsidR="00A708F6">
        <w:rPr>
          <w:rFonts w:hint="cs"/>
          <w:rtl/>
        </w:rPr>
        <w:t xml:space="preserve"> </w:t>
      </w:r>
      <w:r w:rsidR="00A708F6" w:rsidRPr="00A708F6">
        <w:rPr>
          <w:rtl/>
        </w:rPr>
        <w:t>مع المبدعين والخبراء والمتخصصين</w:t>
      </w:r>
      <w:r w:rsidR="00A708F6" w:rsidRPr="00A708F6">
        <w:rPr>
          <w:rFonts w:hint="cs"/>
          <w:rtl/>
        </w:rPr>
        <w:t xml:space="preserve"> </w:t>
      </w:r>
      <w:r w:rsidRPr="00126320">
        <w:rPr>
          <w:rFonts w:hint="cs"/>
          <w:rtl/>
        </w:rPr>
        <w:t>خلال الجلسة الإعلامية، وعُقدت المزيد من المناقشات في الجلسة العامة.</w:t>
      </w:r>
      <w:r w:rsidR="00A708F6">
        <w:rPr>
          <w:rFonts w:hint="cs"/>
          <w:rtl/>
        </w:rPr>
        <w:t xml:space="preserve"> </w:t>
      </w:r>
      <w:r w:rsidR="00A708F6" w:rsidRPr="00A708F6">
        <w:rPr>
          <w:rtl/>
        </w:rPr>
        <w:t xml:space="preserve">واقترح بعض الأعضاء أن تنظم الأمانة جلسة إعلامية أخرى بشأن الذكاء الاصطناعي في الدورة السادسة والأربعين للجنة </w:t>
      </w:r>
      <w:r w:rsidR="0072224F">
        <w:rPr>
          <w:rFonts w:hint="cs"/>
          <w:rtl/>
        </w:rPr>
        <w:t xml:space="preserve">بغية </w:t>
      </w:r>
      <w:r w:rsidR="00A708F6" w:rsidRPr="00A708F6">
        <w:rPr>
          <w:rtl/>
        </w:rPr>
        <w:t xml:space="preserve">مواصلة تحليل التطورات السريعة التغير.  وفي ضوء مناقشة </w:t>
      </w:r>
      <w:r w:rsidR="0072224F">
        <w:rPr>
          <w:rFonts w:hint="cs"/>
          <w:rtl/>
        </w:rPr>
        <w:t xml:space="preserve">الجلسة </w:t>
      </w:r>
      <w:r w:rsidR="00A708F6" w:rsidRPr="00A708F6">
        <w:rPr>
          <w:rtl/>
        </w:rPr>
        <w:t>العامة بشأن حق المؤلف في البيئة الرقمية والأثر المتزايد للذكاء الاصطناعي على الصناعات الإبداعية، دع</w:t>
      </w:r>
      <w:r w:rsidR="0072224F">
        <w:rPr>
          <w:rFonts w:hint="cs"/>
          <w:rtl/>
        </w:rPr>
        <w:t>ت</w:t>
      </w:r>
      <w:r w:rsidR="00A708F6" w:rsidRPr="00A708F6">
        <w:rPr>
          <w:rtl/>
        </w:rPr>
        <w:t xml:space="preserve"> اللجنة الأمانة إلى تنظيم جلسة إعلامية للمتابعة في الدورة السادسة والأربعين للجنة في إطار بند جدول الأعمال المتعلق بحق المؤلف في البيئة الرقمية. وسيوضع برنامج الجلسة الإعلامية التي ستعقد في الدورة السادسة والأربعين للجنة </w:t>
      </w:r>
      <w:r w:rsidR="0072224F">
        <w:rPr>
          <w:rFonts w:hint="cs"/>
          <w:rtl/>
        </w:rPr>
        <w:t>با</w:t>
      </w:r>
      <w:r w:rsidR="00A708F6" w:rsidRPr="00A708F6">
        <w:rPr>
          <w:rtl/>
        </w:rPr>
        <w:t>لتشاور مع الدول الأعضاء. وس</w:t>
      </w:r>
      <w:r w:rsidR="0072224F">
        <w:rPr>
          <w:rFonts w:hint="cs"/>
          <w:rtl/>
        </w:rPr>
        <w:t xml:space="preserve">تبلّغ </w:t>
      </w:r>
      <w:r w:rsidR="00A708F6" w:rsidRPr="00A708F6">
        <w:rPr>
          <w:rtl/>
        </w:rPr>
        <w:t xml:space="preserve">الدول الأعضاء </w:t>
      </w:r>
      <w:r w:rsidR="0072224F">
        <w:rPr>
          <w:rFonts w:hint="cs"/>
          <w:rtl/>
        </w:rPr>
        <w:t xml:space="preserve">بمشروع البرنامج </w:t>
      </w:r>
      <w:r w:rsidR="00A708F6" w:rsidRPr="00A708F6">
        <w:rPr>
          <w:rtl/>
        </w:rPr>
        <w:t>من خلال منسقي المجموعات في موعد أقصاه شهر</w:t>
      </w:r>
      <w:r w:rsidR="0072224F">
        <w:rPr>
          <w:rFonts w:hint="cs"/>
          <w:rtl/>
        </w:rPr>
        <w:t>ا</w:t>
      </w:r>
      <w:r w:rsidR="00A708F6" w:rsidRPr="00A708F6">
        <w:rPr>
          <w:rtl/>
        </w:rPr>
        <w:t>ن قبل انعقاد الدورة السادسة والأربعين للجنة</w:t>
      </w:r>
      <w:r w:rsidR="0072224F">
        <w:rPr>
          <w:rFonts w:hint="cs"/>
          <w:rtl/>
        </w:rPr>
        <w:t xml:space="preserve"> حق </w:t>
      </w:r>
      <w:r w:rsidR="00A708F6" w:rsidRPr="00A708F6">
        <w:rPr>
          <w:rtl/>
        </w:rPr>
        <w:t>المؤلف</w:t>
      </w:r>
      <w:r w:rsidR="0072224F">
        <w:rPr>
          <w:rFonts w:hint="cs"/>
          <w:rtl/>
        </w:rPr>
        <w:t>.</w:t>
      </w:r>
    </w:p>
    <w:p w14:paraId="79201053" w14:textId="6CEF77AB" w:rsidR="0072224F" w:rsidRPr="00184529" w:rsidRDefault="0072224F" w:rsidP="0072224F">
      <w:pPr>
        <w:pStyle w:val="Heading2"/>
        <w:spacing w:after="240"/>
        <w:rPr>
          <w:sz w:val="22"/>
          <w:szCs w:val="22"/>
        </w:rPr>
      </w:pPr>
      <w:r w:rsidRPr="00184529">
        <w:rPr>
          <w:rFonts w:hint="cs"/>
          <w:sz w:val="22"/>
          <w:szCs w:val="22"/>
          <w:rtl/>
        </w:rPr>
        <w:t>حق الإعارة للجمهور</w:t>
      </w:r>
    </w:p>
    <w:p w14:paraId="592DF075" w14:textId="278722A8" w:rsidR="00126320" w:rsidRPr="00126320" w:rsidRDefault="00126320" w:rsidP="003D30FF">
      <w:pPr>
        <w:pStyle w:val="ONUMA"/>
        <w:rPr>
          <w:rtl/>
        </w:rPr>
      </w:pPr>
      <w:r w:rsidRPr="00126320">
        <w:rPr>
          <w:rFonts w:hint="cs"/>
          <w:rtl/>
        </w:rPr>
        <w:t xml:space="preserve">وفيما يتعلق بحق الإعارة للجمهور، قدمت مؤلفة الدراسة السيدة سابين ريتشلي </w:t>
      </w:r>
      <w:hyperlink r:id="rId17" w:history="1">
        <w:r w:rsidRPr="0072224F">
          <w:rPr>
            <w:rStyle w:val="Hyperlink"/>
            <w:rFonts w:hint="cs"/>
            <w:i/>
            <w:iCs/>
            <w:rtl/>
          </w:rPr>
          <w:t>دراسة نطاق بشأن حق الإعارة للجمهور</w:t>
        </w:r>
      </w:hyperlink>
      <w:r w:rsidRPr="00126320">
        <w:rPr>
          <w:rFonts w:hint="cs"/>
          <w:rtl/>
        </w:rPr>
        <w:t xml:space="preserve"> (الوثيقة </w:t>
      </w:r>
      <w:r w:rsidRPr="00126320">
        <w:rPr>
          <w:lang w:bidi="ar-EG"/>
        </w:rPr>
        <w:t>SCCR/45/7</w:t>
      </w:r>
      <w:r w:rsidR="00F67B98">
        <w:rPr>
          <w:rFonts w:hint="cs"/>
          <w:rtl/>
          <w:lang w:bidi="ar-EG"/>
        </w:rPr>
        <w:t>)</w:t>
      </w:r>
      <w:r w:rsidRPr="00126320">
        <w:rPr>
          <w:rFonts w:hint="cs"/>
          <w:rtl/>
        </w:rPr>
        <w:t>، تلتها جلسة أسئلة وأجوبة</w:t>
      </w:r>
      <w:r w:rsidR="0072224F">
        <w:rPr>
          <w:rFonts w:hint="cs"/>
          <w:rtl/>
        </w:rPr>
        <w:t>.</w:t>
      </w:r>
      <w:r w:rsidRPr="00126320">
        <w:rPr>
          <w:rFonts w:hint="cs"/>
          <w:rtl/>
        </w:rPr>
        <w:t xml:space="preserve"> </w:t>
      </w:r>
      <w:r w:rsidR="0072224F" w:rsidRPr="0072224F">
        <w:rPr>
          <w:rtl/>
        </w:rPr>
        <w:t>وعلقت الوفود على الدراسة وقدمت تعليقاتها.  وطلبت بعض الوفود إضافة مواضيع إلى الدراسة أو معالج</w:t>
      </w:r>
      <w:r w:rsidR="0072224F">
        <w:rPr>
          <w:rFonts w:hint="cs"/>
          <w:rtl/>
        </w:rPr>
        <w:t xml:space="preserve">ة بعض المواضيع </w:t>
      </w:r>
      <w:r w:rsidR="0072224F" w:rsidRPr="0072224F">
        <w:rPr>
          <w:rtl/>
        </w:rPr>
        <w:t>بتعمق أكبر</w:t>
      </w:r>
      <w:r w:rsidR="0072224F">
        <w:rPr>
          <w:rFonts w:hint="cs"/>
          <w:rtl/>
        </w:rPr>
        <w:t xml:space="preserve">. </w:t>
      </w:r>
      <w:r w:rsidRPr="00126320">
        <w:rPr>
          <w:rFonts w:hint="cs"/>
          <w:rtl/>
        </w:rPr>
        <w:t>ويُلتمس من الوفود إرسال تعليقاتها الخطية على الدراسة إلى</w:t>
      </w:r>
      <w:r w:rsidR="00F67B98">
        <w:rPr>
          <w:rFonts w:hint="cs"/>
          <w:rtl/>
        </w:rPr>
        <w:t xml:space="preserve"> </w:t>
      </w:r>
      <w:hyperlink r:id="rId18" w:history="1">
        <w:r w:rsidR="00F67B98" w:rsidRPr="00CA54C2">
          <w:rPr>
            <w:rStyle w:val="Hyperlink"/>
          </w:rPr>
          <w:t>copyright.mail@wipo.int</w:t>
        </w:r>
      </w:hyperlink>
      <w:r w:rsidRPr="00126320">
        <w:rPr>
          <w:rFonts w:hint="cs"/>
          <w:rtl/>
        </w:rPr>
        <w:t xml:space="preserve"> بحلول </w:t>
      </w:r>
      <w:r w:rsidR="0072224F">
        <w:rPr>
          <w:rFonts w:hint="cs"/>
          <w:rtl/>
        </w:rPr>
        <w:t>15</w:t>
      </w:r>
      <w:r w:rsidRPr="00126320">
        <w:rPr>
          <w:rFonts w:hint="cs"/>
          <w:rtl/>
        </w:rPr>
        <w:t xml:space="preserve"> </w:t>
      </w:r>
      <w:r w:rsidR="0072224F">
        <w:rPr>
          <w:rFonts w:hint="cs"/>
          <w:rtl/>
        </w:rPr>
        <w:t>أكتوبر</w:t>
      </w:r>
      <w:r w:rsidRPr="00126320">
        <w:rPr>
          <w:rFonts w:hint="cs"/>
          <w:rtl/>
        </w:rPr>
        <w:t xml:space="preserve"> 2024، حتى يتسنى إعداد نسخة منقحة من الدراسة ونشرها </w:t>
      </w:r>
      <w:r w:rsidR="0072224F" w:rsidRPr="0072224F">
        <w:rPr>
          <w:rtl/>
        </w:rPr>
        <w:t>في موعد أقصاه</w:t>
      </w:r>
      <w:r w:rsidR="0072224F" w:rsidRPr="0072224F">
        <w:rPr>
          <w:rFonts w:hint="cs"/>
          <w:rtl/>
        </w:rPr>
        <w:t xml:space="preserve"> </w:t>
      </w:r>
      <w:r w:rsidRPr="00126320">
        <w:rPr>
          <w:rFonts w:hint="cs"/>
          <w:rtl/>
        </w:rPr>
        <w:t>شهر</w:t>
      </w:r>
      <w:r w:rsidR="0072224F">
        <w:rPr>
          <w:rFonts w:hint="cs"/>
          <w:rtl/>
        </w:rPr>
        <w:t>ا</w:t>
      </w:r>
      <w:r w:rsidRPr="00126320">
        <w:rPr>
          <w:rFonts w:hint="cs"/>
          <w:rtl/>
        </w:rPr>
        <w:t xml:space="preserve">ن </w:t>
      </w:r>
      <w:r w:rsidR="0072224F">
        <w:rPr>
          <w:rFonts w:hint="cs"/>
          <w:rtl/>
        </w:rPr>
        <w:t xml:space="preserve">قبل </w:t>
      </w:r>
      <w:r w:rsidRPr="00126320">
        <w:rPr>
          <w:rFonts w:hint="cs"/>
          <w:rtl/>
        </w:rPr>
        <w:t xml:space="preserve">اليوم الأول من الدورة السادسة والأربعين للجنة حق المؤلف. </w:t>
      </w:r>
    </w:p>
    <w:p w14:paraId="6F8288A2" w14:textId="1DCC678E" w:rsidR="00590169" w:rsidRPr="00184529" w:rsidRDefault="00590169" w:rsidP="00590169">
      <w:pPr>
        <w:pStyle w:val="Heading2"/>
        <w:spacing w:after="240"/>
        <w:rPr>
          <w:sz w:val="22"/>
          <w:szCs w:val="22"/>
        </w:rPr>
      </w:pPr>
      <w:r w:rsidRPr="00184529">
        <w:rPr>
          <w:sz w:val="22"/>
          <w:szCs w:val="22"/>
          <w:rtl/>
        </w:rPr>
        <w:t>اقتراح بإجراء دراسة عن حقوق مؤلفي المواد السمعية البصرية</w:t>
      </w:r>
    </w:p>
    <w:p w14:paraId="79A2EC99" w14:textId="59BD28DB" w:rsidR="00126320" w:rsidRPr="00126320" w:rsidRDefault="00126320" w:rsidP="00F96D84">
      <w:pPr>
        <w:pStyle w:val="ONUMA"/>
        <w:rPr>
          <w:rtl/>
        </w:rPr>
      </w:pPr>
      <w:r w:rsidRPr="00126320">
        <w:rPr>
          <w:rFonts w:hint="cs"/>
          <w:rtl/>
        </w:rPr>
        <w:t xml:space="preserve">ونظرت اللجنة في </w:t>
      </w:r>
      <w:r w:rsidRPr="0082494B">
        <w:rPr>
          <w:rFonts w:hint="cs"/>
          <w:i/>
          <w:iCs/>
          <w:rtl/>
        </w:rPr>
        <w:t>اقتراح بإجراء دراسة عن حقوق مؤلفي المواد السمعية البصرية ومكافأتهم مقابل استغلال مصنفاتهم</w:t>
      </w:r>
      <w:r w:rsidRPr="00126320">
        <w:rPr>
          <w:rFonts w:hint="cs"/>
          <w:rtl/>
        </w:rPr>
        <w:t xml:space="preserve"> (الوثيقة </w:t>
      </w:r>
      <w:r w:rsidRPr="00126320">
        <w:rPr>
          <w:lang w:bidi="ar-EG"/>
        </w:rPr>
        <w:t>SCCR/44/7</w:t>
      </w:r>
      <w:r w:rsidRPr="00126320">
        <w:rPr>
          <w:rFonts w:hint="cs"/>
          <w:rtl/>
        </w:rPr>
        <w:t>)، الذي قدّم في الدورة الرابعة والأربعين للجنة حق المؤلف. وقد ناقشت اللجنة الاقتراح.  ورحب بعض أعضاء اللجنة بالاقتراح</w:t>
      </w:r>
      <w:r w:rsidR="0082494B">
        <w:rPr>
          <w:rFonts w:hint="cs"/>
          <w:rtl/>
        </w:rPr>
        <w:t xml:space="preserve"> </w:t>
      </w:r>
      <w:r w:rsidRPr="00126320">
        <w:rPr>
          <w:rFonts w:hint="cs"/>
          <w:rtl/>
        </w:rPr>
        <w:t xml:space="preserve">واقترح البعض توسيع موضوع الدراسة ليشمل فناني الأداء السمعي البصري.  </w:t>
      </w:r>
      <w:bookmarkStart w:id="6" w:name="_Hlk150364437"/>
      <w:r w:rsidR="0082494B" w:rsidRPr="0082494B">
        <w:rPr>
          <w:rtl/>
        </w:rPr>
        <w:t xml:space="preserve">وأعربت إحدى الدول الأعضاء عن رغبتها في تقديم تعليقات لوفد كوت ديفوار بشأن الاقتراح.  </w:t>
      </w:r>
      <w:r w:rsidRPr="00126320">
        <w:rPr>
          <w:rFonts w:hint="cs"/>
          <w:rtl/>
        </w:rPr>
        <w:t>وسيناقش الاقتراح بمزيد من التفصيل في الاجتماع المقبل للجنة.</w:t>
      </w:r>
      <w:bookmarkEnd w:id="6"/>
    </w:p>
    <w:p w14:paraId="58E3C142" w14:textId="3479DA24" w:rsidR="0082494B" w:rsidRPr="00184529" w:rsidRDefault="0082494B" w:rsidP="0082494B">
      <w:pPr>
        <w:pStyle w:val="Heading2"/>
        <w:spacing w:after="240"/>
        <w:rPr>
          <w:sz w:val="22"/>
          <w:szCs w:val="22"/>
        </w:rPr>
      </w:pPr>
      <w:r w:rsidRPr="00184529">
        <w:rPr>
          <w:rFonts w:hint="cs"/>
          <w:sz w:val="22"/>
          <w:szCs w:val="22"/>
          <w:rtl/>
        </w:rPr>
        <w:t>تعزيز حماية حقوق مخرجي المسرح</w:t>
      </w:r>
    </w:p>
    <w:p w14:paraId="7F2A13C7" w14:textId="2C888317" w:rsidR="00126320" w:rsidRPr="00126320" w:rsidRDefault="00126320" w:rsidP="00F67B98">
      <w:pPr>
        <w:pStyle w:val="ONUMA"/>
        <w:rPr>
          <w:rtl/>
        </w:rPr>
      </w:pPr>
      <w:r w:rsidRPr="00126320">
        <w:rPr>
          <w:rFonts w:hint="cs"/>
          <w:rtl/>
        </w:rPr>
        <w:t>وفيما يتعلق بموضوع تعزيز حماية حقوق مخرجي المسرح، قدمت الأمانة العامة تحديثًا موجزًا عن حالة العمل الجاري.</w:t>
      </w:r>
      <w:r w:rsidR="0082494B">
        <w:rPr>
          <w:rFonts w:hint="cs"/>
          <w:rtl/>
        </w:rPr>
        <w:t xml:space="preserve"> </w:t>
      </w:r>
      <w:r w:rsidR="0082494B" w:rsidRPr="00126320">
        <w:rPr>
          <w:rFonts w:hint="cs"/>
          <w:rtl/>
        </w:rPr>
        <w:t xml:space="preserve">وسيناقش الاقتراح </w:t>
      </w:r>
      <w:r w:rsidR="0082494B">
        <w:rPr>
          <w:rFonts w:hint="cs"/>
          <w:rtl/>
        </w:rPr>
        <w:t xml:space="preserve">في </w:t>
      </w:r>
      <w:r w:rsidR="0082494B" w:rsidRPr="00126320">
        <w:rPr>
          <w:rFonts w:hint="cs"/>
          <w:rtl/>
        </w:rPr>
        <w:t>الدورة السادسة والأربعين للجنة حق المؤلف</w:t>
      </w:r>
    </w:p>
    <w:p w14:paraId="7155F0BC" w14:textId="09015E00" w:rsidR="0082494B" w:rsidRPr="00184529" w:rsidRDefault="0082494B" w:rsidP="0082494B">
      <w:pPr>
        <w:pStyle w:val="Heading2"/>
        <w:spacing w:after="240"/>
        <w:rPr>
          <w:sz w:val="22"/>
          <w:szCs w:val="22"/>
        </w:rPr>
      </w:pPr>
      <w:r w:rsidRPr="00184529">
        <w:rPr>
          <w:rFonts w:hint="cs"/>
          <w:sz w:val="22"/>
          <w:szCs w:val="22"/>
          <w:rtl/>
        </w:rPr>
        <w:t>حق التتبع</w:t>
      </w:r>
    </w:p>
    <w:p w14:paraId="7E030AA5" w14:textId="7266C6DD" w:rsidR="0082494B" w:rsidRPr="00126320" w:rsidRDefault="0082494B" w:rsidP="0082494B">
      <w:pPr>
        <w:pStyle w:val="ONUMA"/>
        <w:rPr>
          <w:rtl/>
        </w:rPr>
      </w:pPr>
      <w:r w:rsidRPr="00126320">
        <w:rPr>
          <w:rFonts w:hint="cs"/>
          <w:rtl/>
        </w:rPr>
        <w:t xml:space="preserve">وفيما يتعلق بموضوع حق التتبع، </w:t>
      </w:r>
      <w:r w:rsidRPr="0082494B">
        <w:rPr>
          <w:rtl/>
        </w:rPr>
        <w:t>ناقشت الوفود هذا الموضوع، وطلبت بعض الوفود إ</w:t>
      </w:r>
      <w:r>
        <w:rPr>
          <w:rFonts w:hint="cs"/>
          <w:rtl/>
        </w:rPr>
        <w:t xml:space="preserve">دراج </w:t>
      </w:r>
      <w:r w:rsidRPr="0082494B">
        <w:rPr>
          <w:rtl/>
        </w:rPr>
        <w:t>حق ال</w:t>
      </w:r>
      <w:r>
        <w:rPr>
          <w:rFonts w:hint="cs"/>
          <w:rtl/>
        </w:rPr>
        <w:t>تت</w:t>
      </w:r>
      <w:r w:rsidRPr="0082494B">
        <w:rPr>
          <w:rtl/>
        </w:rPr>
        <w:t>بع كبند دائم في جدول أعمال لجنة</w:t>
      </w:r>
      <w:r>
        <w:rPr>
          <w:rFonts w:hint="cs"/>
          <w:rtl/>
        </w:rPr>
        <w:t xml:space="preserve"> حق المؤلف</w:t>
      </w:r>
      <w:r w:rsidRPr="0082494B">
        <w:rPr>
          <w:rtl/>
        </w:rPr>
        <w:t xml:space="preserve">، </w:t>
      </w:r>
      <w:r>
        <w:rPr>
          <w:rFonts w:hint="cs"/>
          <w:rtl/>
        </w:rPr>
        <w:t>و</w:t>
      </w:r>
      <w:r w:rsidRPr="0082494B">
        <w:rPr>
          <w:rtl/>
        </w:rPr>
        <w:t>لم توافق وفود أخرى على ذلك.</w:t>
      </w:r>
      <w:r>
        <w:rPr>
          <w:rFonts w:hint="cs"/>
          <w:rtl/>
        </w:rPr>
        <w:t xml:space="preserve"> ودعيت الوفود إلى </w:t>
      </w:r>
      <w:r w:rsidRPr="00126320">
        <w:rPr>
          <w:rFonts w:hint="cs"/>
          <w:rtl/>
        </w:rPr>
        <w:t xml:space="preserve">إرسال تعليقاتها على </w:t>
      </w:r>
      <w:hyperlink r:id="rId19" w:history="1">
        <w:r w:rsidRPr="00F67B98">
          <w:rPr>
            <w:rStyle w:val="Hyperlink"/>
            <w:rFonts w:hint="cs"/>
            <w:i/>
            <w:iCs/>
            <w:rtl/>
          </w:rPr>
          <w:t>مجموعة أدوات الويبو بشأن حق التتبع - الجزء الثاني</w:t>
        </w:r>
      </w:hyperlink>
      <w:r w:rsidRPr="00126320">
        <w:rPr>
          <w:rFonts w:hint="cs"/>
          <w:rtl/>
        </w:rPr>
        <w:t xml:space="preserve"> (الوثيقة </w:t>
      </w:r>
      <w:r w:rsidRPr="00126320">
        <w:rPr>
          <w:lang w:bidi="ar-EG"/>
        </w:rPr>
        <w:t>SCCR/45/INF/2</w:t>
      </w:r>
      <w:r>
        <w:rPr>
          <w:rFonts w:hint="cs"/>
          <w:rtl/>
          <w:lang w:bidi="ar-EG"/>
        </w:rPr>
        <w:t xml:space="preserve">) </w:t>
      </w:r>
      <w:r w:rsidRPr="00126320">
        <w:rPr>
          <w:rFonts w:hint="cs"/>
          <w:rtl/>
        </w:rPr>
        <w:t>إلى</w:t>
      </w:r>
      <w:r>
        <w:rPr>
          <w:rFonts w:hint="cs"/>
          <w:rtl/>
        </w:rPr>
        <w:t xml:space="preserve"> </w:t>
      </w:r>
      <w:hyperlink r:id="rId20" w:history="1">
        <w:r w:rsidRPr="00A15A3F">
          <w:rPr>
            <w:rStyle w:val="Hyperlink"/>
          </w:rPr>
          <w:t>copyright.mail@wipo.int</w:t>
        </w:r>
      </w:hyperlink>
      <w:r w:rsidRPr="00126320">
        <w:rPr>
          <w:rFonts w:hint="cs"/>
          <w:rtl/>
        </w:rPr>
        <w:t xml:space="preserve"> بحلول </w:t>
      </w:r>
      <w:r>
        <w:rPr>
          <w:rFonts w:hint="cs"/>
          <w:rtl/>
        </w:rPr>
        <w:t>15</w:t>
      </w:r>
      <w:r w:rsidRPr="00126320">
        <w:rPr>
          <w:rFonts w:hint="cs"/>
          <w:rtl/>
        </w:rPr>
        <w:t xml:space="preserve"> </w:t>
      </w:r>
      <w:r>
        <w:rPr>
          <w:rFonts w:hint="cs"/>
          <w:rtl/>
        </w:rPr>
        <w:t xml:space="preserve">أكتوبر </w:t>
      </w:r>
      <w:r w:rsidRPr="00126320">
        <w:rPr>
          <w:rFonts w:hint="cs"/>
          <w:rtl/>
        </w:rPr>
        <w:t>2024، حتى يتسنى إعداد نسخة منقحة من مجموعة الأدوات تأخذ وجهات نظر الوفود في الاعتبار</w:t>
      </w:r>
      <w:r>
        <w:rPr>
          <w:rFonts w:hint="cs"/>
          <w:rtl/>
        </w:rPr>
        <w:t>،</w:t>
      </w:r>
      <w:r w:rsidRPr="0082494B">
        <w:rPr>
          <w:rtl/>
        </w:rPr>
        <w:t xml:space="preserve"> ل</w:t>
      </w:r>
      <w:r>
        <w:rPr>
          <w:rFonts w:hint="cs"/>
          <w:rtl/>
        </w:rPr>
        <w:t>ي</w:t>
      </w:r>
      <w:r w:rsidRPr="0082494B">
        <w:rPr>
          <w:rtl/>
        </w:rPr>
        <w:t xml:space="preserve">نظر فيها في الدورة القادمة للجنة </w:t>
      </w:r>
      <w:r>
        <w:rPr>
          <w:rFonts w:hint="cs"/>
          <w:rtl/>
        </w:rPr>
        <w:t>حق المؤلف.</w:t>
      </w:r>
    </w:p>
    <w:p w14:paraId="68CA9BD0" w14:textId="39AB18FD" w:rsidR="00126320" w:rsidRPr="00126320" w:rsidRDefault="00126320" w:rsidP="00F67B98">
      <w:pPr>
        <w:pStyle w:val="ONUMA"/>
        <w:rPr>
          <w:rFonts w:eastAsiaTheme="minorHAnsi"/>
          <w:rtl/>
        </w:rPr>
      </w:pPr>
      <w:r w:rsidRPr="00126320">
        <w:rPr>
          <w:rFonts w:hint="cs"/>
          <w:rtl/>
        </w:rPr>
        <w:t xml:space="preserve">وسيظل بند "مسائل أخرى" مدرجاً على جدول أعمال الدورة السادسة والأربعين للجنة. </w:t>
      </w:r>
    </w:p>
    <w:p w14:paraId="76BB07AE" w14:textId="77777777" w:rsidR="00126320" w:rsidRPr="00126320" w:rsidRDefault="00126320" w:rsidP="00F67B98">
      <w:pPr>
        <w:pStyle w:val="Heading2"/>
        <w:spacing w:after="240"/>
        <w:rPr>
          <w:i/>
          <w:iCs w:val="0"/>
          <w:sz w:val="24"/>
          <w:szCs w:val="24"/>
          <w:rtl/>
        </w:rPr>
      </w:pPr>
      <w:r w:rsidRPr="00126320">
        <w:rPr>
          <w:rFonts w:hint="cs"/>
          <w:i/>
          <w:iCs w:val="0"/>
          <w:sz w:val="24"/>
          <w:szCs w:val="24"/>
          <w:rtl/>
        </w:rPr>
        <w:lastRenderedPageBreak/>
        <w:t>ملخص الرئيس</w:t>
      </w:r>
    </w:p>
    <w:p w14:paraId="4C9F892F" w14:textId="77777777" w:rsidR="00126320" w:rsidRPr="00126320" w:rsidRDefault="00126320" w:rsidP="00F67B98">
      <w:pPr>
        <w:pStyle w:val="ONUMA"/>
        <w:rPr>
          <w:rtl/>
        </w:rPr>
      </w:pPr>
      <w:r w:rsidRPr="00126320">
        <w:rPr>
          <w:rFonts w:hint="cs"/>
          <w:rtl/>
        </w:rPr>
        <w:t>أحاطت اللجنة علماً بمضمون هذا الملخص الذي أعدته الرئيسة.  وأوضحت الرئيسة أن هذا الملخص يبلور آراء الرئيسة بشأن نتائج الدورة الخامسة والأربعين للجنة حق المؤلف، لذا فإنه لا يخضع لموافقة اللجنة.</w:t>
      </w:r>
    </w:p>
    <w:p w14:paraId="0CF78D52" w14:textId="77777777" w:rsidR="00126320" w:rsidRPr="00126320" w:rsidRDefault="00126320" w:rsidP="00F67B98">
      <w:pPr>
        <w:pStyle w:val="Heading2"/>
        <w:spacing w:after="240"/>
        <w:rPr>
          <w:i/>
          <w:iCs w:val="0"/>
          <w:sz w:val="24"/>
          <w:szCs w:val="24"/>
          <w:rtl/>
        </w:rPr>
      </w:pPr>
      <w:r w:rsidRPr="00126320">
        <w:rPr>
          <w:rFonts w:hint="cs"/>
          <w:i/>
          <w:iCs w:val="0"/>
          <w:sz w:val="24"/>
          <w:szCs w:val="24"/>
          <w:rtl/>
        </w:rPr>
        <w:t>البند 8 من جدول الأعمال:  اختتام الدورة</w:t>
      </w:r>
    </w:p>
    <w:p w14:paraId="771DD4A5" w14:textId="0B36D653" w:rsidR="00184529" w:rsidRPr="00126320" w:rsidRDefault="00126320" w:rsidP="00184529">
      <w:pPr>
        <w:pStyle w:val="ONUMA"/>
        <w:rPr>
          <w:rtl/>
        </w:rPr>
      </w:pPr>
      <w:r w:rsidRPr="00126320">
        <w:rPr>
          <w:rFonts w:hint="cs"/>
          <w:rtl/>
        </w:rPr>
        <w:t xml:space="preserve">فيما يتعلق بالاجتماعات المقبلة، </w:t>
      </w:r>
      <w:r w:rsidR="0082494B">
        <w:rPr>
          <w:rFonts w:hint="cs"/>
          <w:rtl/>
        </w:rPr>
        <w:t xml:space="preserve">أشارت الرئيسة إلى أن أحدى المجموعات </w:t>
      </w:r>
      <w:r w:rsidRPr="00126320">
        <w:rPr>
          <w:rFonts w:hint="cs"/>
          <w:rtl/>
        </w:rPr>
        <w:t>أعرب</w:t>
      </w:r>
      <w:r w:rsidR="0082494B">
        <w:rPr>
          <w:rFonts w:hint="cs"/>
          <w:rtl/>
        </w:rPr>
        <w:t>ت</w:t>
      </w:r>
      <w:r w:rsidRPr="00126320">
        <w:rPr>
          <w:rFonts w:hint="cs"/>
          <w:rtl/>
        </w:rPr>
        <w:t xml:space="preserve"> </w:t>
      </w:r>
      <w:r w:rsidR="0082494B">
        <w:rPr>
          <w:rFonts w:hint="cs"/>
          <w:rtl/>
        </w:rPr>
        <w:t xml:space="preserve">في كلمتها الافتتاحية عن </w:t>
      </w:r>
      <w:r w:rsidRPr="00126320">
        <w:rPr>
          <w:rFonts w:hint="cs"/>
          <w:rtl/>
        </w:rPr>
        <w:t>تفضيل</w:t>
      </w:r>
      <w:r w:rsidR="0082494B">
        <w:rPr>
          <w:rFonts w:hint="cs"/>
          <w:rtl/>
        </w:rPr>
        <w:t>ها</w:t>
      </w:r>
      <w:r w:rsidRPr="00126320">
        <w:rPr>
          <w:rFonts w:hint="cs"/>
          <w:rtl/>
        </w:rPr>
        <w:t xml:space="preserve"> </w:t>
      </w:r>
      <w:r w:rsidR="0082494B">
        <w:rPr>
          <w:rFonts w:hint="cs"/>
          <w:rtl/>
        </w:rPr>
        <w:t>ل</w:t>
      </w:r>
      <w:r w:rsidRPr="00126320">
        <w:rPr>
          <w:rFonts w:hint="cs"/>
          <w:rtl/>
        </w:rPr>
        <w:t xml:space="preserve">أن تعود اللجنة إلى نمط دورتين في السنة التقويمية، </w:t>
      </w:r>
      <w:r w:rsidR="0082494B">
        <w:rPr>
          <w:rFonts w:hint="cs"/>
          <w:rtl/>
        </w:rPr>
        <w:t xml:space="preserve">اعتباراً من </w:t>
      </w:r>
      <w:r w:rsidR="00184529">
        <w:rPr>
          <w:rFonts w:hint="cs"/>
          <w:rtl/>
        </w:rPr>
        <w:t>عام 2025.</w:t>
      </w:r>
    </w:p>
    <w:p w14:paraId="49FC2D5C" w14:textId="448AA637" w:rsidR="00126320" w:rsidRPr="00126320" w:rsidRDefault="00126320" w:rsidP="00F67B98">
      <w:pPr>
        <w:pStyle w:val="ONUMA"/>
        <w:rPr>
          <w:rtl/>
        </w:rPr>
      </w:pPr>
      <w:r w:rsidRPr="00126320">
        <w:rPr>
          <w:rFonts w:hint="cs"/>
          <w:rtl/>
        </w:rPr>
        <w:t>بالنسبة للدورة المقبلة للجنة، ينبغي تقسيم الوقت لمدة أربعة أيام ونصف بالتساوي بين مسائل البث والتقييدات والاستثناءات والمسائل الأخرى، بما في ذلك حق المؤلف في البيئة الرقمية وحق التتبع وحقوق مخرجي المسرح وحق الإعارة للجمهور، بعد معالجة بنود جدول الأعمال الإدارية الأولية</w:t>
      </w:r>
      <w:r w:rsidR="00184529">
        <w:rPr>
          <w:rFonts w:hint="cs"/>
          <w:rtl/>
        </w:rPr>
        <w:t>.</w:t>
      </w:r>
    </w:p>
    <w:p w14:paraId="7F47C255" w14:textId="77777777" w:rsidR="00F67B98" w:rsidRDefault="00F67B98" w:rsidP="00A96190">
      <w:pPr>
        <w:pStyle w:val="Endofdocument-Annex"/>
        <w:rPr>
          <w:rtl/>
        </w:rPr>
      </w:pPr>
    </w:p>
    <w:p w14:paraId="1AC342E5" w14:textId="717DB9A4" w:rsidR="008E4690" w:rsidRDefault="00A96190" w:rsidP="00A96190">
      <w:pPr>
        <w:pStyle w:val="Endofdocument-Annex"/>
      </w:pPr>
      <w:r>
        <w:rPr>
          <w:rFonts w:hint="cs"/>
          <w:rtl/>
        </w:rPr>
        <w:t>[نهاية الوثيقة]</w:t>
      </w:r>
    </w:p>
    <w:sectPr w:rsidR="008E4690" w:rsidSect="00CC3E2D">
      <w:headerReference w:type="defaul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300E" w14:textId="77777777" w:rsidR="005F062D" w:rsidRDefault="005F062D">
      <w:r>
        <w:separator/>
      </w:r>
    </w:p>
  </w:endnote>
  <w:endnote w:type="continuationSeparator" w:id="0">
    <w:p w14:paraId="3BA4F915" w14:textId="77777777" w:rsidR="005F062D" w:rsidRDefault="005F062D" w:rsidP="003B38C1">
      <w:r>
        <w:separator/>
      </w:r>
    </w:p>
    <w:p w14:paraId="42F469D4" w14:textId="77777777" w:rsidR="005F062D" w:rsidRPr="003B38C1" w:rsidRDefault="005F062D" w:rsidP="003B38C1">
      <w:pPr>
        <w:spacing w:after="60"/>
        <w:rPr>
          <w:sz w:val="17"/>
        </w:rPr>
      </w:pPr>
      <w:r>
        <w:rPr>
          <w:sz w:val="17"/>
        </w:rPr>
        <w:t>[Endnote continued from previous page]</w:t>
      </w:r>
    </w:p>
  </w:endnote>
  <w:endnote w:type="continuationNotice" w:id="1">
    <w:p w14:paraId="7439DA9E" w14:textId="77777777" w:rsidR="005F062D" w:rsidRPr="003B38C1" w:rsidRDefault="005F06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92CC" w14:textId="77777777" w:rsidR="005F062D" w:rsidRDefault="005F062D">
      <w:r>
        <w:separator/>
      </w:r>
    </w:p>
  </w:footnote>
  <w:footnote w:type="continuationSeparator" w:id="0">
    <w:p w14:paraId="45B82274" w14:textId="77777777" w:rsidR="005F062D" w:rsidRDefault="005F062D" w:rsidP="008B60B2">
      <w:r>
        <w:separator/>
      </w:r>
    </w:p>
    <w:p w14:paraId="440E9B60" w14:textId="77777777" w:rsidR="005F062D" w:rsidRPr="00ED77FB" w:rsidRDefault="005F062D" w:rsidP="008B60B2">
      <w:pPr>
        <w:spacing w:after="60"/>
        <w:rPr>
          <w:sz w:val="17"/>
          <w:szCs w:val="17"/>
        </w:rPr>
      </w:pPr>
      <w:r w:rsidRPr="00ED77FB">
        <w:rPr>
          <w:sz w:val="17"/>
          <w:szCs w:val="17"/>
        </w:rPr>
        <w:t>[Footnote continued from previous page]</w:t>
      </w:r>
    </w:p>
  </w:footnote>
  <w:footnote w:type="continuationNotice" w:id="1">
    <w:p w14:paraId="5B156613" w14:textId="77777777" w:rsidR="005F062D" w:rsidRPr="00ED77FB" w:rsidRDefault="005F062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5D71" w14:textId="0821E5FC" w:rsidR="00D07C78" w:rsidRPr="002326AB" w:rsidRDefault="00361738" w:rsidP="00361738">
    <w:pPr>
      <w:bidi w:val="0"/>
      <w:rPr>
        <w:caps/>
      </w:rPr>
    </w:pPr>
    <w:r>
      <w:t>SCCR/</w:t>
    </w:r>
    <w:r w:rsidR="006136C6">
      <w:t>45</w:t>
    </w:r>
    <w:r>
      <w:t>/</w:t>
    </w:r>
    <w:r w:rsidR="00126320">
      <w:t>Summary</w:t>
    </w:r>
  </w:p>
  <w:p w14:paraId="139CA2C1" w14:textId="77777777" w:rsidR="00D07C78" w:rsidRDefault="00D07C78" w:rsidP="00210D5F">
    <w:pPr>
      <w:bidi w:val="0"/>
    </w:pPr>
    <w:r>
      <w:fldChar w:fldCharType="begin"/>
    </w:r>
    <w:r>
      <w:instrText xml:space="preserve"> PAGE  \* MERGEFORMAT </w:instrText>
    </w:r>
    <w:r>
      <w:fldChar w:fldCharType="separate"/>
    </w:r>
    <w:r w:rsidR="00582A90">
      <w:rPr>
        <w:noProof/>
      </w:rPr>
      <w:t>2</w:t>
    </w:r>
    <w:r>
      <w:fldChar w:fldCharType="end"/>
    </w:r>
  </w:p>
  <w:p w14:paraId="7B1C7AC9" w14:textId="77777777" w:rsidR="00D07C78" w:rsidRDefault="00D07C78" w:rsidP="00210D5F">
    <w:pPr>
      <w:bidi w:val="0"/>
    </w:pPr>
  </w:p>
  <w:p w14:paraId="0E9F6576"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339848">
    <w:abstractNumId w:val="2"/>
  </w:num>
  <w:num w:numId="2" w16cid:durableId="2039889310">
    <w:abstractNumId w:val="6"/>
  </w:num>
  <w:num w:numId="3" w16cid:durableId="16662514">
    <w:abstractNumId w:val="0"/>
  </w:num>
  <w:num w:numId="4" w16cid:durableId="1290555000">
    <w:abstractNumId w:val="7"/>
  </w:num>
  <w:num w:numId="5" w16cid:durableId="376515128">
    <w:abstractNumId w:val="1"/>
  </w:num>
  <w:num w:numId="6" w16cid:durableId="1750956801">
    <w:abstractNumId w:val="3"/>
  </w:num>
  <w:num w:numId="7" w16cid:durableId="1403984987">
    <w:abstractNumId w:val="8"/>
  </w:num>
  <w:num w:numId="8" w16cid:durableId="908421336">
    <w:abstractNumId w:val="5"/>
  </w:num>
  <w:num w:numId="9" w16cid:durableId="1771270125">
    <w:abstractNumId w:val="9"/>
  </w:num>
  <w:num w:numId="10" w16cid:durableId="347565875">
    <w:abstractNumId w:val="8"/>
  </w:num>
  <w:num w:numId="11" w16cid:durableId="436752729">
    <w:abstractNumId w:val="4"/>
  </w:num>
  <w:num w:numId="12" w16cid:durableId="1096250513">
    <w:abstractNumId w:val="8"/>
  </w:num>
  <w:num w:numId="13" w16cid:durableId="786509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928"/>
    <w:rsid w:val="00043CAA"/>
    <w:rsid w:val="00056816"/>
    <w:rsid w:val="000628E3"/>
    <w:rsid w:val="00075432"/>
    <w:rsid w:val="000968ED"/>
    <w:rsid w:val="000A3D97"/>
    <w:rsid w:val="000F5E56"/>
    <w:rsid w:val="00126320"/>
    <w:rsid w:val="001362EE"/>
    <w:rsid w:val="001406E1"/>
    <w:rsid w:val="00155D8A"/>
    <w:rsid w:val="001647D5"/>
    <w:rsid w:val="00170147"/>
    <w:rsid w:val="001832A6"/>
    <w:rsid w:val="00184529"/>
    <w:rsid w:val="00194CAA"/>
    <w:rsid w:val="0019592A"/>
    <w:rsid w:val="001D4107"/>
    <w:rsid w:val="00203D24"/>
    <w:rsid w:val="00210D5F"/>
    <w:rsid w:val="0021217E"/>
    <w:rsid w:val="002326AB"/>
    <w:rsid w:val="00243430"/>
    <w:rsid w:val="002634C4"/>
    <w:rsid w:val="002928D3"/>
    <w:rsid w:val="002F1FE6"/>
    <w:rsid w:val="002F4E68"/>
    <w:rsid w:val="00312F7F"/>
    <w:rsid w:val="00340F1F"/>
    <w:rsid w:val="00354B14"/>
    <w:rsid w:val="00361450"/>
    <w:rsid w:val="00361738"/>
    <w:rsid w:val="003673CF"/>
    <w:rsid w:val="00380928"/>
    <w:rsid w:val="003845C1"/>
    <w:rsid w:val="003A6F89"/>
    <w:rsid w:val="003B355C"/>
    <w:rsid w:val="003B38C1"/>
    <w:rsid w:val="003C34E9"/>
    <w:rsid w:val="00423E3E"/>
    <w:rsid w:val="00427AF4"/>
    <w:rsid w:val="004647DA"/>
    <w:rsid w:val="00474062"/>
    <w:rsid w:val="00477D6B"/>
    <w:rsid w:val="004965A1"/>
    <w:rsid w:val="005019FF"/>
    <w:rsid w:val="005243CD"/>
    <w:rsid w:val="0053057A"/>
    <w:rsid w:val="00556076"/>
    <w:rsid w:val="00560A29"/>
    <w:rsid w:val="00582A90"/>
    <w:rsid w:val="00590169"/>
    <w:rsid w:val="0059111F"/>
    <w:rsid w:val="005C6649"/>
    <w:rsid w:val="005D7747"/>
    <w:rsid w:val="005E7B89"/>
    <w:rsid w:val="005F062D"/>
    <w:rsid w:val="00605827"/>
    <w:rsid w:val="006136C6"/>
    <w:rsid w:val="00646050"/>
    <w:rsid w:val="006713CA"/>
    <w:rsid w:val="00676C5C"/>
    <w:rsid w:val="00692A4A"/>
    <w:rsid w:val="006B5C12"/>
    <w:rsid w:val="00720EFD"/>
    <w:rsid w:val="0072224F"/>
    <w:rsid w:val="00757240"/>
    <w:rsid w:val="007854AF"/>
    <w:rsid w:val="00793A7C"/>
    <w:rsid w:val="007A398A"/>
    <w:rsid w:val="007C4902"/>
    <w:rsid w:val="007D1613"/>
    <w:rsid w:val="007E4C0E"/>
    <w:rsid w:val="007F2029"/>
    <w:rsid w:val="0082494B"/>
    <w:rsid w:val="008406B2"/>
    <w:rsid w:val="008A134B"/>
    <w:rsid w:val="008B2CC1"/>
    <w:rsid w:val="008B60B2"/>
    <w:rsid w:val="008E4690"/>
    <w:rsid w:val="0090731E"/>
    <w:rsid w:val="00916EE2"/>
    <w:rsid w:val="00944B2C"/>
    <w:rsid w:val="00966A22"/>
    <w:rsid w:val="0096722F"/>
    <w:rsid w:val="00980843"/>
    <w:rsid w:val="009B0855"/>
    <w:rsid w:val="009C29FB"/>
    <w:rsid w:val="009E2791"/>
    <w:rsid w:val="009E3F6F"/>
    <w:rsid w:val="009F499F"/>
    <w:rsid w:val="00A37342"/>
    <w:rsid w:val="00A42DAF"/>
    <w:rsid w:val="00A45BD8"/>
    <w:rsid w:val="00A55395"/>
    <w:rsid w:val="00A708F6"/>
    <w:rsid w:val="00A869B7"/>
    <w:rsid w:val="00A90F0A"/>
    <w:rsid w:val="00A96190"/>
    <w:rsid w:val="00AC205C"/>
    <w:rsid w:val="00AE5F71"/>
    <w:rsid w:val="00AF0A6B"/>
    <w:rsid w:val="00B05A69"/>
    <w:rsid w:val="00B408F4"/>
    <w:rsid w:val="00B42CA9"/>
    <w:rsid w:val="00B51FF7"/>
    <w:rsid w:val="00B75281"/>
    <w:rsid w:val="00B92F1F"/>
    <w:rsid w:val="00B9734B"/>
    <w:rsid w:val="00BA30E2"/>
    <w:rsid w:val="00C11BFE"/>
    <w:rsid w:val="00C17E4C"/>
    <w:rsid w:val="00C5068F"/>
    <w:rsid w:val="00C86D74"/>
    <w:rsid w:val="00CA2F68"/>
    <w:rsid w:val="00CA3553"/>
    <w:rsid w:val="00CB3DBA"/>
    <w:rsid w:val="00CC0FD6"/>
    <w:rsid w:val="00CC3E2D"/>
    <w:rsid w:val="00CD04F1"/>
    <w:rsid w:val="00CE19F8"/>
    <w:rsid w:val="00CE556F"/>
    <w:rsid w:val="00CF681A"/>
    <w:rsid w:val="00D07C78"/>
    <w:rsid w:val="00D251C0"/>
    <w:rsid w:val="00D45252"/>
    <w:rsid w:val="00D60B2C"/>
    <w:rsid w:val="00D67EAE"/>
    <w:rsid w:val="00D71B4D"/>
    <w:rsid w:val="00D90B96"/>
    <w:rsid w:val="00D93D55"/>
    <w:rsid w:val="00DB3EE6"/>
    <w:rsid w:val="00DD7B7F"/>
    <w:rsid w:val="00E15015"/>
    <w:rsid w:val="00E319DF"/>
    <w:rsid w:val="00E335FE"/>
    <w:rsid w:val="00E66CC5"/>
    <w:rsid w:val="00E7374D"/>
    <w:rsid w:val="00EA1987"/>
    <w:rsid w:val="00EA7D6E"/>
    <w:rsid w:val="00EB2F76"/>
    <w:rsid w:val="00EC4E49"/>
    <w:rsid w:val="00ED77FB"/>
    <w:rsid w:val="00EE066C"/>
    <w:rsid w:val="00EE45FA"/>
    <w:rsid w:val="00F043DE"/>
    <w:rsid w:val="00F516BA"/>
    <w:rsid w:val="00F66152"/>
    <w:rsid w:val="00F67B98"/>
    <w:rsid w:val="00F9165B"/>
    <w:rsid w:val="00FC482F"/>
    <w:rsid w:val="00FC548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238C8"/>
  <w15:docId w15:val="{D3CEDF2B-7B54-4E14-9ECD-17B6EC3B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126320"/>
    <w:rPr>
      <w:color w:val="0000FF" w:themeColor="hyperlink"/>
      <w:u w:val="single"/>
    </w:rPr>
  </w:style>
  <w:style w:type="character" w:styleId="UnresolvedMention">
    <w:name w:val="Unresolved Mention"/>
    <w:basedOn w:val="DefaultParagraphFont"/>
    <w:uiPriority w:val="99"/>
    <w:semiHidden/>
    <w:unhideWhenUsed/>
    <w:rsid w:val="0012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19187">
      <w:bodyDiv w:val="1"/>
      <w:marLeft w:val="0"/>
      <w:marRight w:val="0"/>
      <w:marTop w:val="0"/>
      <w:marBottom w:val="0"/>
      <w:divBdr>
        <w:top w:val="none" w:sz="0" w:space="0" w:color="auto"/>
        <w:left w:val="none" w:sz="0" w:space="0" w:color="auto"/>
        <w:bottom w:val="none" w:sz="0" w:space="0" w:color="auto"/>
        <w:right w:val="none" w:sz="0" w:space="0" w:color="auto"/>
      </w:divBdr>
    </w:div>
    <w:div w:id="745498130">
      <w:bodyDiv w:val="1"/>
      <w:marLeft w:val="0"/>
      <w:marRight w:val="0"/>
      <w:marTop w:val="0"/>
      <w:marBottom w:val="0"/>
      <w:divBdr>
        <w:top w:val="none" w:sz="0" w:space="0" w:color="auto"/>
        <w:left w:val="none" w:sz="0" w:space="0" w:color="auto"/>
        <w:bottom w:val="none" w:sz="0" w:space="0" w:color="auto"/>
        <w:right w:val="none" w:sz="0" w:space="0" w:color="auto"/>
      </w:divBdr>
    </w:div>
    <w:div w:id="11111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etails.jsp?meeting_id=80924" TargetMode="External"/><Relationship Id="rId18" Type="http://schemas.openxmlformats.org/officeDocument/2006/relationships/hyperlink" Target="mailto:copyright.mail@wipo.i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ipo.int/meetings/en/details.jsp?meeting_id=80924" TargetMode="External"/><Relationship Id="rId17" Type="http://schemas.openxmlformats.org/officeDocument/2006/relationships/hyperlink" Target="https://www.wipo.int/meetings/ar/doc_details.jsp?doc_id=629405" TargetMode="External"/><Relationship Id="rId2" Type="http://schemas.openxmlformats.org/officeDocument/2006/relationships/numbering" Target="numbering.xml"/><Relationship Id="rId16" Type="http://schemas.openxmlformats.org/officeDocument/2006/relationships/hyperlink" Target="https://www.wipo.int/meetings/ar/doc_details.jsp?doc_id=629272" TargetMode="External"/><Relationship Id="rId20" Type="http://schemas.openxmlformats.org/officeDocument/2006/relationships/hyperlink" Target="mailto:copyright.mail@wip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meetings/ar/details.jsp?meeting_id=80924"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wipo.int/meetings/ar/doc_details.jsp?doc_id=62942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62892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15D2-4939-40B9-92C3-8F0B4219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1807</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SCCR/45/1 Prov.2</vt:lpstr>
    </vt:vector>
  </TitlesOfParts>
  <Company>WIPO</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SCCR/45/1 Prov.2</dc:title>
  <dc:creator>MERZOUK Fawzi</dc:creator>
  <cp:keywords>FOR OFFICIAL USE ONLY</cp:keywords>
  <cp:lastModifiedBy>HAIZEL Francesca</cp:lastModifiedBy>
  <cp:revision>2</cp:revision>
  <cp:lastPrinted>2024-04-23T13:50:00Z</cp:lastPrinted>
  <dcterms:created xsi:type="dcterms:W3CDTF">2024-04-25T15:05:00Z</dcterms:created>
  <dcterms:modified xsi:type="dcterms:W3CDTF">2024-04-25T15:05:00Z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2023-06-21T10:07:39Z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93d1620d-4cec-49d2-b47a-4800449eacfa</vt:lpwstr>
  </property>
  <property fmtid="{D5CDD505-2E9C-101B-9397-08002B2CF9AE}" pid="13" name="MSIP_Label_20773ee6-353b-4fb9-a59d-0b94c8c67bea_ContentBits">
    <vt:lpwstr>0</vt:lpwstr>
  </property>
</Properties>
</file>