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711F"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EB6078B" wp14:editId="384C2D1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90B070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EC86A28" w14:textId="71ABA9F4" w:rsidR="008B2CC1" w:rsidRPr="002326AB" w:rsidRDefault="008E4690" w:rsidP="00A55395">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w:t>
      </w:r>
      <w:r w:rsidR="00A55395">
        <w:rPr>
          <w:rFonts w:ascii="Arial Black" w:hAnsi="Arial Black"/>
          <w:caps/>
          <w:sz w:val="15"/>
          <w:szCs w:val="15"/>
        </w:rPr>
        <w:t>44</w:t>
      </w:r>
      <w:r w:rsidR="00D90B96">
        <w:rPr>
          <w:rFonts w:ascii="Arial Black" w:hAnsi="Arial Black"/>
          <w:caps/>
          <w:sz w:val="15"/>
          <w:szCs w:val="15"/>
        </w:rPr>
        <w:t>/</w:t>
      </w:r>
      <w:bookmarkStart w:id="0" w:name="Code"/>
      <w:bookmarkEnd w:id="0"/>
      <w:r w:rsidR="00643E21">
        <w:rPr>
          <w:rFonts w:ascii="Arial Black" w:hAnsi="Arial Black"/>
          <w:caps/>
          <w:sz w:val="15"/>
          <w:szCs w:val="15"/>
        </w:rPr>
        <w:t>Summary</w:t>
      </w:r>
    </w:p>
    <w:p w14:paraId="199D6DB4" w14:textId="77777777" w:rsidR="008B2CC1" w:rsidRPr="00A55395" w:rsidRDefault="00CC3E2D" w:rsidP="00CC3E2D">
      <w:pPr>
        <w:jc w:val="right"/>
        <w:rPr>
          <w:rFonts w:asciiTheme="minorHAnsi" w:hAnsiTheme="minorHAnsi" w:cstheme="minorHAnsi"/>
          <w:b/>
          <w:bCs/>
          <w:caps/>
          <w:sz w:val="15"/>
          <w:szCs w:val="15"/>
        </w:rPr>
      </w:pPr>
      <w:bookmarkStart w:id="1" w:name="Original"/>
      <w:r w:rsidRPr="00A55395">
        <w:rPr>
          <w:rFonts w:asciiTheme="minorHAnsi" w:hAnsiTheme="minorHAnsi" w:cstheme="minorHAnsi" w:hint="cs"/>
          <w:b/>
          <w:bCs/>
          <w:caps/>
          <w:sz w:val="15"/>
          <w:szCs w:val="15"/>
          <w:rtl/>
        </w:rPr>
        <w:t xml:space="preserve">الأصل: </w:t>
      </w:r>
      <w:r w:rsidR="00CA3553" w:rsidRPr="00A55395">
        <w:rPr>
          <w:rFonts w:asciiTheme="minorHAnsi" w:hAnsiTheme="minorHAnsi" w:cstheme="minorHAnsi" w:hint="cs"/>
          <w:b/>
          <w:bCs/>
          <w:caps/>
          <w:sz w:val="15"/>
          <w:szCs w:val="15"/>
          <w:rtl/>
        </w:rPr>
        <w:t>بالإنكليزية</w:t>
      </w:r>
    </w:p>
    <w:p w14:paraId="47865EE4" w14:textId="6187F372" w:rsidR="008B2CC1" w:rsidRPr="00CC3E2D" w:rsidRDefault="00CC3E2D" w:rsidP="00A55395">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A55395">
        <w:rPr>
          <w:rFonts w:asciiTheme="minorHAnsi" w:hAnsiTheme="minorHAnsi" w:cstheme="minorHAnsi" w:hint="cs"/>
          <w:b/>
          <w:bCs/>
          <w:caps/>
          <w:sz w:val="15"/>
          <w:szCs w:val="15"/>
          <w:rtl/>
        </w:rPr>
        <w:t xml:space="preserve"> </w:t>
      </w:r>
      <w:r w:rsidR="00643E21">
        <w:rPr>
          <w:rFonts w:asciiTheme="minorHAnsi" w:hAnsiTheme="minorHAnsi" w:cstheme="minorHAnsi" w:hint="cs"/>
          <w:b/>
          <w:bCs/>
          <w:caps/>
          <w:sz w:val="15"/>
          <w:szCs w:val="15"/>
          <w:rtl/>
        </w:rPr>
        <w:t>8</w:t>
      </w:r>
      <w:r w:rsidR="00A55395">
        <w:rPr>
          <w:rFonts w:asciiTheme="minorHAnsi" w:hAnsiTheme="minorHAnsi" w:cstheme="minorHAnsi" w:hint="cs"/>
          <w:b/>
          <w:bCs/>
          <w:caps/>
          <w:sz w:val="15"/>
          <w:szCs w:val="15"/>
          <w:rtl/>
        </w:rPr>
        <w:t xml:space="preserve"> </w:t>
      </w:r>
      <w:r w:rsidR="00643E21">
        <w:rPr>
          <w:rFonts w:asciiTheme="minorHAnsi" w:hAnsiTheme="minorHAnsi" w:cstheme="minorHAnsi" w:hint="cs"/>
          <w:b/>
          <w:bCs/>
          <w:caps/>
          <w:sz w:val="15"/>
          <w:szCs w:val="15"/>
          <w:rtl/>
        </w:rPr>
        <w:t>نوفمبر</w:t>
      </w:r>
      <w:r w:rsidR="00A55395">
        <w:rPr>
          <w:rFonts w:asciiTheme="minorHAnsi" w:hAnsiTheme="minorHAnsi" w:cstheme="minorHAnsi" w:hint="cs"/>
          <w:b/>
          <w:bCs/>
          <w:caps/>
          <w:sz w:val="15"/>
          <w:szCs w:val="15"/>
          <w:rtl/>
        </w:rPr>
        <w:t xml:space="preserve"> 2023</w:t>
      </w:r>
    </w:p>
    <w:bookmarkEnd w:id="2"/>
    <w:p w14:paraId="08F33C21" w14:textId="77777777" w:rsidR="008B2CC1" w:rsidRPr="00D67EAE" w:rsidRDefault="008E4690" w:rsidP="0019592A">
      <w:pPr>
        <w:pStyle w:val="Heading1"/>
      </w:pPr>
      <w:r>
        <w:rPr>
          <w:rtl/>
        </w:rPr>
        <w:t>اللجنة ال</w:t>
      </w:r>
      <w:r>
        <w:rPr>
          <w:rFonts w:hint="cs"/>
          <w:rtl/>
        </w:rPr>
        <w:t>دائمة المعنية بحق المؤلف والحقوق المجاورة</w:t>
      </w:r>
    </w:p>
    <w:p w14:paraId="765675A8" w14:textId="77777777" w:rsidR="00A90F0A" w:rsidRPr="00D67EAE" w:rsidRDefault="00D67EAE" w:rsidP="00A5539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A55395">
        <w:rPr>
          <w:rFonts w:asciiTheme="minorHAnsi" w:hAnsiTheme="minorHAnsi" w:cstheme="minorHAnsi" w:hint="cs"/>
          <w:bCs/>
          <w:sz w:val="24"/>
          <w:szCs w:val="24"/>
          <w:rtl/>
        </w:rPr>
        <w:t>رابعة</w:t>
      </w:r>
      <w:r w:rsidRPr="00D67EAE">
        <w:rPr>
          <w:rFonts w:asciiTheme="minorHAnsi" w:hAnsiTheme="minorHAnsi" w:cstheme="minorHAnsi" w:hint="cs"/>
          <w:bCs/>
          <w:sz w:val="24"/>
          <w:szCs w:val="24"/>
          <w:rtl/>
        </w:rPr>
        <w:t xml:space="preserve"> والأربعون</w:t>
      </w:r>
    </w:p>
    <w:p w14:paraId="6DECACA8" w14:textId="77777777" w:rsidR="008B2CC1" w:rsidRPr="00D67EAE" w:rsidRDefault="00D67EAE" w:rsidP="00A5539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55395">
        <w:rPr>
          <w:rFonts w:asciiTheme="minorHAnsi" w:hAnsiTheme="minorHAnsi" w:cstheme="minorHAnsi" w:hint="cs"/>
          <w:bCs/>
          <w:sz w:val="24"/>
          <w:szCs w:val="24"/>
          <w:rtl/>
        </w:rPr>
        <w:t>6</w:t>
      </w:r>
      <w:r w:rsidR="008E4690">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A55395">
        <w:rPr>
          <w:rFonts w:asciiTheme="minorHAnsi" w:hAnsiTheme="minorHAnsi" w:cstheme="minorHAnsi" w:hint="cs"/>
          <w:bCs/>
          <w:sz w:val="24"/>
          <w:szCs w:val="24"/>
          <w:rtl/>
        </w:rPr>
        <w:t>8 نوفمبر 2023</w:t>
      </w:r>
    </w:p>
    <w:p w14:paraId="2BA8A856" w14:textId="3CA3CE42" w:rsidR="008B2CC1" w:rsidRPr="00D67EAE" w:rsidRDefault="00643E21" w:rsidP="00DD7B7F">
      <w:pPr>
        <w:spacing w:after="360"/>
        <w:outlineLvl w:val="0"/>
        <w:rPr>
          <w:rFonts w:asciiTheme="minorHAnsi" w:hAnsiTheme="minorHAnsi" w:cstheme="minorHAnsi"/>
          <w:caps/>
          <w:sz w:val="24"/>
        </w:rPr>
      </w:pPr>
      <w:bookmarkStart w:id="3" w:name="TitleOfDoc"/>
      <w:r w:rsidRPr="00643E21">
        <w:rPr>
          <w:rFonts w:asciiTheme="minorHAnsi" w:hAnsiTheme="minorHAnsi"/>
          <w:caps/>
          <w:sz w:val="28"/>
          <w:szCs w:val="24"/>
          <w:rtl/>
        </w:rPr>
        <w:t>ملخص الرئيس</w:t>
      </w:r>
    </w:p>
    <w:p w14:paraId="004EB61A" w14:textId="73FACD61" w:rsidR="002928D3" w:rsidRDefault="00D67EAE" w:rsidP="00A96190">
      <w:pPr>
        <w:spacing w:after="1040"/>
        <w:rPr>
          <w:rFonts w:asciiTheme="minorHAnsi" w:hAnsiTheme="minorHAnsi"/>
          <w:iCs/>
        </w:rPr>
      </w:pPr>
      <w:bookmarkStart w:id="4" w:name="Prepared"/>
      <w:bookmarkEnd w:id="3"/>
      <w:bookmarkEnd w:id="4"/>
      <w:r w:rsidRPr="00D67EAE">
        <w:rPr>
          <w:rFonts w:asciiTheme="minorHAnsi" w:hAnsiTheme="minorHAnsi" w:cstheme="minorHAnsi" w:hint="cs"/>
          <w:iCs/>
          <w:rtl/>
        </w:rPr>
        <w:t>من إعداد</w:t>
      </w:r>
      <w:r w:rsidR="00CA3553">
        <w:rPr>
          <w:rFonts w:asciiTheme="minorHAnsi" w:hAnsiTheme="minorHAnsi" w:cstheme="minorHAnsi" w:hint="cs"/>
          <w:iCs/>
          <w:rtl/>
        </w:rPr>
        <w:t xml:space="preserve"> </w:t>
      </w:r>
      <w:r w:rsidR="00643E21" w:rsidRPr="00643E21">
        <w:rPr>
          <w:rFonts w:asciiTheme="minorHAnsi" w:hAnsiTheme="minorHAnsi"/>
          <w:iCs/>
          <w:rtl/>
        </w:rPr>
        <w:t>الرئيس</w:t>
      </w:r>
    </w:p>
    <w:p w14:paraId="77A60523" w14:textId="371FF625" w:rsidR="00643E21" w:rsidRDefault="00643E21" w:rsidP="00643E21">
      <w:pPr>
        <w:rPr>
          <w:rFonts w:asciiTheme="minorHAnsi" w:hAnsiTheme="minorHAnsi"/>
          <w:iCs/>
        </w:rPr>
      </w:pPr>
      <w:r>
        <w:rPr>
          <w:rFonts w:asciiTheme="minorHAnsi" w:hAnsiTheme="minorHAnsi"/>
          <w:iCs/>
        </w:rPr>
        <w:br w:type="page"/>
      </w:r>
    </w:p>
    <w:p w14:paraId="18A8C755" w14:textId="5C592D6F" w:rsidR="00643E21" w:rsidRPr="00643E21" w:rsidRDefault="00643E21" w:rsidP="00276E41">
      <w:pPr>
        <w:pStyle w:val="Heading2"/>
        <w:spacing w:after="240"/>
        <w:rPr>
          <w:i/>
          <w:iCs w:val="0"/>
          <w:sz w:val="24"/>
          <w:szCs w:val="24"/>
          <w:rtl/>
          <w:lang w:val="fr-CH" w:bidi="ar-SY"/>
        </w:rPr>
      </w:pPr>
      <w:r w:rsidRPr="00643E21">
        <w:rPr>
          <w:i/>
          <w:iCs w:val="0"/>
          <w:sz w:val="24"/>
          <w:szCs w:val="24"/>
          <w:rtl/>
          <w:lang w:val="fr-CH" w:bidi="ar-SY"/>
        </w:rPr>
        <w:lastRenderedPageBreak/>
        <w:t xml:space="preserve">البند 1 من جدول </w:t>
      </w:r>
      <w:r w:rsidR="00390C40" w:rsidRPr="00643E21">
        <w:rPr>
          <w:rFonts w:hint="cs"/>
          <w:i/>
          <w:iCs w:val="0"/>
          <w:sz w:val="24"/>
          <w:szCs w:val="24"/>
          <w:rtl/>
          <w:lang w:val="fr-CH" w:bidi="ar-SY"/>
        </w:rPr>
        <w:t>الأعمال: افتتاح</w:t>
      </w:r>
      <w:r w:rsidRPr="00643E21">
        <w:rPr>
          <w:i/>
          <w:iCs w:val="0"/>
          <w:sz w:val="24"/>
          <w:szCs w:val="24"/>
          <w:rtl/>
          <w:lang w:val="fr-CH" w:bidi="ar-SY"/>
        </w:rPr>
        <w:t xml:space="preserve"> الدورة</w:t>
      </w:r>
    </w:p>
    <w:p w14:paraId="40D49CCF" w14:textId="2208BF06" w:rsidR="00643E21" w:rsidRPr="00643E21" w:rsidRDefault="00390C40" w:rsidP="00643E21">
      <w:pPr>
        <w:pStyle w:val="ONUMA"/>
      </w:pPr>
      <w:r w:rsidRPr="00390C40">
        <w:rPr>
          <w:rtl/>
          <w:lang w:bidi="ar-EG"/>
        </w:rPr>
        <w:t xml:space="preserve">افتتحت السيدة سيلفي فوربان، نائبة المدير العام، </w:t>
      </w:r>
      <w:r w:rsidR="00643E21" w:rsidRPr="00643E21">
        <w:rPr>
          <w:rtl/>
          <w:lang w:bidi="ar-EG"/>
        </w:rPr>
        <w:t xml:space="preserve">الدورة الرابعة والأربعين للجنة الدائمة المعنية بحق المؤلف والحقوق المجاورة ("لجنة حق المؤلف" أو "اللجنة").  </w:t>
      </w:r>
      <w:r w:rsidRPr="00390C40">
        <w:rPr>
          <w:rtl/>
          <w:lang w:bidi="ar-EG"/>
        </w:rPr>
        <w:t xml:space="preserve">وتولى السيد أوين ريبلي مهمة رئيس اللجنة وتولى السيدان عزيز ديينغ وبيتر لابودي مهمة نائبي الرئيس. </w:t>
      </w:r>
      <w:r w:rsidR="00643E21" w:rsidRPr="00643E21">
        <w:rPr>
          <w:rtl/>
          <w:lang w:bidi="ar-EG"/>
        </w:rPr>
        <w:t>وتولت السيدة ميشيل وودز (الويبو) مهمة أمين اللجنة</w:t>
      </w:r>
      <w:r>
        <w:rPr>
          <w:rFonts w:hint="cs"/>
          <w:rtl/>
          <w:lang w:bidi="ar-EG"/>
        </w:rPr>
        <w:t>.</w:t>
      </w:r>
    </w:p>
    <w:p w14:paraId="5940CB59" w14:textId="6430D90F" w:rsidR="00643E21" w:rsidRPr="00643E21" w:rsidRDefault="00643E21" w:rsidP="00276E41">
      <w:pPr>
        <w:pStyle w:val="Heading2"/>
        <w:spacing w:after="240"/>
        <w:rPr>
          <w:i/>
          <w:iCs w:val="0"/>
          <w:sz w:val="24"/>
          <w:szCs w:val="24"/>
          <w:rtl/>
          <w:lang w:val="fr-CH" w:bidi="ar-SY"/>
        </w:rPr>
      </w:pPr>
      <w:r w:rsidRPr="00643E21">
        <w:rPr>
          <w:i/>
          <w:iCs w:val="0"/>
          <w:sz w:val="24"/>
          <w:szCs w:val="24"/>
          <w:rtl/>
          <w:lang w:val="fr-CH" w:bidi="ar-SY"/>
        </w:rPr>
        <w:t xml:space="preserve">البند 2 من جدول الأعمال: </w:t>
      </w:r>
      <w:r w:rsidR="00390C40" w:rsidRPr="00390C40">
        <w:rPr>
          <w:i/>
          <w:iCs w:val="0"/>
          <w:sz w:val="24"/>
          <w:szCs w:val="24"/>
          <w:rtl/>
          <w:lang w:val="fr-CH" w:bidi="ar-SY"/>
        </w:rPr>
        <w:t xml:space="preserve">اعتماد جدول </w:t>
      </w:r>
      <w:r w:rsidRPr="00643E21">
        <w:rPr>
          <w:i/>
          <w:iCs w:val="0"/>
          <w:sz w:val="24"/>
          <w:szCs w:val="24"/>
          <w:rtl/>
          <w:lang w:val="fr-CH" w:bidi="ar-SY"/>
        </w:rPr>
        <w:t>الأعمال</w:t>
      </w:r>
    </w:p>
    <w:p w14:paraId="39FE8869" w14:textId="08B91A33" w:rsidR="00643E21" w:rsidRPr="00643E21" w:rsidRDefault="00643E21" w:rsidP="00643E21">
      <w:pPr>
        <w:pStyle w:val="ONUMA"/>
        <w:rPr>
          <w:rtl/>
          <w:lang w:bidi="ar-EG"/>
        </w:rPr>
      </w:pPr>
      <w:r w:rsidRPr="00643E21">
        <w:rPr>
          <w:rtl/>
          <w:lang w:bidi="ar-EG"/>
        </w:rPr>
        <w:t>اعتمدت اللجنة مشروع جدول الأعمال (الوثيقة</w:t>
      </w:r>
      <w:r w:rsidR="00390C40">
        <w:rPr>
          <w:rFonts w:hint="cs"/>
          <w:rtl/>
          <w:lang w:bidi="ar-EG"/>
        </w:rPr>
        <w:t> .</w:t>
      </w:r>
      <w:r w:rsidRPr="00643E21">
        <w:rPr>
          <w:lang w:bidi="ar-EG"/>
        </w:rPr>
        <w:t>SCCR/44/1 PROV</w:t>
      </w:r>
      <w:r w:rsidRPr="00643E21">
        <w:rPr>
          <w:rtl/>
          <w:lang w:bidi="ar-EG"/>
        </w:rPr>
        <w:t>).</w:t>
      </w:r>
    </w:p>
    <w:p w14:paraId="2B7B26B2" w14:textId="4103F734" w:rsidR="00643E21" w:rsidRPr="00643E21" w:rsidRDefault="00643E21" w:rsidP="00276E41">
      <w:pPr>
        <w:pStyle w:val="Heading2"/>
        <w:spacing w:after="240"/>
        <w:rPr>
          <w:i/>
          <w:iCs w:val="0"/>
          <w:sz w:val="24"/>
          <w:szCs w:val="24"/>
          <w:rtl/>
          <w:lang w:val="fr-CH" w:bidi="ar-SY"/>
        </w:rPr>
      </w:pPr>
      <w:r w:rsidRPr="00643E21">
        <w:rPr>
          <w:i/>
          <w:iCs w:val="0"/>
          <w:sz w:val="24"/>
          <w:szCs w:val="24"/>
          <w:rtl/>
          <w:lang w:val="fr-CH" w:bidi="ar-SY"/>
        </w:rPr>
        <w:t>البند 3 من جدول الأعمال: انتخاب أعضاء المكتب</w:t>
      </w:r>
    </w:p>
    <w:p w14:paraId="3D1661F2" w14:textId="14E1FB2D" w:rsidR="00643E21" w:rsidRPr="00643E21" w:rsidRDefault="00643E21" w:rsidP="00643E21">
      <w:pPr>
        <w:pStyle w:val="ONUMA"/>
        <w:rPr>
          <w:rtl/>
          <w:lang w:bidi="ar-EG"/>
        </w:rPr>
      </w:pPr>
      <w:r w:rsidRPr="00643E21">
        <w:rPr>
          <w:rtl/>
          <w:lang w:bidi="ar-EG"/>
        </w:rPr>
        <w:t>انتخبت اللجنة أعضاء المكتب لدورات اللجنة التي ستعقد في عامي 2024 و2025.</w:t>
      </w:r>
    </w:p>
    <w:p w14:paraId="1E39F56C" w14:textId="77777777" w:rsidR="00643E21" w:rsidRDefault="00643E21" w:rsidP="00390C40">
      <w:pPr>
        <w:pStyle w:val="ONUMA"/>
        <w:numPr>
          <w:ilvl w:val="0"/>
          <w:numId w:val="0"/>
        </w:numPr>
        <w:ind w:left="562"/>
        <w:rPr>
          <w:rtl/>
          <w:lang w:bidi="ar-EG"/>
        </w:rPr>
      </w:pPr>
      <w:r>
        <w:rPr>
          <w:rtl/>
          <w:lang w:bidi="ar-EG"/>
        </w:rPr>
        <w:t>جلسات عام 2024:</w:t>
      </w:r>
    </w:p>
    <w:p w14:paraId="10019E5E" w14:textId="049D972E" w:rsidR="00643E21" w:rsidRDefault="00643E21" w:rsidP="00390C40">
      <w:pPr>
        <w:pStyle w:val="BodyText"/>
        <w:spacing w:after="0"/>
        <w:rPr>
          <w:rtl/>
          <w:lang w:bidi="ar-EG"/>
        </w:rPr>
      </w:pPr>
      <w:r>
        <w:rPr>
          <w:rtl/>
          <w:lang w:bidi="ar-EG"/>
        </w:rPr>
        <w:t>الرئيس</w:t>
      </w:r>
      <w:r w:rsidR="00390C40">
        <w:rPr>
          <w:rFonts w:hint="cs"/>
          <w:rtl/>
          <w:lang w:bidi="ar-EG"/>
        </w:rPr>
        <w:t>ة</w:t>
      </w:r>
      <w:r>
        <w:rPr>
          <w:rtl/>
          <w:lang w:bidi="ar-EG"/>
        </w:rPr>
        <w:t>: أدريانا موسكوسو ديل برادو (إسبانيا)</w:t>
      </w:r>
    </w:p>
    <w:p w14:paraId="29253CE3" w14:textId="12377782" w:rsidR="00643E21" w:rsidRDefault="00643E21" w:rsidP="00390C40">
      <w:pPr>
        <w:pStyle w:val="BodyText"/>
        <w:rPr>
          <w:rtl/>
          <w:lang w:bidi="ar-EG"/>
        </w:rPr>
      </w:pPr>
      <w:r>
        <w:rPr>
          <w:rtl/>
          <w:lang w:bidi="ar-EG"/>
        </w:rPr>
        <w:t>نائبا الرئيس</w:t>
      </w:r>
      <w:r w:rsidR="00390C40">
        <w:rPr>
          <w:rFonts w:hint="cs"/>
          <w:rtl/>
          <w:lang w:bidi="ar-EG"/>
        </w:rPr>
        <w:t>ة</w:t>
      </w:r>
      <w:r>
        <w:rPr>
          <w:rtl/>
          <w:lang w:bidi="ar-EG"/>
        </w:rPr>
        <w:t>: فانيسا كوهين (كوستاريكا) وبيتر لابودي (هنغاريا)</w:t>
      </w:r>
    </w:p>
    <w:p w14:paraId="7F3F4825" w14:textId="77777777" w:rsidR="00643E21" w:rsidRDefault="00643E21" w:rsidP="00390C40">
      <w:pPr>
        <w:pStyle w:val="ONUMA"/>
        <w:numPr>
          <w:ilvl w:val="0"/>
          <w:numId w:val="0"/>
        </w:numPr>
        <w:ind w:left="562"/>
        <w:rPr>
          <w:rtl/>
          <w:lang w:bidi="ar-EG"/>
        </w:rPr>
      </w:pPr>
      <w:r>
        <w:rPr>
          <w:rtl/>
          <w:lang w:bidi="ar-EG"/>
        </w:rPr>
        <w:t>جلسات عام 2025:</w:t>
      </w:r>
    </w:p>
    <w:p w14:paraId="070E78B7" w14:textId="2FF8FC6A" w:rsidR="00643E21" w:rsidRDefault="00643E21" w:rsidP="00390C40">
      <w:pPr>
        <w:pStyle w:val="BodyText"/>
        <w:spacing w:after="0"/>
        <w:rPr>
          <w:rtl/>
          <w:lang w:bidi="ar-EG"/>
        </w:rPr>
      </w:pPr>
      <w:r>
        <w:rPr>
          <w:rtl/>
          <w:lang w:bidi="ar-EG"/>
        </w:rPr>
        <w:t>الرئيس</w:t>
      </w:r>
      <w:r w:rsidR="00390C40">
        <w:rPr>
          <w:rFonts w:hint="cs"/>
          <w:rtl/>
          <w:lang w:bidi="ar-EG"/>
        </w:rPr>
        <w:t>ة</w:t>
      </w:r>
      <w:r>
        <w:rPr>
          <w:rtl/>
          <w:lang w:bidi="ar-EG"/>
        </w:rPr>
        <w:t>: فانيسا كوهين (كوستاريكا)</w:t>
      </w:r>
    </w:p>
    <w:p w14:paraId="5139AE71" w14:textId="7DF83B28" w:rsidR="00643E21" w:rsidRDefault="00643E21" w:rsidP="00390C40">
      <w:pPr>
        <w:pStyle w:val="ONUMA"/>
        <w:numPr>
          <w:ilvl w:val="0"/>
          <w:numId w:val="0"/>
        </w:numPr>
        <w:rPr>
          <w:rtl/>
          <w:lang w:bidi="ar-EG"/>
        </w:rPr>
      </w:pPr>
      <w:r>
        <w:rPr>
          <w:rtl/>
          <w:lang w:bidi="ar-EG"/>
        </w:rPr>
        <w:t>نائبا الرئيس</w:t>
      </w:r>
      <w:r w:rsidR="00390C40">
        <w:rPr>
          <w:rFonts w:hint="cs"/>
          <w:rtl/>
          <w:lang w:bidi="ar-EG"/>
        </w:rPr>
        <w:t>ة</w:t>
      </w:r>
      <w:r>
        <w:rPr>
          <w:rtl/>
          <w:lang w:bidi="ar-EG"/>
        </w:rPr>
        <w:t>: بيتر لابودي (هنغاريا) وأدريانا موسكوسو ديل برادو (إسبانيا)</w:t>
      </w:r>
    </w:p>
    <w:p w14:paraId="7C1871A1" w14:textId="310B1110" w:rsidR="00643E21" w:rsidRPr="00390C40" w:rsidRDefault="00643E21" w:rsidP="00276E41">
      <w:pPr>
        <w:pStyle w:val="Heading2"/>
        <w:spacing w:after="240"/>
        <w:rPr>
          <w:i/>
          <w:iCs w:val="0"/>
          <w:sz w:val="24"/>
          <w:szCs w:val="24"/>
          <w:rtl/>
          <w:lang w:val="fr-CH" w:bidi="ar-SY"/>
        </w:rPr>
      </w:pPr>
      <w:r w:rsidRPr="00390C40">
        <w:rPr>
          <w:i/>
          <w:iCs w:val="0"/>
          <w:sz w:val="24"/>
          <w:szCs w:val="24"/>
          <w:rtl/>
          <w:lang w:val="fr-CH" w:bidi="ar-SY"/>
        </w:rPr>
        <w:t xml:space="preserve">البند 4 من جدول الأعمال: </w:t>
      </w:r>
      <w:r w:rsidR="004E0058" w:rsidRPr="004E0058">
        <w:rPr>
          <w:i/>
          <w:iCs w:val="0"/>
          <w:sz w:val="24"/>
          <w:szCs w:val="24"/>
          <w:rtl/>
          <w:lang w:val="fr-CH" w:bidi="ar-SY"/>
        </w:rPr>
        <w:t>اعتماد منظمات غير حكومية جديدة</w:t>
      </w:r>
    </w:p>
    <w:p w14:paraId="45ADFDB4" w14:textId="6CCDB5A4" w:rsidR="00643E21" w:rsidRPr="00390C40" w:rsidRDefault="004E0058" w:rsidP="00390C40">
      <w:pPr>
        <w:pStyle w:val="ONUMA"/>
        <w:rPr>
          <w:rtl/>
          <w:lang w:bidi="ar-EG"/>
        </w:rPr>
      </w:pPr>
      <w:r w:rsidRPr="004E0058">
        <w:rPr>
          <w:rtl/>
          <w:lang w:bidi="ar-EG"/>
        </w:rPr>
        <w:t xml:space="preserve">وافقت اللجنة على اعتماد المنظمات غير الحكومية التالية بصفة مراقب مؤقت في دوراتها المشار </w:t>
      </w:r>
      <w:r w:rsidR="00643E21" w:rsidRPr="00390C40">
        <w:rPr>
          <w:rtl/>
          <w:lang w:bidi="ar-EG"/>
        </w:rPr>
        <w:t xml:space="preserve">إليها في مرفق الوثيقة </w:t>
      </w:r>
      <w:r w:rsidR="00643E21" w:rsidRPr="00390C40">
        <w:rPr>
          <w:lang w:bidi="ar-EG"/>
        </w:rPr>
        <w:t>SCCR/44/2</w:t>
      </w:r>
      <w:r w:rsidR="00643E21" w:rsidRPr="00390C40">
        <w:rPr>
          <w:rtl/>
          <w:lang w:bidi="ar-EG"/>
        </w:rPr>
        <w:t>:</w:t>
      </w:r>
    </w:p>
    <w:p w14:paraId="4E2A1645" w14:textId="75D2DD4C" w:rsidR="00643E21" w:rsidRDefault="00643E21" w:rsidP="004E0058">
      <w:pPr>
        <w:pStyle w:val="ONUMA"/>
        <w:numPr>
          <w:ilvl w:val="0"/>
          <w:numId w:val="12"/>
        </w:numPr>
        <w:spacing w:after="0"/>
        <w:ind w:left="922"/>
        <w:rPr>
          <w:rtl/>
          <w:lang w:bidi="ar-EG"/>
        </w:rPr>
      </w:pPr>
      <w:r>
        <w:rPr>
          <w:rtl/>
          <w:lang w:bidi="ar-EG"/>
        </w:rPr>
        <w:t>جمعية المؤلفين الكازاخستانيين (</w:t>
      </w:r>
      <w:proofErr w:type="spellStart"/>
      <w:r>
        <w:rPr>
          <w:lang w:bidi="ar-EG"/>
        </w:rPr>
        <w:t>KazAK</w:t>
      </w:r>
      <w:proofErr w:type="spellEnd"/>
      <w:r>
        <w:rPr>
          <w:rtl/>
          <w:lang w:bidi="ar-EG"/>
        </w:rPr>
        <w:t>)</w:t>
      </w:r>
    </w:p>
    <w:p w14:paraId="3FA52D2F" w14:textId="4F35620E" w:rsidR="00643E21" w:rsidRDefault="00643E21" w:rsidP="004E0058">
      <w:pPr>
        <w:pStyle w:val="ONUMA"/>
        <w:numPr>
          <w:ilvl w:val="0"/>
          <w:numId w:val="12"/>
        </w:numPr>
        <w:spacing w:after="0"/>
        <w:ind w:left="922"/>
        <w:rPr>
          <w:rtl/>
          <w:lang w:bidi="ar-EG"/>
        </w:rPr>
      </w:pPr>
      <w:r>
        <w:rPr>
          <w:rtl/>
          <w:lang w:bidi="ar-EG"/>
        </w:rPr>
        <w:t>جمعية قانون الترفيه (</w:t>
      </w:r>
      <w:r>
        <w:rPr>
          <w:lang w:bidi="ar-EG"/>
        </w:rPr>
        <w:t>DENAE</w:t>
      </w:r>
      <w:r>
        <w:rPr>
          <w:rtl/>
          <w:lang w:bidi="ar-EG"/>
        </w:rPr>
        <w:t>)</w:t>
      </w:r>
    </w:p>
    <w:p w14:paraId="3EC32EEE" w14:textId="5BE7880C" w:rsidR="00643E21" w:rsidRDefault="00643E21" w:rsidP="004E0058">
      <w:pPr>
        <w:pStyle w:val="ONUMA"/>
        <w:numPr>
          <w:ilvl w:val="0"/>
          <w:numId w:val="12"/>
        </w:numPr>
        <w:spacing w:after="0"/>
        <w:ind w:left="922"/>
        <w:rPr>
          <w:rtl/>
          <w:lang w:bidi="ar-EG"/>
        </w:rPr>
      </w:pPr>
      <w:r>
        <w:rPr>
          <w:rtl/>
          <w:lang w:bidi="ar-EG"/>
        </w:rPr>
        <w:t xml:space="preserve">شركة </w:t>
      </w:r>
      <w:proofErr w:type="spellStart"/>
      <w:r w:rsidR="004E0058" w:rsidRPr="00352F9C">
        <w:rPr>
          <w:lang w:val="es-ES" w:bidi="hi-IN"/>
        </w:rPr>
        <w:t>Canaan</w:t>
      </w:r>
      <w:proofErr w:type="spellEnd"/>
      <w:r w:rsidR="004E0058" w:rsidRPr="00352F9C">
        <w:rPr>
          <w:lang w:val="es-ES" w:bidi="hi-IN"/>
        </w:rPr>
        <w:t xml:space="preserve"> </w:t>
      </w:r>
      <w:r w:rsidR="004E0058" w:rsidRPr="004E0058">
        <w:rPr>
          <w:lang w:bidi="ar-EG"/>
        </w:rPr>
        <w:t>Bridges</w:t>
      </w:r>
      <w:r>
        <w:rPr>
          <w:rtl/>
          <w:lang w:bidi="ar-EG"/>
        </w:rPr>
        <w:t xml:space="preserve"> للاستشارات</w:t>
      </w:r>
    </w:p>
    <w:p w14:paraId="60EC258B" w14:textId="506C8277" w:rsidR="00643E21" w:rsidRDefault="00643E21" w:rsidP="004E0058">
      <w:pPr>
        <w:pStyle w:val="ONUMA"/>
        <w:numPr>
          <w:ilvl w:val="0"/>
          <w:numId w:val="12"/>
        </w:numPr>
        <w:ind w:left="922"/>
        <w:rPr>
          <w:rtl/>
          <w:lang w:bidi="ar-EG"/>
        </w:rPr>
      </w:pPr>
      <w:r>
        <w:rPr>
          <w:rtl/>
          <w:lang w:bidi="ar-EG"/>
        </w:rPr>
        <w:t>المركز الكولومبي لحق ال</w:t>
      </w:r>
      <w:r w:rsidR="004E0058">
        <w:rPr>
          <w:rFonts w:hint="cs"/>
          <w:rtl/>
          <w:lang w:bidi="ar-EG"/>
        </w:rPr>
        <w:t>مؤلف</w:t>
      </w:r>
      <w:r>
        <w:rPr>
          <w:rtl/>
          <w:lang w:bidi="ar-EG"/>
        </w:rPr>
        <w:t xml:space="preserve"> (</w:t>
      </w:r>
      <w:r>
        <w:rPr>
          <w:lang w:bidi="ar-EG"/>
        </w:rPr>
        <w:t>CECOLDA</w:t>
      </w:r>
      <w:r>
        <w:rPr>
          <w:rtl/>
          <w:lang w:bidi="ar-EG"/>
        </w:rPr>
        <w:t>)</w:t>
      </w:r>
    </w:p>
    <w:p w14:paraId="603ABEF0" w14:textId="77777777" w:rsidR="00643E21" w:rsidRPr="004E0058" w:rsidRDefault="00643E21" w:rsidP="00276E41">
      <w:pPr>
        <w:pStyle w:val="Heading2"/>
        <w:spacing w:after="240"/>
        <w:rPr>
          <w:i/>
          <w:iCs w:val="0"/>
          <w:sz w:val="24"/>
          <w:szCs w:val="24"/>
          <w:rtl/>
          <w:lang w:val="fr-CH" w:bidi="ar-SY"/>
        </w:rPr>
      </w:pPr>
      <w:r w:rsidRPr="004E0058">
        <w:rPr>
          <w:i/>
          <w:iCs w:val="0"/>
          <w:sz w:val="24"/>
          <w:szCs w:val="24"/>
          <w:rtl/>
          <w:lang w:val="fr-CH" w:bidi="ar-SY"/>
        </w:rPr>
        <w:t>البند 5 من جدول الأعمال: حماية هيئات البث</w:t>
      </w:r>
    </w:p>
    <w:p w14:paraId="698E1534" w14:textId="25138C68" w:rsidR="00643E21" w:rsidRDefault="00643E21" w:rsidP="00643E21">
      <w:pPr>
        <w:pStyle w:val="ONUMA"/>
        <w:rPr>
          <w:rtl/>
          <w:lang w:bidi="ar-EG"/>
        </w:rPr>
      </w:pPr>
      <w:r>
        <w:rPr>
          <w:rtl/>
          <w:lang w:bidi="ar-EG"/>
        </w:rPr>
        <w:t>يمكن الاطلاع على وثائق الدورات السابقة المتعلقة بهذا البند من جدول الأعمال على الصفحة الإلكترونية المخصصة لل</w:t>
      </w:r>
      <w:r w:rsidR="004E0058">
        <w:rPr>
          <w:rFonts w:hint="cs"/>
          <w:rtl/>
          <w:lang w:bidi="ar-EG"/>
        </w:rPr>
        <w:t xml:space="preserve">دورة </w:t>
      </w:r>
      <w:r>
        <w:rPr>
          <w:lang w:bidi="ar-EG"/>
        </w:rPr>
        <w:t>44</w:t>
      </w:r>
      <w:r>
        <w:rPr>
          <w:rtl/>
          <w:lang w:bidi="ar-EG"/>
        </w:rPr>
        <w:t xml:space="preserve"> </w:t>
      </w:r>
      <w:r w:rsidR="004E0058">
        <w:rPr>
          <w:rFonts w:hint="cs"/>
          <w:rtl/>
          <w:lang w:bidi="ar-EG"/>
        </w:rPr>
        <w:t xml:space="preserve">للجنة على: </w:t>
      </w:r>
      <w:r w:rsidR="004E0058" w:rsidRPr="004E0058">
        <w:rPr>
          <w:lang w:bidi="ar-EG"/>
        </w:rPr>
        <w:t>https://www.wipo.int/meetings/ar/details.jsp?meeting_id=78391</w:t>
      </w:r>
      <w:r w:rsidR="004E0058">
        <w:rPr>
          <w:rFonts w:hint="cs"/>
          <w:rtl/>
          <w:lang w:bidi="ar-EG"/>
        </w:rPr>
        <w:t>.</w:t>
      </w:r>
    </w:p>
    <w:p w14:paraId="76D89D05" w14:textId="7B8A93D2" w:rsidR="00643E21" w:rsidRDefault="00643E21" w:rsidP="00643E21">
      <w:pPr>
        <w:pStyle w:val="ONUMA"/>
        <w:rPr>
          <w:rtl/>
          <w:lang w:bidi="ar-EG"/>
        </w:rPr>
      </w:pPr>
      <w:r>
        <w:rPr>
          <w:rtl/>
          <w:lang w:bidi="ar-EG"/>
        </w:rPr>
        <w:t xml:space="preserve">وعرض نائب الرئيس بيتر لابودي والميسران </w:t>
      </w:r>
      <w:r w:rsidR="00FD0234">
        <w:rPr>
          <w:rFonts w:hint="cs"/>
          <w:rtl/>
          <w:lang w:bidi="ar-EG"/>
        </w:rPr>
        <w:t>هي</w:t>
      </w:r>
      <w:r>
        <w:rPr>
          <w:rtl/>
          <w:lang w:bidi="ar-EG"/>
        </w:rPr>
        <w:t>زي</w:t>
      </w:r>
      <w:r w:rsidR="00FD0234">
        <w:rPr>
          <w:rFonts w:hint="cs"/>
          <w:rtl/>
          <w:lang w:bidi="ar-EG"/>
        </w:rPr>
        <w:t>كي</w:t>
      </w:r>
      <w:r>
        <w:rPr>
          <w:rtl/>
          <w:lang w:bidi="ar-EG"/>
        </w:rPr>
        <w:t>ل أويرا و</w:t>
      </w:r>
      <w:r w:rsidR="00FD0234">
        <w:rPr>
          <w:rFonts w:hint="cs"/>
          <w:rtl/>
          <w:lang w:bidi="ar-EG"/>
        </w:rPr>
        <w:t>ي</w:t>
      </w:r>
      <w:r>
        <w:rPr>
          <w:rtl/>
          <w:lang w:bidi="ar-EG"/>
        </w:rPr>
        <w:t xml:space="preserve">وكا ليديس </w:t>
      </w:r>
      <w:r w:rsidR="00FD0234">
        <w:rPr>
          <w:rFonts w:hint="cs"/>
          <w:rtl/>
          <w:lang w:bidi="ar-EG"/>
        </w:rPr>
        <w:t>"</w:t>
      </w:r>
      <w:r w:rsidR="00FD0234" w:rsidRPr="00FD0234">
        <w:rPr>
          <w:rtl/>
          <w:lang w:bidi="ar-EG"/>
        </w:rPr>
        <w:t>مشروع النص المراجَع الثالث لمعاهدة الويبو بشأن هيئات البث</w:t>
      </w:r>
      <w:r w:rsidR="00FD0234">
        <w:rPr>
          <w:rFonts w:hint="cs"/>
          <w:rtl/>
          <w:lang w:bidi="ar-EG"/>
        </w:rPr>
        <w:t>"</w:t>
      </w:r>
      <w:r>
        <w:rPr>
          <w:rtl/>
          <w:lang w:bidi="ar-EG"/>
        </w:rPr>
        <w:t xml:space="preserve"> (الوثيقة </w:t>
      </w:r>
      <w:r>
        <w:rPr>
          <w:lang w:bidi="ar-EG"/>
        </w:rPr>
        <w:t>SCCR/44/3</w:t>
      </w:r>
      <w:r>
        <w:rPr>
          <w:rtl/>
          <w:lang w:bidi="ar-EG"/>
        </w:rPr>
        <w:t>)، الذي أعد تحت إشراف الرئيس.</w:t>
      </w:r>
    </w:p>
    <w:p w14:paraId="574F44BC" w14:textId="5A3C5F04" w:rsidR="00643E21" w:rsidRDefault="00643E21" w:rsidP="00643E21">
      <w:pPr>
        <w:pStyle w:val="ONUMA"/>
        <w:rPr>
          <w:rtl/>
          <w:lang w:bidi="ar-EG"/>
        </w:rPr>
      </w:pPr>
      <w:r>
        <w:rPr>
          <w:rtl/>
          <w:lang w:bidi="ar-EG"/>
        </w:rPr>
        <w:t xml:space="preserve">واستخدمت اللجنة </w:t>
      </w:r>
      <w:r w:rsidR="00FD0234">
        <w:rPr>
          <w:rFonts w:hint="cs"/>
          <w:rtl/>
          <w:lang w:bidi="ar-EG"/>
        </w:rPr>
        <w:t>"</w:t>
      </w:r>
      <w:r w:rsidR="00FD0234" w:rsidRPr="00FD0234">
        <w:rPr>
          <w:rtl/>
          <w:lang w:bidi="ar-EG"/>
        </w:rPr>
        <w:t>مشروع النص المراجَع الثالث لمعاهدة الويبو بشأن هيئات البث</w:t>
      </w:r>
      <w:r w:rsidR="00FD0234">
        <w:rPr>
          <w:rFonts w:hint="cs"/>
          <w:rtl/>
          <w:lang w:bidi="ar-EG"/>
        </w:rPr>
        <w:t xml:space="preserve">" </w:t>
      </w:r>
      <w:r>
        <w:rPr>
          <w:rtl/>
          <w:lang w:bidi="ar-EG"/>
        </w:rPr>
        <w:t xml:space="preserve">(الوثيقة </w:t>
      </w:r>
      <w:r>
        <w:rPr>
          <w:lang w:bidi="ar-EG"/>
        </w:rPr>
        <w:t>SCCR/44/3</w:t>
      </w:r>
      <w:r>
        <w:rPr>
          <w:rtl/>
          <w:lang w:bidi="ar-EG"/>
        </w:rPr>
        <w:t>) كأساس للمناقشة.</w:t>
      </w:r>
    </w:p>
    <w:p w14:paraId="5EA99E3F" w14:textId="41208787" w:rsidR="00643E21" w:rsidRDefault="00643E21" w:rsidP="00643E21">
      <w:pPr>
        <w:pStyle w:val="ONUMA"/>
        <w:rPr>
          <w:rtl/>
          <w:lang w:bidi="ar-EG"/>
        </w:rPr>
      </w:pPr>
      <w:r>
        <w:rPr>
          <w:rtl/>
          <w:lang w:bidi="ar-EG"/>
        </w:rPr>
        <w:t>وفيما يلي تقييم الرئيس لحالة هذا العمل. فيما يتعلق بالأهداف، هناك تفاهم مشترك بين اللجنة على أن أي معاهدة محتملة ينبغي أن تركز تركيزا ضيقا</w:t>
      </w:r>
      <w:r w:rsidR="00FD0234">
        <w:rPr>
          <w:rFonts w:hint="cs"/>
          <w:rtl/>
          <w:lang w:bidi="ar-EG"/>
        </w:rPr>
        <w:t>ً</w:t>
      </w:r>
      <w:r>
        <w:rPr>
          <w:rtl/>
          <w:lang w:bidi="ar-EG"/>
        </w:rPr>
        <w:t xml:space="preserve"> على قرصنة الإشارات، وينبغي ألا </w:t>
      </w:r>
      <w:r w:rsidR="00E71208" w:rsidRPr="00E71208">
        <w:rPr>
          <w:rtl/>
          <w:lang w:bidi="ar-EG"/>
        </w:rPr>
        <w:t>يتناول نطاق</w:t>
      </w:r>
      <w:r w:rsidR="00E71208">
        <w:rPr>
          <w:rFonts w:hint="cs"/>
          <w:rtl/>
          <w:lang w:bidi="ar-EG"/>
        </w:rPr>
        <w:t xml:space="preserve">ها </w:t>
      </w:r>
      <w:r>
        <w:rPr>
          <w:rtl/>
          <w:lang w:bidi="ar-EG"/>
        </w:rPr>
        <w:t>أي</w:t>
      </w:r>
      <w:r w:rsidR="00E71208">
        <w:rPr>
          <w:rFonts w:hint="cs"/>
          <w:rtl/>
          <w:lang w:bidi="ar-EG"/>
        </w:rPr>
        <w:t>اً</w:t>
      </w:r>
      <w:r>
        <w:rPr>
          <w:rtl/>
          <w:lang w:bidi="ar-EG"/>
        </w:rPr>
        <w:t xml:space="preserve"> </w:t>
      </w:r>
      <w:r w:rsidR="00E71208">
        <w:rPr>
          <w:rFonts w:hint="cs"/>
          <w:rtl/>
          <w:lang w:bidi="ar-EG"/>
        </w:rPr>
        <w:t xml:space="preserve">من </w:t>
      </w:r>
      <w:r w:rsidR="00E71208" w:rsidRPr="00E71208">
        <w:rPr>
          <w:rtl/>
          <w:lang w:bidi="ar-EG"/>
        </w:rPr>
        <w:t>أنشطة ما بعد التثبيت</w:t>
      </w:r>
      <w:r>
        <w:rPr>
          <w:rtl/>
          <w:lang w:bidi="ar-EG"/>
        </w:rPr>
        <w:t>، وأنه</w:t>
      </w:r>
      <w:r w:rsidR="00E71208">
        <w:rPr>
          <w:rFonts w:hint="cs"/>
          <w:rtl/>
          <w:lang w:bidi="ar-EG"/>
        </w:rPr>
        <w:t>ا</w:t>
      </w:r>
      <w:r>
        <w:rPr>
          <w:rtl/>
          <w:lang w:bidi="ar-EG"/>
        </w:rPr>
        <w:t xml:space="preserve"> ينبغي أن توفر للدول الأعضاء المرونة اللازمة لتنفيذ الالتزامات من خلال وسائل قانونية مناسبة وفعالة.  وهناك أيضا</w:t>
      </w:r>
      <w:r w:rsidR="00E71208">
        <w:rPr>
          <w:rFonts w:hint="cs"/>
          <w:rtl/>
          <w:lang w:bidi="ar-EG"/>
        </w:rPr>
        <w:t>ً</w:t>
      </w:r>
      <w:r>
        <w:rPr>
          <w:rtl/>
          <w:lang w:bidi="ar-EG"/>
        </w:rPr>
        <w:t xml:space="preserve"> فهم </w:t>
      </w:r>
      <w:r w:rsidR="00E71208">
        <w:rPr>
          <w:rFonts w:hint="cs"/>
          <w:rtl/>
          <w:lang w:bidi="ar-EG"/>
        </w:rPr>
        <w:t>مشترك</w:t>
      </w:r>
      <w:r>
        <w:rPr>
          <w:rtl/>
          <w:lang w:bidi="ar-EG"/>
        </w:rPr>
        <w:t xml:space="preserve"> </w:t>
      </w:r>
      <w:r w:rsidR="00E71208">
        <w:rPr>
          <w:rFonts w:hint="cs"/>
          <w:rtl/>
          <w:lang w:bidi="ar-EG"/>
        </w:rPr>
        <w:t>ب</w:t>
      </w:r>
      <w:r>
        <w:rPr>
          <w:rtl/>
          <w:lang w:bidi="ar-EG"/>
        </w:rPr>
        <w:t xml:space="preserve">أن </w:t>
      </w:r>
      <w:r w:rsidR="00E71208" w:rsidRPr="00E71208">
        <w:rPr>
          <w:rtl/>
          <w:lang w:bidi="ar-EG"/>
        </w:rPr>
        <w:t xml:space="preserve">موضوع الحماية (موضوع) أي معاهدة محتملة ينبغي أن يقتصر على إرسال الإشارات الحاملة للبرامج </w:t>
      </w:r>
      <w:r>
        <w:rPr>
          <w:rtl/>
          <w:lang w:bidi="ar-EG"/>
        </w:rPr>
        <w:t>المرتبطة بالإرسال الخطي.</w:t>
      </w:r>
    </w:p>
    <w:p w14:paraId="333B3CC6" w14:textId="697D6F48" w:rsidR="00643E21" w:rsidRDefault="00643E21" w:rsidP="00643E21">
      <w:pPr>
        <w:pStyle w:val="ONUMA"/>
        <w:rPr>
          <w:rtl/>
          <w:lang w:bidi="ar-EG"/>
        </w:rPr>
      </w:pPr>
      <w:r>
        <w:rPr>
          <w:rtl/>
          <w:lang w:bidi="ar-EG"/>
        </w:rPr>
        <w:t>وي</w:t>
      </w:r>
      <w:r w:rsidR="00E71208">
        <w:rPr>
          <w:rFonts w:hint="cs"/>
          <w:rtl/>
          <w:lang w:bidi="ar-EG"/>
        </w:rPr>
        <w:t xml:space="preserve">رى </w:t>
      </w:r>
      <w:r>
        <w:rPr>
          <w:rtl/>
          <w:lang w:bidi="ar-EG"/>
        </w:rPr>
        <w:t>الرئيس أن هناك ثلاث نقاط قرار رئيسية متبقية بشأن هذا البند من جدول الأعمال، و</w:t>
      </w:r>
      <w:r w:rsidR="00E71208">
        <w:rPr>
          <w:rFonts w:hint="cs"/>
          <w:rtl/>
          <w:lang w:bidi="ar-EG"/>
        </w:rPr>
        <w:t xml:space="preserve">هي </w:t>
      </w:r>
      <w:r>
        <w:rPr>
          <w:rtl/>
          <w:lang w:bidi="ar-EG"/>
        </w:rPr>
        <w:t xml:space="preserve">على وجه التحديد: </w:t>
      </w:r>
    </w:p>
    <w:p w14:paraId="0068586B" w14:textId="2CF8C8BF" w:rsidR="00643E21" w:rsidRDefault="00643E21" w:rsidP="00276E41">
      <w:pPr>
        <w:pStyle w:val="BodyText"/>
        <w:numPr>
          <w:ilvl w:val="0"/>
          <w:numId w:val="24"/>
        </w:numPr>
        <w:spacing w:after="0"/>
        <w:ind w:left="1124" w:hanging="562"/>
        <w:rPr>
          <w:rtl/>
          <w:lang w:bidi="ar-EG"/>
        </w:rPr>
      </w:pPr>
      <w:r>
        <w:rPr>
          <w:rtl/>
          <w:lang w:bidi="ar-EG"/>
        </w:rPr>
        <w:lastRenderedPageBreak/>
        <w:t>ما إ</w:t>
      </w:r>
      <w:r w:rsidR="00E71208">
        <w:rPr>
          <w:rFonts w:hint="cs"/>
          <w:rtl/>
          <w:lang w:bidi="ar-EG"/>
        </w:rPr>
        <w:t>ن ك</w:t>
      </w:r>
      <w:r>
        <w:rPr>
          <w:rtl/>
          <w:lang w:bidi="ar-EG"/>
        </w:rPr>
        <w:t xml:space="preserve">ان ينبغي </w:t>
      </w:r>
      <w:r w:rsidR="00E71208">
        <w:rPr>
          <w:rFonts w:hint="cs"/>
          <w:rtl/>
          <w:lang w:bidi="ar-EG"/>
        </w:rPr>
        <w:t xml:space="preserve">وضع </w:t>
      </w:r>
      <w:r>
        <w:rPr>
          <w:rtl/>
          <w:lang w:bidi="ar-EG"/>
        </w:rPr>
        <w:t>حد أدنى من الحماية للإرسال عبر شبكات الحاسوب؛ و</w:t>
      </w:r>
      <w:r w:rsidR="00E71208">
        <w:rPr>
          <w:rFonts w:hint="cs"/>
          <w:rtl/>
          <w:lang w:bidi="ar-EG"/>
        </w:rPr>
        <w:t xml:space="preserve">في </w:t>
      </w:r>
      <w:r>
        <w:rPr>
          <w:rtl/>
          <w:lang w:bidi="ar-EG"/>
        </w:rPr>
        <w:t xml:space="preserve">كان الأمر كذلك، فما نوع </w:t>
      </w:r>
      <w:r w:rsidR="00E71208">
        <w:rPr>
          <w:rFonts w:hint="cs"/>
          <w:rtl/>
          <w:lang w:bidi="ar-EG"/>
        </w:rPr>
        <w:t xml:space="preserve">هذه </w:t>
      </w:r>
      <w:r w:rsidR="00E71208">
        <w:rPr>
          <w:rtl/>
          <w:lang w:bidi="ar-EG"/>
        </w:rPr>
        <w:t xml:space="preserve">الحماية </w:t>
      </w:r>
      <w:r>
        <w:rPr>
          <w:rtl/>
          <w:lang w:bidi="ar-EG"/>
        </w:rPr>
        <w:t>و</w:t>
      </w:r>
      <w:r w:rsidR="00E71208">
        <w:rPr>
          <w:rFonts w:hint="cs"/>
          <w:rtl/>
          <w:lang w:bidi="ar-EG"/>
        </w:rPr>
        <w:t xml:space="preserve">ما </w:t>
      </w:r>
      <w:r>
        <w:rPr>
          <w:rtl/>
          <w:lang w:bidi="ar-EG"/>
        </w:rPr>
        <w:t>مستو</w:t>
      </w:r>
      <w:r w:rsidR="00E71208">
        <w:rPr>
          <w:rFonts w:hint="cs"/>
          <w:rtl/>
          <w:lang w:bidi="ar-EG"/>
        </w:rPr>
        <w:t>اها.</w:t>
      </w:r>
    </w:p>
    <w:p w14:paraId="3E14AA9C" w14:textId="7298B784" w:rsidR="00643E21" w:rsidRDefault="00643E21" w:rsidP="00276E41">
      <w:pPr>
        <w:pStyle w:val="BodyText"/>
        <w:numPr>
          <w:ilvl w:val="0"/>
          <w:numId w:val="24"/>
        </w:numPr>
        <w:spacing w:after="0"/>
        <w:ind w:left="1124" w:hanging="562"/>
        <w:rPr>
          <w:lang w:bidi="ar-EG"/>
        </w:rPr>
      </w:pPr>
      <w:r>
        <w:rPr>
          <w:rtl/>
          <w:lang w:bidi="ar-EG"/>
        </w:rPr>
        <w:t>نطاق الإشارات الحاملة للبرامج التي يتعين حمايتها بموجب أي معاهدة، وتحديدا</w:t>
      </w:r>
      <w:r w:rsidR="00E71208">
        <w:rPr>
          <w:rFonts w:hint="cs"/>
          <w:rtl/>
          <w:lang w:bidi="ar-EG"/>
        </w:rPr>
        <w:t>ً</w:t>
      </w:r>
      <w:r>
        <w:rPr>
          <w:rtl/>
          <w:lang w:bidi="ar-EG"/>
        </w:rPr>
        <w:t xml:space="preserve"> النفاذ السابق للإرسال</w:t>
      </w:r>
      <w:r w:rsidR="00E71208">
        <w:rPr>
          <w:rFonts w:hint="cs"/>
          <w:rtl/>
          <w:lang w:bidi="ar-EG"/>
        </w:rPr>
        <w:t>،</w:t>
      </w:r>
      <w:r w:rsidR="00E71208" w:rsidRPr="00E71208">
        <w:rPr>
          <w:rtl/>
          <w:lang w:bidi="ar-EG"/>
        </w:rPr>
        <w:t xml:space="preserve"> والاستدراك</w:t>
      </w:r>
      <w:r w:rsidR="00E71208">
        <w:rPr>
          <w:rFonts w:hint="cs"/>
          <w:rtl/>
          <w:lang w:bidi="ar-EG"/>
        </w:rPr>
        <w:t xml:space="preserve"> (</w:t>
      </w:r>
      <w:r>
        <w:rPr>
          <w:rtl/>
          <w:lang w:bidi="ar-EG"/>
        </w:rPr>
        <w:t>إرسال "البرامج المخزنة")</w:t>
      </w:r>
      <w:r w:rsidR="00E71208">
        <w:rPr>
          <w:rFonts w:hint="cs"/>
          <w:rtl/>
          <w:lang w:bidi="ar-EG"/>
        </w:rPr>
        <w:t>،</w:t>
      </w:r>
      <w:r>
        <w:rPr>
          <w:rtl/>
          <w:lang w:bidi="ar-EG"/>
        </w:rPr>
        <w:t xml:space="preserve"> والإشارات السابقة للبث.</w:t>
      </w:r>
    </w:p>
    <w:p w14:paraId="2C5357A4" w14:textId="3ECBCF31" w:rsidR="00643E21" w:rsidRDefault="00643E21" w:rsidP="00E038AD">
      <w:pPr>
        <w:pStyle w:val="BodyText"/>
        <w:numPr>
          <w:ilvl w:val="0"/>
          <w:numId w:val="24"/>
        </w:numPr>
        <w:ind w:left="1124" w:hanging="562"/>
        <w:rPr>
          <w:rtl/>
          <w:lang w:bidi="ar-EG"/>
        </w:rPr>
      </w:pPr>
      <w:r>
        <w:rPr>
          <w:rtl/>
          <w:lang w:bidi="ar-EG"/>
        </w:rPr>
        <w:t xml:space="preserve">تحقيق التوازن الصحيح فيما يتعلق بنهج التقييدات والاستثناءات. </w:t>
      </w:r>
    </w:p>
    <w:p w14:paraId="145609B2" w14:textId="12B60611" w:rsidR="00643E21" w:rsidRPr="00276E41" w:rsidRDefault="00643E21" w:rsidP="00276E41">
      <w:pPr>
        <w:pStyle w:val="ONUMA"/>
        <w:rPr>
          <w:rtl/>
          <w:lang w:bidi="ar-EG"/>
        </w:rPr>
      </w:pPr>
      <w:r w:rsidRPr="00276E41">
        <w:rPr>
          <w:rtl/>
          <w:lang w:bidi="ar-EG"/>
        </w:rPr>
        <w:t xml:space="preserve">وكجزء من </w:t>
      </w:r>
      <w:r w:rsidR="00276E41">
        <w:rPr>
          <w:rFonts w:hint="cs"/>
          <w:rtl/>
          <w:lang w:bidi="ar-EG"/>
        </w:rPr>
        <w:t xml:space="preserve">عملية </w:t>
      </w:r>
      <w:r w:rsidRPr="00276E41">
        <w:rPr>
          <w:rtl/>
          <w:lang w:bidi="ar-EG"/>
        </w:rPr>
        <w:t>الانتقال إلى الرئ</w:t>
      </w:r>
      <w:r w:rsidR="00276E41">
        <w:rPr>
          <w:rFonts w:hint="cs"/>
          <w:rtl/>
          <w:lang w:bidi="ar-EG"/>
        </w:rPr>
        <w:t>ا</w:t>
      </w:r>
      <w:r w:rsidRPr="00276E41">
        <w:rPr>
          <w:rtl/>
          <w:lang w:bidi="ar-EG"/>
        </w:rPr>
        <w:t>س</w:t>
      </w:r>
      <w:r w:rsidR="00276E41">
        <w:rPr>
          <w:rFonts w:hint="cs"/>
          <w:rtl/>
          <w:lang w:bidi="ar-EG"/>
        </w:rPr>
        <w:t>ة</w:t>
      </w:r>
      <w:r w:rsidRPr="00276E41">
        <w:rPr>
          <w:rtl/>
          <w:lang w:bidi="ar-EG"/>
        </w:rPr>
        <w:t xml:space="preserve"> الجديد</w:t>
      </w:r>
      <w:r w:rsidR="00276E41">
        <w:rPr>
          <w:rFonts w:hint="cs"/>
          <w:rtl/>
          <w:lang w:bidi="ar-EG"/>
        </w:rPr>
        <w:t>ة</w:t>
      </w:r>
      <w:r w:rsidRPr="00276E41">
        <w:rPr>
          <w:rtl/>
          <w:lang w:bidi="ar-EG"/>
        </w:rPr>
        <w:t xml:space="preserve">، يعتزم الرئيس اختتام العمل بشأن </w:t>
      </w:r>
      <w:r w:rsidR="00276E41" w:rsidRPr="00FD0234">
        <w:rPr>
          <w:rtl/>
          <w:lang w:bidi="ar-EG"/>
        </w:rPr>
        <w:t>مشروع النص المراجَع الثالث لمعاهدة الويبو بشأن هيئات البث</w:t>
      </w:r>
      <w:r w:rsidR="00276E41" w:rsidRPr="00276E41">
        <w:rPr>
          <w:rtl/>
          <w:lang w:bidi="ar-EG"/>
        </w:rPr>
        <w:t xml:space="preserve"> </w:t>
      </w:r>
      <w:r w:rsidRPr="00276E41">
        <w:rPr>
          <w:rtl/>
          <w:lang w:bidi="ar-EG"/>
        </w:rPr>
        <w:t>من خلال معالجة القضايا التقنية التي أثيرت في المناقشات.</w:t>
      </w:r>
    </w:p>
    <w:p w14:paraId="031A3008" w14:textId="27D96D09" w:rsidR="00643E21" w:rsidRDefault="00643E21" w:rsidP="00276E41">
      <w:pPr>
        <w:pStyle w:val="ONUMA"/>
        <w:rPr>
          <w:rtl/>
          <w:lang w:bidi="ar-EG"/>
        </w:rPr>
      </w:pPr>
      <w:r>
        <w:rPr>
          <w:rtl/>
          <w:lang w:bidi="ar-EG"/>
        </w:rPr>
        <w:t>وإجمالا</w:t>
      </w:r>
      <w:r w:rsidR="00276E41">
        <w:rPr>
          <w:rFonts w:hint="cs"/>
          <w:rtl/>
          <w:lang w:bidi="ar-EG"/>
        </w:rPr>
        <w:t>ً</w:t>
      </w:r>
      <w:r>
        <w:rPr>
          <w:rtl/>
          <w:lang w:bidi="ar-EG"/>
        </w:rPr>
        <w:t>، ي</w:t>
      </w:r>
      <w:r w:rsidR="00276E41">
        <w:rPr>
          <w:rFonts w:hint="cs"/>
          <w:rtl/>
          <w:lang w:bidi="ar-EG"/>
        </w:rPr>
        <w:t xml:space="preserve">رى </w:t>
      </w:r>
      <w:r>
        <w:rPr>
          <w:rtl/>
          <w:lang w:bidi="ar-EG"/>
        </w:rPr>
        <w:t>الرئيس أن المناقشات التقنية كانت مثمرة في التوصل إلى فهم مشترك لنقاط الاتفاق المحتملة، ونقاط الخلاف، فضلا عن القرارات التي يمكن اتخاذها</w:t>
      </w:r>
      <w:r w:rsidR="00276E41">
        <w:rPr>
          <w:rFonts w:hint="cs"/>
          <w:rtl/>
          <w:lang w:bidi="ar-EG"/>
        </w:rPr>
        <w:t>.</w:t>
      </w:r>
    </w:p>
    <w:p w14:paraId="13828855" w14:textId="4122799B" w:rsidR="00643E21" w:rsidRDefault="00276E41" w:rsidP="00276E41">
      <w:pPr>
        <w:pStyle w:val="ONUMA"/>
        <w:rPr>
          <w:rtl/>
          <w:lang w:bidi="ar-EG"/>
        </w:rPr>
      </w:pPr>
      <w:r>
        <w:rPr>
          <w:rFonts w:hint="cs"/>
          <w:rtl/>
          <w:lang w:bidi="ar-EG"/>
        </w:rPr>
        <w:t>و</w:t>
      </w:r>
      <w:r w:rsidR="00643E21">
        <w:rPr>
          <w:rtl/>
          <w:lang w:bidi="ar-EG"/>
        </w:rPr>
        <w:t>سيبق</w:t>
      </w:r>
      <w:r>
        <w:rPr>
          <w:rFonts w:hint="cs"/>
          <w:rtl/>
          <w:lang w:bidi="ar-EG"/>
        </w:rPr>
        <w:t>ى</w:t>
      </w:r>
      <w:r w:rsidR="00643E21">
        <w:rPr>
          <w:rtl/>
          <w:lang w:bidi="ar-EG"/>
        </w:rPr>
        <w:t xml:space="preserve"> هذا البند على جدول أعمال الدورة الخامسة والأربعين للجنة.</w:t>
      </w:r>
    </w:p>
    <w:p w14:paraId="627B059E" w14:textId="77777777" w:rsidR="00643E21" w:rsidRPr="00276E41" w:rsidRDefault="00643E21" w:rsidP="00276E41">
      <w:pPr>
        <w:pStyle w:val="Heading2"/>
        <w:spacing w:after="0"/>
        <w:rPr>
          <w:i/>
          <w:iCs w:val="0"/>
          <w:sz w:val="24"/>
          <w:szCs w:val="24"/>
          <w:rtl/>
          <w:lang w:val="fr-CH" w:bidi="ar-SY"/>
        </w:rPr>
      </w:pPr>
      <w:r w:rsidRPr="00276E41">
        <w:rPr>
          <w:i/>
          <w:iCs w:val="0"/>
          <w:sz w:val="24"/>
          <w:szCs w:val="24"/>
          <w:rtl/>
          <w:lang w:val="fr-CH" w:bidi="ar-SY"/>
        </w:rPr>
        <w:t>البند 6 من جدول الأعمال: التقييدات والاستثناءات لفائدة المكتبات ودور المحفوظات</w:t>
      </w:r>
    </w:p>
    <w:p w14:paraId="24935B50" w14:textId="467319E3" w:rsidR="00643E21" w:rsidRPr="00276E41" w:rsidRDefault="00643E21" w:rsidP="00276E41">
      <w:pPr>
        <w:pStyle w:val="Heading2"/>
        <w:spacing w:before="0" w:after="240"/>
        <w:rPr>
          <w:i/>
          <w:iCs w:val="0"/>
          <w:sz w:val="24"/>
          <w:szCs w:val="24"/>
          <w:rtl/>
          <w:lang w:val="fr-CH" w:bidi="ar-SY"/>
        </w:rPr>
      </w:pPr>
      <w:r w:rsidRPr="00276E41">
        <w:rPr>
          <w:i/>
          <w:iCs w:val="0"/>
          <w:sz w:val="24"/>
          <w:szCs w:val="24"/>
          <w:rtl/>
          <w:lang w:val="fr-CH" w:bidi="ar-SY"/>
        </w:rPr>
        <w:t>البند 7 من جدول الأعمال:</w:t>
      </w:r>
      <w:r w:rsidR="00276E41">
        <w:rPr>
          <w:rFonts w:hint="cs"/>
          <w:i/>
          <w:iCs w:val="0"/>
          <w:sz w:val="24"/>
          <w:szCs w:val="24"/>
          <w:rtl/>
          <w:lang w:val="fr-CH" w:bidi="ar-SY"/>
        </w:rPr>
        <w:t xml:space="preserve"> </w:t>
      </w:r>
      <w:r w:rsidR="00276E41" w:rsidRPr="00276E41">
        <w:rPr>
          <w:i/>
          <w:iCs w:val="0"/>
          <w:sz w:val="24"/>
          <w:szCs w:val="24"/>
          <w:rtl/>
          <w:lang w:val="fr-CH" w:bidi="ar-SY"/>
        </w:rPr>
        <w:t>التقييدات والاستثناءات لفائدة مؤسسات التعليم والبحث ولفائدة الأشخاص ذوي إعاقات</w:t>
      </w:r>
      <w:r w:rsidR="00276E41">
        <w:rPr>
          <w:rFonts w:hint="cs"/>
          <w:i/>
          <w:iCs w:val="0"/>
          <w:sz w:val="24"/>
          <w:szCs w:val="24"/>
          <w:rtl/>
          <w:lang w:val="fr-CH" w:bidi="ar-SY"/>
        </w:rPr>
        <w:t> </w:t>
      </w:r>
      <w:r w:rsidR="00276E41" w:rsidRPr="00276E41">
        <w:rPr>
          <w:i/>
          <w:iCs w:val="0"/>
          <w:sz w:val="24"/>
          <w:szCs w:val="24"/>
          <w:rtl/>
          <w:lang w:val="fr-CH" w:bidi="ar-SY"/>
        </w:rPr>
        <w:t>أخرى</w:t>
      </w:r>
    </w:p>
    <w:p w14:paraId="0573D34A" w14:textId="7EE5347F" w:rsidR="00643E21" w:rsidRDefault="00643E21" w:rsidP="00276E41">
      <w:pPr>
        <w:pStyle w:val="ONUMA"/>
        <w:rPr>
          <w:rtl/>
          <w:lang w:bidi="ar-EG"/>
        </w:rPr>
      </w:pPr>
      <w:r>
        <w:rPr>
          <w:rtl/>
          <w:lang w:bidi="ar-EG"/>
        </w:rPr>
        <w:t>تم تناول هذين البندين من جدول الأعمال معا</w:t>
      </w:r>
      <w:r w:rsidR="00276E41">
        <w:rPr>
          <w:rFonts w:hint="cs"/>
          <w:rtl/>
          <w:lang w:bidi="ar-EG"/>
        </w:rPr>
        <w:t>ً</w:t>
      </w:r>
      <w:r>
        <w:rPr>
          <w:rtl/>
          <w:lang w:bidi="ar-EG"/>
        </w:rPr>
        <w:t>.  ويمكن الاطلاع على وثائق الدورات السابقة المتعلقة ببند</w:t>
      </w:r>
      <w:r w:rsidR="00276E41">
        <w:rPr>
          <w:rFonts w:hint="cs"/>
          <w:rtl/>
          <w:lang w:bidi="ar-EG"/>
        </w:rPr>
        <w:t>ي</w:t>
      </w:r>
      <w:r>
        <w:rPr>
          <w:rtl/>
          <w:lang w:bidi="ar-EG"/>
        </w:rPr>
        <w:t xml:space="preserve"> جدول الأعمال هذ</w:t>
      </w:r>
      <w:r w:rsidR="00276E41">
        <w:rPr>
          <w:rFonts w:hint="cs"/>
          <w:rtl/>
          <w:lang w:bidi="ar-EG"/>
        </w:rPr>
        <w:t xml:space="preserve">ين </w:t>
      </w:r>
      <w:r>
        <w:rPr>
          <w:rtl/>
          <w:lang w:bidi="ar-EG"/>
        </w:rPr>
        <w:t xml:space="preserve">على </w:t>
      </w:r>
      <w:r w:rsidR="00276E41">
        <w:rPr>
          <w:rtl/>
          <w:lang w:bidi="ar-EG"/>
        </w:rPr>
        <w:t>الصفحة الإلكترونية المخصصة لل</w:t>
      </w:r>
      <w:r w:rsidR="00276E41">
        <w:rPr>
          <w:rFonts w:hint="cs"/>
          <w:rtl/>
          <w:lang w:bidi="ar-EG"/>
        </w:rPr>
        <w:t xml:space="preserve">دورة </w:t>
      </w:r>
      <w:r w:rsidR="00276E41">
        <w:rPr>
          <w:lang w:bidi="ar-EG"/>
        </w:rPr>
        <w:t>44</w:t>
      </w:r>
      <w:r w:rsidR="00276E41">
        <w:rPr>
          <w:rtl/>
          <w:lang w:bidi="ar-EG"/>
        </w:rPr>
        <w:t xml:space="preserve"> </w:t>
      </w:r>
      <w:r w:rsidR="00276E41">
        <w:rPr>
          <w:rFonts w:hint="cs"/>
          <w:rtl/>
          <w:lang w:bidi="ar-EG"/>
        </w:rPr>
        <w:t xml:space="preserve">للجنة على: </w:t>
      </w:r>
      <w:r w:rsidR="00276E41" w:rsidRPr="00276E41">
        <w:rPr>
          <w:lang w:bidi="ar-EG"/>
        </w:rPr>
        <w:t>https://www.wipo.int/meetings/ar/details.jsp?meeting_id=78391</w:t>
      </w:r>
      <w:r>
        <w:rPr>
          <w:rtl/>
          <w:lang w:bidi="ar-EG"/>
        </w:rPr>
        <w:t>.</w:t>
      </w:r>
    </w:p>
    <w:p w14:paraId="330261A1" w14:textId="2A75222F" w:rsidR="00643E21" w:rsidRDefault="00643E21" w:rsidP="00276E41">
      <w:pPr>
        <w:pStyle w:val="ONUMA"/>
        <w:rPr>
          <w:rtl/>
          <w:lang w:bidi="ar-EG"/>
        </w:rPr>
      </w:pPr>
      <w:r>
        <w:rPr>
          <w:rtl/>
          <w:lang w:bidi="ar-EG"/>
        </w:rPr>
        <w:t xml:space="preserve">وبعد تحديث موجز من الأمانة بشأن حالة العمل المتعلق بهذين البندين من جدول الأعمال، قدمت البروفيسورة </w:t>
      </w:r>
      <w:r w:rsidR="00276E41" w:rsidRPr="00276E41">
        <w:rPr>
          <w:rtl/>
          <w:lang w:bidi="ar-EG"/>
        </w:rPr>
        <w:t xml:space="preserve">راكيل كزالاباردير </w:t>
      </w:r>
      <w:r w:rsidR="00276E41">
        <w:rPr>
          <w:rFonts w:hint="cs"/>
          <w:rtl/>
          <w:lang w:bidi="ar-EG"/>
        </w:rPr>
        <w:t>"</w:t>
      </w:r>
      <w:r>
        <w:rPr>
          <w:rtl/>
          <w:lang w:bidi="ar-EG"/>
        </w:rPr>
        <w:t xml:space="preserve">دراسة بشأن </w:t>
      </w:r>
      <w:r w:rsidR="00276E41" w:rsidRPr="00276E41">
        <w:rPr>
          <w:rtl/>
          <w:lang w:bidi="ar-EG"/>
        </w:rPr>
        <w:t>التحديات التي تواجه مؤسسات البحث وأغراض البحث فيما يتعلق بحق المؤلف</w:t>
      </w:r>
      <w:r w:rsidR="00276E41">
        <w:rPr>
          <w:rFonts w:hint="cs"/>
          <w:rtl/>
          <w:lang w:bidi="ar-EG"/>
        </w:rPr>
        <w:t xml:space="preserve">" </w:t>
      </w:r>
      <w:r>
        <w:rPr>
          <w:rtl/>
          <w:lang w:bidi="ar-EG"/>
        </w:rPr>
        <w:t xml:space="preserve">(الوثيقة </w:t>
      </w:r>
      <w:r>
        <w:rPr>
          <w:lang w:bidi="ar-EG"/>
        </w:rPr>
        <w:t>SCCR/44/4</w:t>
      </w:r>
      <w:r>
        <w:rPr>
          <w:rtl/>
          <w:lang w:bidi="ar-EG"/>
        </w:rPr>
        <w:t>). ورحبت اللجنة بعرض</w:t>
      </w:r>
      <w:r w:rsidR="00276E41">
        <w:rPr>
          <w:rFonts w:hint="cs"/>
          <w:rtl/>
          <w:lang w:bidi="ar-EG"/>
        </w:rPr>
        <w:t xml:space="preserve"> </w:t>
      </w:r>
      <w:r w:rsidR="00276E41">
        <w:rPr>
          <w:rtl/>
          <w:lang w:bidi="ar-EG"/>
        </w:rPr>
        <w:t>البروفيسورة</w:t>
      </w:r>
      <w:r>
        <w:rPr>
          <w:rtl/>
          <w:lang w:bidi="ar-EG"/>
        </w:rPr>
        <w:t xml:space="preserve">.  وأعقب ذلك جلسة أسئلة وأجوبة.  </w:t>
      </w:r>
      <w:r w:rsidR="00276E41">
        <w:rPr>
          <w:rFonts w:hint="cs"/>
          <w:rtl/>
          <w:lang w:bidi="ar-EG"/>
        </w:rPr>
        <w:t>و</w:t>
      </w:r>
      <w:r>
        <w:rPr>
          <w:rtl/>
          <w:lang w:bidi="ar-EG"/>
        </w:rPr>
        <w:t>يمكن إرسال التعليقات على الدراسة إلى</w:t>
      </w:r>
      <w:r w:rsidR="00276E41">
        <w:rPr>
          <w:rFonts w:hint="cs"/>
          <w:rtl/>
          <w:lang w:bidi="ar-EG"/>
        </w:rPr>
        <w:t xml:space="preserve"> البريد الإلكتروني </w:t>
      </w:r>
      <w:hyperlink r:id="rId12" w:history="1">
        <w:r w:rsidR="00276E41" w:rsidRPr="00BF2F97">
          <w:rPr>
            <w:rStyle w:val="Hyperlink"/>
            <w:lang w:val="en-CA"/>
          </w:rPr>
          <w:t>copyright.mail@wipo.int</w:t>
        </w:r>
      </w:hyperlink>
      <w:r w:rsidR="00276E41">
        <w:rPr>
          <w:rFonts w:hint="cs"/>
          <w:rtl/>
          <w:lang w:bidi="ar-EG"/>
        </w:rPr>
        <w:t xml:space="preserve"> </w:t>
      </w:r>
      <w:r>
        <w:rPr>
          <w:rtl/>
          <w:lang w:bidi="ar-EG"/>
        </w:rPr>
        <w:t>بحلول 12 يناير 2024.</w:t>
      </w:r>
    </w:p>
    <w:p w14:paraId="1FEBFC8A" w14:textId="20923D79" w:rsidR="00643E21" w:rsidRDefault="00643E21" w:rsidP="00276E41">
      <w:pPr>
        <w:pStyle w:val="ONUMA"/>
        <w:rPr>
          <w:rtl/>
          <w:lang w:bidi="ar-EG"/>
        </w:rPr>
      </w:pPr>
      <w:r>
        <w:rPr>
          <w:rtl/>
          <w:lang w:bidi="ar-EG"/>
        </w:rPr>
        <w:t>وبعد ذلك، قدم</w:t>
      </w:r>
      <w:r w:rsidR="00276E41">
        <w:rPr>
          <w:rFonts w:hint="cs"/>
          <w:rtl/>
          <w:lang w:bidi="ar-EG"/>
        </w:rPr>
        <w:t xml:space="preserve"> وفد </w:t>
      </w:r>
      <w:r>
        <w:rPr>
          <w:rtl/>
          <w:lang w:bidi="ar-EG"/>
        </w:rPr>
        <w:t xml:space="preserve">الولايات المتحدة الأمريكية </w:t>
      </w:r>
      <w:r w:rsidR="00276E41" w:rsidRPr="00276E41">
        <w:rPr>
          <w:rtl/>
          <w:lang w:bidi="ar-EG"/>
        </w:rPr>
        <w:t xml:space="preserve">النسخة المحدثة من الوثيقة "الأهداف والمبادئ بشأن الاستثناءات والتقييدات لفائدة المكتبات ودور المحفوظات" </w:t>
      </w:r>
      <w:r>
        <w:rPr>
          <w:rtl/>
          <w:lang w:bidi="ar-EG"/>
        </w:rPr>
        <w:t xml:space="preserve">(الوثيقة </w:t>
      </w:r>
      <w:r>
        <w:rPr>
          <w:lang w:bidi="ar-EG"/>
        </w:rPr>
        <w:t>SCCR/44/5</w:t>
      </w:r>
      <w:r>
        <w:rPr>
          <w:rtl/>
          <w:lang w:bidi="ar-EG"/>
        </w:rPr>
        <w:t>).  وسيناقش الاقتراح بمزيد من التفصيل في الاجتماع المقبل</w:t>
      </w:r>
      <w:r w:rsidR="00276E41">
        <w:rPr>
          <w:rFonts w:hint="cs"/>
          <w:rtl/>
          <w:lang w:bidi="ar-EG"/>
        </w:rPr>
        <w:t> </w:t>
      </w:r>
      <w:r>
        <w:rPr>
          <w:rtl/>
          <w:lang w:bidi="ar-EG"/>
        </w:rPr>
        <w:t>للجنة.</w:t>
      </w:r>
    </w:p>
    <w:p w14:paraId="3844483E" w14:textId="2241A7A4" w:rsidR="00643E21" w:rsidRDefault="00643E21" w:rsidP="00276E41">
      <w:pPr>
        <w:pStyle w:val="ONUMA"/>
        <w:rPr>
          <w:rtl/>
          <w:lang w:bidi="ar-EG"/>
        </w:rPr>
      </w:pPr>
      <w:r>
        <w:rPr>
          <w:rtl/>
          <w:lang w:bidi="ar-EG"/>
        </w:rPr>
        <w:t>وبغية المضي قدما</w:t>
      </w:r>
      <w:r w:rsidR="00D06023">
        <w:rPr>
          <w:rFonts w:hint="cs"/>
          <w:rtl/>
          <w:lang w:bidi="ar-EG"/>
        </w:rPr>
        <w:t>ً</w:t>
      </w:r>
      <w:r>
        <w:rPr>
          <w:rtl/>
          <w:lang w:bidi="ar-EG"/>
        </w:rPr>
        <w:t xml:space="preserve"> في برنامج العمل بشأن الاستثناءات والتقييدات المعتمد في الدورة 43 للجنة حق المؤلف، قدمت المجموعة الأفريقية أيضا </w:t>
      </w:r>
      <w:r w:rsidR="005D0D50">
        <w:rPr>
          <w:rFonts w:hint="cs"/>
          <w:rtl/>
          <w:lang w:bidi="ar-EG"/>
        </w:rPr>
        <w:t>"</w:t>
      </w:r>
      <w:r>
        <w:rPr>
          <w:rtl/>
          <w:lang w:bidi="ar-EG"/>
        </w:rPr>
        <w:t xml:space="preserve">مشروع </w:t>
      </w:r>
      <w:r w:rsidR="00D06023" w:rsidRPr="00D06023">
        <w:rPr>
          <w:rtl/>
          <w:lang w:bidi="ar-EG"/>
        </w:rPr>
        <w:t xml:space="preserve">اقتراح </w:t>
      </w:r>
      <w:r w:rsidR="005D0D50" w:rsidRPr="005D0D50">
        <w:rPr>
          <w:rtl/>
          <w:lang w:bidi="ar-EG"/>
        </w:rPr>
        <w:t xml:space="preserve">من المجموعة الأفريقية </w:t>
      </w:r>
      <w:r w:rsidR="00D06023" w:rsidRPr="00D06023">
        <w:rPr>
          <w:rtl/>
          <w:lang w:bidi="ar-EG"/>
        </w:rPr>
        <w:t>بخصوص تنفيذ برنامج العمل بشأن الاستثناءات والتقييدات</w:t>
      </w:r>
      <w:r w:rsidR="005D0D50">
        <w:rPr>
          <w:rFonts w:hint="cs"/>
          <w:rtl/>
          <w:lang w:bidi="ar-EG"/>
        </w:rPr>
        <w:t>"</w:t>
      </w:r>
      <w:r w:rsidR="00D06023">
        <w:rPr>
          <w:rFonts w:hint="cs"/>
          <w:rtl/>
          <w:lang w:bidi="ar-EG"/>
        </w:rPr>
        <w:t xml:space="preserve"> </w:t>
      </w:r>
      <w:r>
        <w:rPr>
          <w:rtl/>
          <w:lang w:bidi="ar-EG"/>
        </w:rPr>
        <w:t xml:space="preserve">(الوثيقة </w:t>
      </w:r>
      <w:r>
        <w:rPr>
          <w:lang w:bidi="ar-EG"/>
        </w:rPr>
        <w:t>SCCR/44/6</w:t>
      </w:r>
      <w:r>
        <w:rPr>
          <w:rtl/>
          <w:lang w:bidi="ar-EG"/>
        </w:rPr>
        <w:t>).  وسيناقش الاقتراح بمزيد من التفصيل في الاجتماع المقبل للجنة.</w:t>
      </w:r>
    </w:p>
    <w:p w14:paraId="06DE4484" w14:textId="7914BA13" w:rsidR="00643E21" w:rsidRDefault="00643E21" w:rsidP="00276E41">
      <w:pPr>
        <w:pStyle w:val="ONUMA"/>
        <w:rPr>
          <w:rtl/>
          <w:lang w:bidi="ar-EG"/>
        </w:rPr>
      </w:pPr>
      <w:r>
        <w:rPr>
          <w:rtl/>
          <w:lang w:bidi="ar-EG"/>
        </w:rPr>
        <w:t xml:space="preserve">ومع مراعاة خطة التنفيذ المقترحة التي قدمتها المجموعة الأفريقية في الدورة 44 للجنة حق المؤلف وتعليقات الدول الأعضاء على تلك الخطة المقترحة في </w:t>
      </w:r>
      <w:r w:rsidR="00D06023">
        <w:rPr>
          <w:rFonts w:hint="cs"/>
          <w:rtl/>
          <w:lang w:bidi="ar-EG"/>
        </w:rPr>
        <w:t>ال</w:t>
      </w:r>
      <w:r>
        <w:rPr>
          <w:rtl/>
          <w:lang w:bidi="ar-EG"/>
        </w:rPr>
        <w:t xml:space="preserve">دورة </w:t>
      </w:r>
      <w:r w:rsidR="00D06023">
        <w:rPr>
          <w:rFonts w:hint="cs"/>
          <w:rtl/>
          <w:lang w:bidi="ar-EG"/>
        </w:rPr>
        <w:t xml:space="preserve">الجالية </w:t>
      </w:r>
      <w:r>
        <w:rPr>
          <w:rtl/>
          <w:lang w:bidi="ar-EG"/>
        </w:rPr>
        <w:t>للجنة، ينبغي للأمانة أن تنظم</w:t>
      </w:r>
      <w:r w:rsidR="005D0D50">
        <w:rPr>
          <w:rFonts w:hint="cs"/>
          <w:rtl/>
          <w:lang w:bidi="ar-EG"/>
        </w:rPr>
        <w:t>،</w:t>
      </w:r>
      <w:r>
        <w:rPr>
          <w:rtl/>
          <w:lang w:bidi="ar-EG"/>
        </w:rPr>
        <w:t xml:space="preserve"> قبل انعقاد الدورة المقبلة للجنة حق المؤلف</w:t>
      </w:r>
      <w:r w:rsidR="005D0D50">
        <w:rPr>
          <w:rFonts w:hint="cs"/>
          <w:rtl/>
          <w:lang w:bidi="ar-EG"/>
        </w:rPr>
        <w:t>،</w:t>
      </w:r>
      <w:r>
        <w:rPr>
          <w:rtl/>
          <w:lang w:bidi="ar-EG"/>
        </w:rPr>
        <w:t xml:space="preserve"> حلقة نقاش افتراضية باستخدام نهج دراسة الحالة، بشأن الاستخدامات عبر الحدود للمصنفات المحمية بحق المؤلف في قطاعي التعليم والبحث، </w:t>
      </w:r>
      <w:r w:rsidR="005D0D50">
        <w:rPr>
          <w:rFonts w:hint="cs"/>
          <w:rtl/>
          <w:lang w:bidi="ar-EG"/>
        </w:rPr>
        <w:t xml:space="preserve">وأن تكون </w:t>
      </w:r>
      <w:r w:rsidR="005D0D50">
        <w:rPr>
          <w:rtl/>
          <w:lang w:bidi="ar-EG"/>
        </w:rPr>
        <w:t xml:space="preserve">حلقة </w:t>
      </w:r>
      <w:r w:rsidR="005D0D50">
        <w:rPr>
          <w:rFonts w:hint="cs"/>
          <w:rtl/>
          <w:lang w:bidi="ar-EG"/>
        </w:rPr>
        <w:t>ال</w:t>
      </w:r>
      <w:r w:rsidR="005D0D50">
        <w:rPr>
          <w:rtl/>
          <w:lang w:bidi="ar-EG"/>
        </w:rPr>
        <w:t xml:space="preserve">نقاش </w:t>
      </w:r>
      <w:r>
        <w:rPr>
          <w:rtl/>
          <w:lang w:bidi="ar-EG"/>
        </w:rPr>
        <w:t xml:space="preserve">مفتوحة لجميع الدول الأعضاء وكذلك المراقبين.  وإضافة إلى ذلك، ينبغي أن تقدم الأمانة في الدورة المقبلة للجنة </w:t>
      </w:r>
      <w:r w:rsidR="005D0D50">
        <w:rPr>
          <w:rFonts w:hint="cs"/>
          <w:rtl/>
          <w:lang w:bidi="ar-EG"/>
        </w:rPr>
        <w:t>ح</w:t>
      </w:r>
      <w:r>
        <w:rPr>
          <w:rtl/>
          <w:lang w:bidi="ar-EG"/>
        </w:rPr>
        <w:t xml:space="preserve">ق المؤلف خطة تنفيذ مفصلة لبرنامج العمل بشأن الاستثناءات والتقييدات مع مراعاة تعليقات الدول الأعضاء التي أبديت في هذه الدورة للجنة.  وينبغي أن تتشاور الأمانة مع الدول الأعضاء بشأن مشروع نسخة من خطة التنفيذ هذه قبل تقديمها إلى </w:t>
      </w:r>
      <w:r w:rsidR="005D0D50">
        <w:rPr>
          <w:rFonts w:hint="cs"/>
          <w:rtl/>
          <w:lang w:bidi="ar-EG"/>
        </w:rPr>
        <w:t>الدورة</w:t>
      </w:r>
      <w:r>
        <w:rPr>
          <w:rtl/>
          <w:lang w:bidi="ar-EG"/>
        </w:rPr>
        <w:t xml:space="preserve"> المقبلة </w:t>
      </w:r>
      <w:r w:rsidR="005D0D50">
        <w:rPr>
          <w:rFonts w:hint="cs"/>
          <w:rtl/>
          <w:lang w:bidi="ar-EG"/>
        </w:rPr>
        <w:t xml:space="preserve">للجنة </w:t>
      </w:r>
      <w:r>
        <w:rPr>
          <w:rtl/>
          <w:lang w:bidi="ar-EG"/>
        </w:rPr>
        <w:t>حق المؤلف</w:t>
      </w:r>
      <w:r w:rsidR="005D0D50">
        <w:rPr>
          <w:rFonts w:hint="cs"/>
          <w:rtl/>
          <w:lang w:bidi="ar-EG"/>
        </w:rPr>
        <w:t>.</w:t>
      </w:r>
    </w:p>
    <w:p w14:paraId="035BC42F" w14:textId="29247DEC" w:rsidR="00643E21" w:rsidRDefault="005D0D50" w:rsidP="005D0D50">
      <w:pPr>
        <w:pStyle w:val="ONUMA"/>
        <w:rPr>
          <w:rtl/>
          <w:lang w:bidi="ar-EG"/>
        </w:rPr>
      </w:pPr>
      <w:r>
        <w:rPr>
          <w:rFonts w:hint="cs"/>
          <w:rtl/>
          <w:lang w:bidi="ar-EG"/>
        </w:rPr>
        <w:t>و</w:t>
      </w:r>
      <w:r w:rsidR="00643E21">
        <w:rPr>
          <w:rtl/>
          <w:lang w:bidi="ar-EG"/>
        </w:rPr>
        <w:t>س</w:t>
      </w:r>
      <w:r>
        <w:rPr>
          <w:rFonts w:hint="cs"/>
          <w:rtl/>
          <w:lang w:bidi="ar-EG"/>
        </w:rPr>
        <w:t>ي</w:t>
      </w:r>
      <w:r w:rsidRPr="005D0D50">
        <w:rPr>
          <w:rtl/>
          <w:lang w:bidi="ar-EG"/>
        </w:rPr>
        <w:t xml:space="preserve">ظل </w:t>
      </w:r>
      <w:r w:rsidR="00643E21">
        <w:rPr>
          <w:rtl/>
          <w:lang w:bidi="ar-EG"/>
        </w:rPr>
        <w:t>بند</w:t>
      </w:r>
      <w:r>
        <w:rPr>
          <w:rFonts w:hint="cs"/>
          <w:rtl/>
          <w:lang w:bidi="ar-EG"/>
        </w:rPr>
        <w:t>ا</w:t>
      </w:r>
      <w:r w:rsidR="00643E21">
        <w:rPr>
          <w:rtl/>
          <w:lang w:bidi="ar-EG"/>
        </w:rPr>
        <w:t xml:space="preserve"> جدول الأعمال المتعلق</w:t>
      </w:r>
      <w:r>
        <w:rPr>
          <w:rFonts w:hint="cs"/>
          <w:rtl/>
          <w:lang w:bidi="ar-EG"/>
        </w:rPr>
        <w:t>ان</w:t>
      </w:r>
      <w:r w:rsidR="00643E21">
        <w:rPr>
          <w:rtl/>
          <w:lang w:bidi="ar-EG"/>
        </w:rPr>
        <w:t xml:space="preserve"> </w:t>
      </w:r>
      <w:r>
        <w:rPr>
          <w:rFonts w:hint="cs"/>
          <w:rtl/>
          <w:lang w:bidi="ar-EG"/>
        </w:rPr>
        <w:t>ب</w:t>
      </w:r>
      <w:r>
        <w:rPr>
          <w:rtl/>
          <w:lang w:bidi="ar-EG"/>
        </w:rPr>
        <w:t>التقييدات والاستثناءات لفائدة المكتبات ودور المحفوظات</w:t>
      </w:r>
      <w:r>
        <w:rPr>
          <w:rFonts w:hint="cs"/>
          <w:rtl/>
          <w:lang w:bidi="ar-EG"/>
        </w:rPr>
        <w:t xml:space="preserve"> و</w:t>
      </w:r>
      <w:r>
        <w:rPr>
          <w:rtl/>
          <w:lang w:bidi="ar-EG"/>
        </w:rPr>
        <w:t>مؤسسات التعليم والبحث والأشخاص ذوي إعاقات أخرى</w:t>
      </w:r>
      <w:r>
        <w:rPr>
          <w:rFonts w:hint="cs"/>
          <w:rtl/>
          <w:lang w:bidi="ar-EG"/>
        </w:rPr>
        <w:t xml:space="preserve"> مدرجين </w:t>
      </w:r>
      <w:r w:rsidR="00643E21">
        <w:rPr>
          <w:rtl/>
          <w:lang w:bidi="ar-EG"/>
        </w:rPr>
        <w:t>في جدول أعمال الدورة الخامسة والأربعين للجنة حق المؤلف</w:t>
      </w:r>
      <w:r>
        <w:rPr>
          <w:rFonts w:hint="cs"/>
          <w:rtl/>
          <w:lang w:bidi="ar-EG"/>
        </w:rPr>
        <w:t>.</w:t>
      </w:r>
    </w:p>
    <w:p w14:paraId="4C305EAE" w14:textId="77777777" w:rsidR="00643E21" w:rsidRPr="005D0D50" w:rsidRDefault="00643E21" w:rsidP="005D0D50">
      <w:pPr>
        <w:pStyle w:val="Heading2"/>
        <w:spacing w:before="0" w:after="240"/>
        <w:rPr>
          <w:i/>
          <w:iCs w:val="0"/>
          <w:sz w:val="24"/>
          <w:szCs w:val="24"/>
          <w:rtl/>
          <w:lang w:val="fr-CH" w:bidi="ar-SY"/>
        </w:rPr>
      </w:pPr>
      <w:r w:rsidRPr="005D0D50">
        <w:rPr>
          <w:i/>
          <w:iCs w:val="0"/>
          <w:sz w:val="24"/>
          <w:szCs w:val="24"/>
          <w:rtl/>
          <w:lang w:val="fr-CH" w:bidi="ar-SY"/>
        </w:rPr>
        <w:t>البند 8 من جدول الأعمال: مسائل أخرى</w:t>
      </w:r>
    </w:p>
    <w:p w14:paraId="73483839" w14:textId="53556D96" w:rsidR="005D0D50" w:rsidRDefault="00643E21" w:rsidP="005D0D50">
      <w:pPr>
        <w:pStyle w:val="ONUMA"/>
        <w:rPr>
          <w:rtl/>
          <w:lang w:bidi="ar-EG"/>
        </w:rPr>
      </w:pPr>
      <w:r>
        <w:rPr>
          <w:rtl/>
          <w:lang w:bidi="ar-EG"/>
        </w:rPr>
        <w:t>يمكن الاطلاع على وثائق الدورات السابقة المتعلقة بهذا البند من جدول الأعمال على</w:t>
      </w:r>
      <w:r w:rsidR="005D0D50">
        <w:rPr>
          <w:rtl/>
          <w:lang w:bidi="ar-EG"/>
        </w:rPr>
        <w:t xml:space="preserve"> الصفحة الإلكترونية المخصصة لل</w:t>
      </w:r>
      <w:r w:rsidR="005D0D50">
        <w:rPr>
          <w:rFonts w:hint="cs"/>
          <w:rtl/>
          <w:lang w:bidi="ar-EG"/>
        </w:rPr>
        <w:t xml:space="preserve">دورة </w:t>
      </w:r>
      <w:r w:rsidR="005D0D50">
        <w:rPr>
          <w:lang w:bidi="ar-EG"/>
        </w:rPr>
        <w:t>44</w:t>
      </w:r>
      <w:r w:rsidR="005D0D50">
        <w:rPr>
          <w:rtl/>
          <w:lang w:bidi="ar-EG"/>
        </w:rPr>
        <w:t xml:space="preserve"> </w:t>
      </w:r>
      <w:r w:rsidR="005D0D50">
        <w:rPr>
          <w:rFonts w:hint="cs"/>
          <w:rtl/>
          <w:lang w:bidi="ar-EG"/>
        </w:rPr>
        <w:t xml:space="preserve">للجنة على: </w:t>
      </w:r>
      <w:r w:rsidR="005D0D50" w:rsidRPr="004E0058">
        <w:rPr>
          <w:lang w:bidi="ar-EG"/>
        </w:rPr>
        <w:t>https://www.wipo.int/meetings/ar/details.jsp?meeting_id=78391</w:t>
      </w:r>
      <w:r w:rsidR="005D0D50">
        <w:rPr>
          <w:rFonts w:hint="cs"/>
          <w:rtl/>
          <w:lang w:bidi="ar-EG"/>
        </w:rPr>
        <w:t>.</w:t>
      </w:r>
    </w:p>
    <w:p w14:paraId="046A2F15" w14:textId="25637C42" w:rsidR="00643E21" w:rsidRDefault="00643E21" w:rsidP="00276E41">
      <w:pPr>
        <w:pStyle w:val="ONUMA"/>
        <w:rPr>
          <w:rtl/>
          <w:lang w:bidi="ar-EG"/>
        </w:rPr>
      </w:pPr>
      <w:r>
        <w:rPr>
          <w:rtl/>
          <w:lang w:bidi="ar-EG"/>
        </w:rPr>
        <w:lastRenderedPageBreak/>
        <w:t xml:space="preserve">وفيما يتعلق بموضوع حق المؤلف في البيئة الرقمية، قدمت الأمانة لمحة موجزة رفيعة المستوى عن نتائج الجلسة الإعلامية التي عقدت بشأن سوق بث الموسيقى في الدورة 43 للجنة حق المؤلف.  وتقف الأمانة العامة على أهبة الاستعداد لإعداد تقرير أكثر تفصيلا عن </w:t>
      </w:r>
      <w:r w:rsidR="00CA2D6E">
        <w:rPr>
          <w:rtl/>
          <w:lang w:bidi="ar-EG"/>
        </w:rPr>
        <w:t xml:space="preserve">الجلسة </w:t>
      </w:r>
      <w:r>
        <w:rPr>
          <w:rtl/>
          <w:lang w:bidi="ar-EG"/>
        </w:rPr>
        <w:t>الإعلامية.</w:t>
      </w:r>
    </w:p>
    <w:p w14:paraId="38B2C71E" w14:textId="712FB488" w:rsidR="00643E21" w:rsidRDefault="00643E21" w:rsidP="00276E41">
      <w:pPr>
        <w:pStyle w:val="ONUMA"/>
        <w:rPr>
          <w:rtl/>
          <w:lang w:bidi="ar-EG"/>
        </w:rPr>
      </w:pPr>
      <w:r>
        <w:rPr>
          <w:rtl/>
          <w:lang w:bidi="ar-EG"/>
        </w:rPr>
        <w:t xml:space="preserve">وقدمت مجموعة بلدان أمريكا اللاتينية والكاريبي </w:t>
      </w:r>
      <w:r w:rsidR="00CA2D6E">
        <w:rPr>
          <w:rFonts w:hint="cs"/>
          <w:rtl/>
          <w:lang w:bidi="ar-EG"/>
        </w:rPr>
        <w:t>"</w:t>
      </w:r>
      <w:r w:rsidR="00CA2D6E" w:rsidRPr="00CA2D6E">
        <w:rPr>
          <w:rtl/>
          <w:lang w:bidi="ar-EG"/>
        </w:rPr>
        <w:t>اقتراح لتحليل حق المؤلف المتعلق بالبيئة الرقمية</w:t>
      </w:r>
      <w:r w:rsidR="00CA2D6E">
        <w:rPr>
          <w:rFonts w:hint="cs"/>
          <w:rtl/>
          <w:lang w:bidi="ar-EG"/>
        </w:rPr>
        <w:t xml:space="preserve">" </w:t>
      </w:r>
      <w:r>
        <w:rPr>
          <w:rtl/>
          <w:lang w:bidi="ar-EG"/>
        </w:rPr>
        <w:t xml:space="preserve">(الوثيقة </w:t>
      </w:r>
      <w:r>
        <w:rPr>
          <w:lang w:bidi="ar-EG"/>
        </w:rPr>
        <w:t>SCCR/43/7</w:t>
      </w:r>
      <w:r>
        <w:rPr>
          <w:rtl/>
          <w:lang w:bidi="ar-EG"/>
        </w:rPr>
        <w:t>)، الذي يقترح جعل حق المؤلف في البيئة الرقمية بندا</w:t>
      </w:r>
      <w:r w:rsidR="00CA2D6E">
        <w:rPr>
          <w:rFonts w:hint="cs"/>
          <w:rtl/>
          <w:lang w:bidi="ar-EG"/>
        </w:rPr>
        <w:t>ً</w:t>
      </w:r>
      <w:r>
        <w:rPr>
          <w:rtl/>
          <w:lang w:bidi="ar-EG"/>
        </w:rPr>
        <w:t xml:space="preserve"> دائما</w:t>
      </w:r>
      <w:r w:rsidR="00CA2D6E">
        <w:rPr>
          <w:rFonts w:hint="cs"/>
          <w:rtl/>
          <w:lang w:bidi="ar-EG"/>
        </w:rPr>
        <w:t>ً</w:t>
      </w:r>
      <w:r>
        <w:rPr>
          <w:rtl/>
          <w:lang w:bidi="ar-EG"/>
        </w:rPr>
        <w:t xml:space="preserve"> في جدول الأعمال والاضطلاع بمزيد من الأنشطة بشأن الموسيقى في البيئة الرقمية.  واقترحت المجموعة أيضا معالجة مجموعة واسعة من الموضوعات في إطار حق المؤلف في البيئة الرقمية.  ورحب بعض الأعضاء بهذه المقترحات، بينما أعرب آخرون عن تحفظات. وستقدم مجموعة بلدان أمريكا اللاتينية والكاريبي خطة عمل بشأن حق المؤلف في البيئة الرقمية في الاجتماع المقبل للجنة.</w:t>
      </w:r>
    </w:p>
    <w:p w14:paraId="7C486CEB" w14:textId="5AE64758" w:rsidR="00643E21" w:rsidRDefault="00643E21" w:rsidP="00276E41">
      <w:pPr>
        <w:pStyle w:val="ONUMA"/>
        <w:rPr>
          <w:rtl/>
          <w:lang w:bidi="ar-EG"/>
        </w:rPr>
      </w:pPr>
      <w:r>
        <w:rPr>
          <w:rtl/>
          <w:lang w:bidi="ar-EG"/>
        </w:rPr>
        <w:t xml:space="preserve">وقدم وفد كوت ديفوار </w:t>
      </w:r>
      <w:r w:rsidR="00CA2D6E">
        <w:rPr>
          <w:rFonts w:hint="cs"/>
          <w:rtl/>
          <w:lang w:bidi="ar-EG"/>
        </w:rPr>
        <w:t>"</w:t>
      </w:r>
      <w:r w:rsidR="00CA2D6E" w:rsidRPr="00CA2D6E">
        <w:rPr>
          <w:rtl/>
          <w:lang w:bidi="ar-EG"/>
        </w:rPr>
        <w:t>اقتراح بإجراء دراسة عن حقوق مؤلفي المواد السمعية البصرية ومكافأتهم مقابل استغلال مصنفاتهم</w:t>
      </w:r>
      <w:r w:rsidR="00CA2D6E">
        <w:rPr>
          <w:rFonts w:hint="cs"/>
          <w:rtl/>
          <w:lang w:bidi="ar-EG"/>
        </w:rPr>
        <w:t xml:space="preserve">" </w:t>
      </w:r>
      <w:r>
        <w:rPr>
          <w:rtl/>
          <w:lang w:bidi="ar-EG"/>
        </w:rPr>
        <w:t xml:space="preserve">(الوثيقة </w:t>
      </w:r>
      <w:r>
        <w:rPr>
          <w:lang w:bidi="ar-EG"/>
        </w:rPr>
        <w:t>SCCR/44/7</w:t>
      </w:r>
      <w:r>
        <w:rPr>
          <w:rtl/>
          <w:lang w:bidi="ar-EG"/>
        </w:rPr>
        <w:t>).  وناقشت اللجنة الاقتراح.  ورحب بعض أعضاء اللجنة بالاقتراح، في حين طلب بعض الأعضاء مزيدا</w:t>
      </w:r>
      <w:r w:rsidR="00CA2D6E">
        <w:rPr>
          <w:rFonts w:hint="cs"/>
          <w:rtl/>
          <w:lang w:bidi="ar-EG"/>
        </w:rPr>
        <w:t>ً</w:t>
      </w:r>
      <w:r>
        <w:rPr>
          <w:rtl/>
          <w:lang w:bidi="ar-EG"/>
        </w:rPr>
        <w:t xml:space="preserve"> من الوقت لاستعراض الاقتراح</w:t>
      </w:r>
      <w:r w:rsidR="00CA2D6E">
        <w:rPr>
          <w:rFonts w:hint="cs"/>
          <w:rtl/>
          <w:lang w:bidi="ar-EG"/>
        </w:rPr>
        <w:t>،</w:t>
      </w:r>
      <w:r>
        <w:rPr>
          <w:rtl/>
          <w:lang w:bidi="ar-EG"/>
        </w:rPr>
        <w:t xml:space="preserve"> واقترح البعض توسيع موضوع الدراسة ليشمل فناني الأداء السمعي البصري.  وسيناقش الاقتراح بمزيد من التفصيل في الاجتماع المقبل للجنة</w:t>
      </w:r>
      <w:r w:rsidR="00CA2D6E">
        <w:rPr>
          <w:rFonts w:hint="cs"/>
          <w:rtl/>
          <w:lang w:bidi="ar-EG"/>
        </w:rPr>
        <w:t>.</w:t>
      </w:r>
    </w:p>
    <w:p w14:paraId="42197ACA" w14:textId="3FF1C3C1" w:rsidR="00643E21" w:rsidRDefault="00643E21" w:rsidP="00276E41">
      <w:pPr>
        <w:pStyle w:val="ONUMA"/>
        <w:rPr>
          <w:rtl/>
          <w:lang w:bidi="ar-EG"/>
        </w:rPr>
      </w:pPr>
      <w:r>
        <w:rPr>
          <w:rtl/>
          <w:lang w:bidi="ar-EG"/>
        </w:rPr>
        <w:t xml:space="preserve">وقدمت المجموعة باء </w:t>
      </w:r>
      <w:r w:rsidR="00CA2D6E">
        <w:rPr>
          <w:rFonts w:hint="cs"/>
          <w:rtl/>
          <w:lang w:bidi="ar-EG"/>
        </w:rPr>
        <w:t>"</w:t>
      </w:r>
      <w:r w:rsidR="00CA2D6E" w:rsidRPr="00CA2D6E">
        <w:rPr>
          <w:rtl/>
          <w:lang w:bidi="ar-EG"/>
        </w:rPr>
        <w:t>اقتراح عقد جلسة إعلامية بشأن الذكاء الاصطناعي التوليدي وحق المؤلف</w:t>
      </w:r>
      <w:r w:rsidR="00CA2D6E">
        <w:rPr>
          <w:rFonts w:hint="cs"/>
          <w:rtl/>
          <w:lang w:bidi="ar-EG"/>
        </w:rPr>
        <w:t xml:space="preserve">" </w:t>
      </w:r>
      <w:r>
        <w:rPr>
          <w:rtl/>
          <w:lang w:bidi="ar-EG"/>
        </w:rPr>
        <w:t xml:space="preserve">(الوثيقة </w:t>
      </w:r>
      <w:r>
        <w:rPr>
          <w:lang w:bidi="ar-EG"/>
        </w:rPr>
        <w:t>SCCR/44/8</w:t>
      </w:r>
      <w:r>
        <w:rPr>
          <w:rtl/>
          <w:lang w:bidi="ar-EG"/>
        </w:rPr>
        <w:t>).  ورحب بعض أعضاء اللجنة بالاقتراح، في حين طلب بعض الأعضاء مزيدا</w:t>
      </w:r>
      <w:r w:rsidR="00CA2D6E">
        <w:rPr>
          <w:rFonts w:hint="cs"/>
          <w:rtl/>
          <w:lang w:bidi="ar-EG"/>
        </w:rPr>
        <w:t>ً</w:t>
      </w:r>
      <w:r>
        <w:rPr>
          <w:rtl/>
          <w:lang w:bidi="ar-EG"/>
        </w:rPr>
        <w:t xml:space="preserve"> من الوقت لاستعراض الاقتراح</w:t>
      </w:r>
      <w:r w:rsidR="00CA2D6E">
        <w:rPr>
          <w:rFonts w:hint="cs"/>
          <w:rtl/>
          <w:lang w:bidi="ar-EG"/>
        </w:rPr>
        <w:t>،</w:t>
      </w:r>
      <w:r>
        <w:rPr>
          <w:rtl/>
          <w:lang w:bidi="ar-EG"/>
        </w:rPr>
        <w:t xml:space="preserve"> واقترح البعض إدراج الموضوع تحت حق المؤلف في البيئة الرقمية</w:t>
      </w:r>
      <w:r w:rsidR="00CA2D6E">
        <w:rPr>
          <w:rFonts w:hint="cs"/>
          <w:rtl/>
          <w:lang w:bidi="ar-EG"/>
        </w:rPr>
        <w:t>.</w:t>
      </w:r>
    </w:p>
    <w:p w14:paraId="1D24410F" w14:textId="4A738506" w:rsidR="00643E21" w:rsidRDefault="00643E21" w:rsidP="00276E41">
      <w:pPr>
        <w:pStyle w:val="ONUMA"/>
        <w:rPr>
          <w:rtl/>
          <w:lang w:bidi="ar-EG"/>
        </w:rPr>
      </w:pPr>
      <w:r>
        <w:rPr>
          <w:rtl/>
          <w:lang w:bidi="ar-EG"/>
        </w:rPr>
        <w:t>و</w:t>
      </w:r>
      <w:r w:rsidR="00CA2D6E">
        <w:rPr>
          <w:rtl/>
          <w:lang w:bidi="ar-EG"/>
        </w:rPr>
        <w:t>قدمت الأمانة تحديثا</w:t>
      </w:r>
      <w:r w:rsidR="00CA2D6E">
        <w:rPr>
          <w:rFonts w:hint="cs"/>
          <w:rtl/>
          <w:lang w:bidi="ar-EG"/>
        </w:rPr>
        <w:t>ً</w:t>
      </w:r>
      <w:r w:rsidR="00CA2D6E">
        <w:rPr>
          <w:rtl/>
          <w:lang w:bidi="ar-EG"/>
        </w:rPr>
        <w:t xml:space="preserve"> موجزا</w:t>
      </w:r>
      <w:r w:rsidR="00CA2D6E">
        <w:rPr>
          <w:rFonts w:hint="cs"/>
          <w:rtl/>
          <w:lang w:bidi="ar-EG"/>
        </w:rPr>
        <w:t>ً</w:t>
      </w:r>
      <w:r w:rsidR="00CA2D6E">
        <w:rPr>
          <w:rtl/>
          <w:lang w:bidi="ar-EG"/>
        </w:rPr>
        <w:t xml:space="preserve"> عن حالة العمل الجاري </w:t>
      </w:r>
      <w:r>
        <w:rPr>
          <w:rtl/>
          <w:lang w:bidi="ar-EG"/>
        </w:rPr>
        <w:t xml:space="preserve">فيما يتعلق بموضوعات حق </w:t>
      </w:r>
      <w:r w:rsidR="00CA2D6E" w:rsidRPr="00CA2D6E">
        <w:rPr>
          <w:rtl/>
          <w:lang w:bidi="ar-EG"/>
        </w:rPr>
        <w:t>التتبع</w:t>
      </w:r>
      <w:r>
        <w:rPr>
          <w:rtl/>
          <w:lang w:bidi="ar-EG"/>
        </w:rPr>
        <w:t>، وتعزيز حماية حقوق مخرجي المسرح، وحق الإعارة للجمهور</w:t>
      </w:r>
      <w:r w:rsidR="00CA2D6E">
        <w:rPr>
          <w:rFonts w:hint="cs"/>
          <w:rtl/>
          <w:lang w:bidi="ar-EG"/>
        </w:rPr>
        <w:t>.</w:t>
      </w:r>
    </w:p>
    <w:p w14:paraId="4DF83202" w14:textId="5FB31D35" w:rsidR="00643E21" w:rsidRDefault="00643E21" w:rsidP="00276E41">
      <w:pPr>
        <w:pStyle w:val="ONUMA"/>
        <w:rPr>
          <w:rtl/>
          <w:lang w:bidi="ar-EG"/>
        </w:rPr>
      </w:pPr>
      <w:r>
        <w:rPr>
          <w:rtl/>
          <w:lang w:bidi="ar-EG"/>
        </w:rPr>
        <w:t xml:space="preserve">وفي ضوء المناقشة العامة بشأن حق المؤلف في البيئة الرقمية والتأثير المتزايد للذكاء الاصطناعي على الصناعات الإبداعية، تدعو اللجنة الأمانة إلى تنظيم جلسة إعلامية بشأن الفرص والتحديات التي </w:t>
      </w:r>
      <w:r w:rsidR="00CA2D6E">
        <w:rPr>
          <w:rFonts w:hint="cs"/>
          <w:rtl/>
          <w:lang w:bidi="ar-EG"/>
        </w:rPr>
        <w:t>ي</w:t>
      </w:r>
      <w:r>
        <w:rPr>
          <w:rtl/>
          <w:lang w:bidi="ar-EG"/>
        </w:rPr>
        <w:t>ثيرها الذكاء الاصطناعي التوليدي من حيث صلتها بحق المؤلف.  وستعقد الجلسة الإعلامية كجزء من بند جدول الأعمال المتعلق بحق المؤلف في البيئة الرقمية في الاجتماع المقبل للجنة.</w:t>
      </w:r>
    </w:p>
    <w:p w14:paraId="25CF56EB" w14:textId="34AC7920" w:rsidR="00643E21" w:rsidRDefault="00643E21" w:rsidP="00276E41">
      <w:pPr>
        <w:pStyle w:val="ONUMA"/>
        <w:rPr>
          <w:rtl/>
          <w:lang w:bidi="ar-EG"/>
        </w:rPr>
      </w:pPr>
      <w:r>
        <w:rPr>
          <w:rtl/>
          <w:lang w:bidi="ar-EG"/>
        </w:rPr>
        <w:t>وسي</w:t>
      </w:r>
      <w:r w:rsidR="006258F5">
        <w:rPr>
          <w:rFonts w:hint="cs"/>
          <w:rtl/>
          <w:lang w:bidi="ar-EG"/>
        </w:rPr>
        <w:t>ظل بند "</w:t>
      </w:r>
      <w:r>
        <w:rPr>
          <w:rtl/>
          <w:lang w:bidi="ar-EG"/>
        </w:rPr>
        <w:t>مسائل أخرى</w:t>
      </w:r>
      <w:r w:rsidR="006258F5">
        <w:rPr>
          <w:rFonts w:hint="cs"/>
          <w:rtl/>
          <w:lang w:bidi="ar-EG"/>
        </w:rPr>
        <w:t>"</w:t>
      </w:r>
      <w:r>
        <w:rPr>
          <w:rtl/>
          <w:lang w:bidi="ar-EG"/>
        </w:rPr>
        <w:t xml:space="preserve"> </w:t>
      </w:r>
      <w:r w:rsidR="006258F5">
        <w:rPr>
          <w:rFonts w:hint="cs"/>
          <w:rtl/>
          <w:lang w:bidi="ar-EG"/>
        </w:rPr>
        <w:t xml:space="preserve">مدرجاً </w:t>
      </w:r>
      <w:r>
        <w:rPr>
          <w:rtl/>
          <w:lang w:bidi="ar-EG"/>
        </w:rPr>
        <w:t>على جدول أعمال الدورة الخامسة والأربعين للجنة.</w:t>
      </w:r>
    </w:p>
    <w:p w14:paraId="3916C193" w14:textId="77777777" w:rsidR="00643E21" w:rsidRPr="006258F5" w:rsidRDefault="00643E21" w:rsidP="006258F5">
      <w:pPr>
        <w:pStyle w:val="Heading2"/>
        <w:spacing w:before="0" w:after="240"/>
        <w:rPr>
          <w:i/>
          <w:iCs w:val="0"/>
          <w:sz w:val="24"/>
          <w:szCs w:val="24"/>
          <w:rtl/>
          <w:lang w:val="fr-CH" w:bidi="ar-SY"/>
        </w:rPr>
      </w:pPr>
      <w:r w:rsidRPr="006258F5">
        <w:rPr>
          <w:i/>
          <w:iCs w:val="0"/>
          <w:sz w:val="24"/>
          <w:szCs w:val="24"/>
          <w:rtl/>
          <w:lang w:val="fr-CH" w:bidi="ar-SY"/>
        </w:rPr>
        <w:t>ملخص الرئيس</w:t>
      </w:r>
    </w:p>
    <w:p w14:paraId="42F83CE5" w14:textId="4C907B75" w:rsidR="00643E21" w:rsidRDefault="006258F5" w:rsidP="00276E41">
      <w:pPr>
        <w:pStyle w:val="ONUMA"/>
        <w:rPr>
          <w:rtl/>
          <w:lang w:bidi="ar-EG"/>
        </w:rPr>
      </w:pPr>
      <w:r w:rsidRPr="006258F5">
        <w:rPr>
          <w:rtl/>
          <w:lang w:bidi="ar-EG"/>
        </w:rPr>
        <w:t xml:space="preserve">أحاطت اللجنة علماً بمضمون هذا الملخص الذي أعده الرئيس. وأوضح الرئيس أن هذا الملخص يبلور آراء الرئيس بشأن نتائج الدورة </w:t>
      </w:r>
      <w:r>
        <w:rPr>
          <w:rtl/>
          <w:lang w:bidi="ar-EG"/>
        </w:rPr>
        <w:t xml:space="preserve">الرابعة </w:t>
      </w:r>
      <w:r w:rsidRPr="006258F5">
        <w:rPr>
          <w:rtl/>
          <w:lang w:bidi="ar-EG"/>
        </w:rPr>
        <w:t>والأربعين للجنة حق المؤلف، لذا فإنه لا يخضع لموافقة اللجنة.</w:t>
      </w:r>
    </w:p>
    <w:p w14:paraId="34BD4F72" w14:textId="77777777" w:rsidR="00643E21" w:rsidRPr="006258F5" w:rsidRDefault="00643E21" w:rsidP="006258F5">
      <w:pPr>
        <w:pStyle w:val="Heading2"/>
        <w:spacing w:before="0" w:after="240"/>
        <w:rPr>
          <w:i/>
          <w:iCs w:val="0"/>
          <w:sz w:val="24"/>
          <w:szCs w:val="24"/>
          <w:rtl/>
          <w:lang w:val="fr-CH" w:bidi="ar-SY"/>
        </w:rPr>
      </w:pPr>
      <w:r w:rsidRPr="006258F5">
        <w:rPr>
          <w:i/>
          <w:iCs w:val="0"/>
          <w:sz w:val="24"/>
          <w:szCs w:val="24"/>
          <w:rtl/>
          <w:lang w:val="fr-CH" w:bidi="ar-SY"/>
        </w:rPr>
        <w:t>البند 9 من جدول الأعمال: اختتام الدورة</w:t>
      </w:r>
    </w:p>
    <w:p w14:paraId="013302A3" w14:textId="7B384805" w:rsidR="00643E21" w:rsidRDefault="00643E21" w:rsidP="00276E41">
      <w:pPr>
        <w:pStyle w:val="ONUMA"/>
        <w:rPr>
          <w:rtl/>
          <w:lang w:bidi="ar-EG"/>
        </w:rPr>
      </w:pPr>
      <w:r>
        <w:rPr>
          <w:rtl/>
          <w:lang w:bidi="ar-EG"/>
        </w:rPr>
        <w:t>فيما يتعلق بالاجتماعات المقبلة، أعرب بعض الأعضاء عن تفضيلهم أن تعود اللجنة إلى نمط دورتين في السنة التقويمية، بينما ل</w:t>
      </w:r>
      <w:r w:rsidR="00D96B4C">
        <w:rPr>
          <w:rFonts w:hint="cs"/>
          <w:rtl/>
          <w:lang w:bidi="ar-EG"/>
        </w:rPr>
        <w:t>م</w:t>
      </w:r>
      <w:r>
        <w:rPr>
          <w:rtl/>
          <w:lang w:bidi="ar-EG"/>
        </w:rPr>
        <w:t xml:space="preserve"> يشاطر البعض هذا الرأي</w:t>
      </w:r>
      <w:r w:rsidR="006258F5">
        <w:rPr>
          <w:rFonts w:hint="cs"/>
          <w:rtl/>
          <w:lang w:bidi="ar-EG"/>
        </w:rPr>
        <w:t>.</w:t>
      </w:r>
    </w:p>
    <w:p w14:paraId="1229C722" w14:textId="4B857CF3" w:rsidR="00643E21" w:rsidRDefault="00643E21" w:rsidP="00276E41">
      <w:pPr>
        <w:pStyle w:val="ONUMA"/>
        <w:rPr>
          <w:rtl/>
          <w:lang w:bidi="ar-EG"/>
        </w:rPr>
      </w:pPr>
      <w:r>
        <w:rPr>
          <w:rtl/>
          <w:lang w:bidi="ar-EG"/>
        </w:rPr>
        <w:t>ودع</w:t>
      </w:r>
      <w:r w:rsidR="00D96B4C">
        <w:rPr>
          <w:rFonts w:hint="cs"/>
          <w:rtl/>
          <w:lang w:bidi="ar-EG"/>
        </w:rPr>
        <w:t xml:space="preserve">ا </w:t>
      </w:r>
      <w:r>
        <w:rPr>
          <w:rtl/>
          <w:lang w:bidi="ar-EG"/>
        </w:rPr>
        <w:t>الرئيس منسقي المجموعات والدول الأعضاء المهتمة إلى العمل مع الرئيس</w:t>
      </w:r>
      <w:r w:rsidR="00D96B4C">
        <w:rPr>
          <w:rFonts w:hint="cs"/>
          <w:rtl/>
          <w:lang w:bidi="ar-EG"/>
        </w:rPr>
        <w:t>ة</w:t>
      </w:r>
      <w:r>
        <w:rPr>
          <w:rtl/>
          <w:lang w:bidi="ar-EG"/>
        </w:rPr>
        <w:t xml:space="preserve"> القادم</w:t>
      </w:r>
      <w:r w:rsidR="00D96B4C">
        <w:rPr>
          <w:rFonts w:hint="cs"/>
          <w:rtl/>
          <w:lang w:bidi="ar-EG"/>
        </w:rPr>
        <w:t>ة</w:t>
      </w:r>
      <w:r>
        <w:rPr>
          <w:rtl/>
          <w:lang w:bidi="ar-EG"/>
        </w:rPr>
        <w:t xml:space="preserve"> والأمانة لتوضيح وتأكيد </w:t>
      </w:r>
      <w:r w:rsidR="00D96B4C">
        <w:rPr>
          <w:rFonts w:hint="cs"/>
          <w:rtl/>
          <w:lang w:bidi="ar-EG"/>
        </w:rPr>
        <w:t xml:space="preserve">منهجيات </w:t>
      </w:r>
      <w:r>
        <w:rPr>
          <w:rtl/>
          <w:lang w:bidi="ar-EG"/>
        </w:rPr>
        <w:t xml:space="preserve">المناقشات </w:t>
      </w:r>
      <w:r w:rsidR="00D96B4C">
        <w:rPr>
          <w:rFonts w:hint="cs"/>
          <w:rtl/>
          <w:lang w:bidi="ar-EG"/>
        </w:rPr>
        <w:t xml:space="preserve">بخلاف الجلسات </w:t>
      </w:r>
      <w:r>
        <w:rPr>
          <w:rtl/>
          <w:lang w:bidi="ar-EG"/>
        </w:rPr>
        <w:t>العامة للمضي قدما</w:t>
      </w:r>
      <w:r w:rsidR="00D96B4C">
        <w:rPr>
          <w:rFonts w:hint="cs"/>
          <w:rtl/>
          <w:lang w:bidi="ar-EG"/>
        </w:rPr>
        <w:t>ً</w:t>
      </w:r>
      <w:r>
        <w:rPr>
          <w:rtl/>
          <w:lang w:bidi="ar-EG"/>
        </w:rPr>
        <w:t>.  وينبغي إبلاغ نتائج هذه المناقشات بوضوح إلى اللجنة والمراقبين قبل الاجتماع المقبل للجنة.</w:t>
      </w:r>
    </w:p>
    <w:p w14:paraId="280EE9AB" w14:textId="622EB621" w:rsidR="00643E21" w:rsidRDefault="00643E21" w:rsidP="00276E41">
      <w:pPr>
        <w:pStyle w:val="ONUMA"/>
        <w:rPr>
          <w:rtl/>
          <w:lang w:bidi="ar-EG"/>
        </w:rPr>
      </w:pPr>
      <w:r>
        <w:rPr>
          <w:rtl/>
          <w:lang w:bidi="ar-EG"/>
        </w:rPr>
        <w:t xml:space="preserve">وبالنسبة للدورة المقبلة للجنة، ينبغي تقسيم الوقت لمدة أربعة أيام ونصف بالتساوي بين </w:t>
      </w:r>
      <w:r w:rsidR="00D96B4C">
        <w:rPr>
          <w:rFonts w:hint="cs"/>
          <w:rtl/>
          <w:lang w:bidi="ar-EG"/>
        </w:rPr>
        <w:t xml:space="preserve">مسائل </w:t>
      </w:r>
      <w:r>
        <w:rPr>
          <w:rtl/>
          <w:lang w:bidi="ar-EG"/>
        </w:rPr>
        <w:t>البث والتقييدات والاستثناءات والمسائل الأخرى، بما في ذلك حق المؤلف في البيئة الرقمية وحق ال</w:t>
      </w:r>
      <w:r w:rsidR="00D96B4C">
        <w:rPr>
          <w:rFonts w:hint="cs"/>
          <w:rtl/>
          <w:lang w:bidi="ar-EG"/>
        </w:rPr>
        <w:t>تت</w:t>
      </w:r>
      <w:r>
        <w:rPr>
          <w:rtl/>
          <w:lang w:bidi="ar-EG"/>
        </w:rPr>
        <w:t xml:space="preserve">بع </w:t>
      </w:r>
      <w:r w:rsidR="00D96B4C">
        <w:rPr>
          <w:rFonts w:hint="cs"/>
          <w:rtl/>
          <w:lang w:bidi="ar-EG"/>
        </w:rPr>
        <w:t>و</w:t>
      </w:r>
      <w:r w:rsidR="00D96B4C">
        <w:rPr>
          <w:rtl/>
          <w:lang w:bidi="ar-EG"/>
        </w:rPr>
        <w:t xml:space="preserve">حقوق مخرجي المسرح </w:t>
      </w:r>
      <w:r>
        <w:rPr>
          <w:rtl/>
          <w:lang w:bidi="ar-EG"/>
        </w:rPr>
        <w:t>وحق الإعارة ل</w:t>
      </w:r>
      <w:r w:rsidR="00D96B4C">
        <w:rPr>
          <w:rFonts w:hint="cs"/>
          <w:rtl/>
          <w:lang w:bidi="ar-EG"/>
        </w:rPr>
        <w:t>لجمهور</w:t>
      </w:r>
      <w:r>
        <w:rPr>
          <w:rtl/>
          <w:lang w:bidi="ar-EG"/>
        </w:rPr>
        <w:t>، بعد معالجة بنود جدول الأعمال الإدارية الأولية</w:t>
      </w:r>
      <w:r w:rsidR="00D96B4C">
        <w:rPr>
          <w:rFonts w:hint="cs"/>
          <w:rtl/>
          <w:lang w:bidi="ar-EG"/>
        </w:rPr>
        <w:t>.</w:t>
      </w:r>
    </w:p>
    <w:p w14:paraId="19B84EDC" w14:textId="77777777" w:rsidR="008E4690" w:rsidRDefault="00A96190" w:rsidP="00A96190">
      <w:pPr>
        <w:pStyle w:val="Endofdocument-Annex"/>
      </w:pPr>
      <w:r>
        <w:rPr>
          <w:rFonts w:hint="cs"/>
          <w:rtl/>
        </w:rPr>
        <w:t>[نهاية الوثيقة]</w:t>
      </w:r>
    </w:p>
    <w:sectPr w:rsidR="008E4690" w:rsidSect="00CC3E2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457F" w14:textId="77777777" w:rsidR="003140D1" w:rsidRDefault="003140D1">
      <w:r>
        <w:separator/>
      </w:r>
    </w:p>
  </w:endnote>
  <w:endnote w:type="continuationSeparator" w:id="0">
    <w:p w14:paraId="19170C2B" w14:textId="77777777" w:rsidR="003140D1" w:rsidRDefault="003140D1" w:rsidP="003B38C1">
      <w:r>
        <w:separator/>
      </w:r>
    </w:p>
    <w:p w14:paraId="243A843F" w14:textId="77777777" w:rsidR="003140D1" w:rsidRPr="003B38C1" w:rsidRDefault="003140D1" w:rsidP="003B38C1">
      <w:pPr>
        <w:spacing w:after="60"/>
        <w:rPr>
          <w:sz w:val="17"/>
        </w:rPr>
      </w:pPr>
      <w:r>
        <w:rPr>
          <w:sz w:val="17"/>
        </w:rPr>
        <w:t>[Endnote continued from previous page]</w:t>
      </w:r>
    </w:p>
  </w:endnote>
  <w:endnote w:type="continuationNotice" w:id="1">
    <w:p w14:paraId="5F47BDE9" w14:textId="77777777" w:rsidR="003140D1" w:rsidRPr="003B38C1" w:rsidRDefault="003140D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EA7B" w14:textId="77777777" w:rsidR="00D96B4C" w:rsidRDefault="00D9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E017" w14:textId="77777777" w:rsidR="00D96B4C" w:rsidRDefault="00D96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9641" w14:textId="77777777" w:rsidR="00D96B4C" w:rsidRDefault="00D96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4827" w14:textId="77777777" w:rsidR="003140D1" w:rsidRDefault="003140D1">
      <w:r>
        <w:separator/>
      </w:r>
    </w:p>
  </w:footnote>
  <w:footnote w:type="continuationSeparator" w:id="0">
    <w:p w14:paraId="741E57A3" w14:textId="77777777" w:rsidR="003140D1" w:rsidRDefault="003140D1" w:rsidP="008B60B2">
      <w:r>
        <w:separator/>
      </w:r>
    </w:p>
    <w:p w14:paraId="4B150891" w14:textId="77777777" w:rsidR="003140D1" w:rsidRPr="00ED77FB" w:rsidRDefault="003140D1" w:rsidP="008B60B2">
      <w:pPr>
        <w:spacing w:after="60"/>
        <w:rPr>
          <w:sz w:val="17"/>
          <w:szCs w:val="17"/>
        </w:rPr>
      </w:pPr>
      <w:r w:rsidRPr="00ED77FB">
        <w:rPr>
          <w:sz w:val="17"/>
          <w:szCs w:val="17"/>
        </w:rPr>
        <w:t>[Footnote continued from previous page]</w:t>
      </w:r>
    </w:p>
  </w:footnote>
  <w:footnote w:type="continuationNotice" w:id="1">
    <w:p w14:paraId="0BF3DB8B" w14:textId="77777777" w:rsidR="003140D1" w:rsidRPr="00ED77FB" w:rsidRDefault="003140D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ECA" w14:textId="77777777" w:rsidR="00D96B4C" w:rsidRDefault="00D96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F944" w14:textId="32C76CB7" w:rsidR="00D07C78" w:rsidRPr="002326AB" w:rsidRDefault="00361738" w:rsidP="00361738">
    <w:pPr>
      <w:bidi w:val="0"/>
      <w:rPr>
        <w:caps/>
      </w:rPr>
    </w:pPr>
    <w:r>
      <w:t>SCCR/44/</w:t>
    </w:r>
    <w:r w:rsidR="00D96B4C">
      <w:t>Summary</w:t>
    </w:r>
  </w:p>
  <w:p w14:paraId="4A429DF6" w14:textId="77777777" w:rsidR="00D07C78" w:rsidRDefault="00D07C78" w:rsidP="00210D5F">
    <w:pPr>
      <w:bidi w:val="0"/>
    </w:pPr>
    <w:r>
      <w:fldChar w:fldCharType="begin"/>
    </w:r>
    <w:r>
      <w:instrText xml:space="preserve"> PAGE  \* MERGEFORMAT </w:instrText>
    </w:r>
    <w:r>
      <w:fldChar w:fldCharType="separate"/>
    </w:r>
    <w:r w:rsidR="00582A90">
      <w:rPr>
        <w:noProof/>
      </w:rPr>
      <w:t>2</w:t>
    </w:r>
    <w:r>
      <w:fldChar w:fldCharType="end"/>
    </w:r>
  </w:p>
  <w:p w14:paraId="78B2D4BC" w14:textId="77777777" w:rsidR="00D07C78" w:rsidRDefault="00D07C78" w:rsidP="00210D5F">
    <w:pPr>
      <w:bidi w:val="0"/>
    </w:pPr>
  </w:p>
  <w:p w14:paraId="7F981F7D"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58D3" w14:textId="77777777" w:rsidR="00D96B4C" w:rsidRDefault="00D96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1D0604"/>
    <w:multiLevelType w:val="hybridMultilevel"/>
    <w:tmpl w:val="5CA8F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9246AAF"/>
    <w:multiLevelType w:val="hybridMultilevel"/>
    <w:tmpl w:val="2AF08396"/>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427174">
    <w:abstractNumId w:val="3"/>
  </w:num>
  <w:num w:numId="2" w16cid:durableId="1997145201">
    <w:abstractNumId w:val="7"/>
  </w:num>
  <w:num w:numId="3" w16cid:durableId="476654795">
    <w:abstractNumId w:val="0"/>
  </w:num>
  <w:num w:numId="4" w16cid:durableId="748886318">
    <w:abstractNumId w:val="8"/>
  </w:num>
  <w:num w:numId="5" w16cid:durableId="1376857877">
    <w:abstractNumId w:val="2"/>
  </w:num>
  <w:num w:numId="6" w16cid:durableId="554510659">
    <w:abstractNumId w:val="4"/>
  </w:num>
  <w:num w:numId="7" w16cid:durableId="1343126464">
    <w:abstractNumId w:val="9"/>
  </w:num>
  <w:num w:numId="8" w16cid:durableId="289827410">
    <w:abstractNumId w:val="5"/>
  </w:num>
  <w:num w:numId="9" w16cid:durableId="12652256">
    <w:abstractNumId w:val="10"/>
  </w:num>
  <w:num w:numId="10" w16cid:durableId="76833511">
    <w:abstractNumId w:val="9"/>
  </w:num>
  <w:num w:numId="11" w16cid:durableId="1762337938">
    <w:abstractNumId w:val="9"/>
  </w:num>
  <w:num w:numId="12" w16cid:durableId="830559528">
    <w:abstractNumId w:val="6"/>
  </w:num>
  <w:num w:numId="13" w16cid:durableId="209272762">
    <w:abstractNumId w:val="9"/>
  </w:num>
  <w:num w:numId="14" w16cid:durableId="2004621721">
    <w:abstractNumId w:val="9"/>
  </w:num>
  <w:num w:numId="15" w16cid:durableId="1467621931">
    <w:abstractNumId w:val="9"/>
  </w:num>
  <w:num w:numId="16" w16cid:durableId="968366292">
    <w:abstractNumId w:val="9"/>
  </w:num>
  <w:num w:numId="17" w16cid:durableId="1480920197">
    <w:abstractNumId w:val="9"/>
  </w:num>
  <w:num w:numId="18" w16cid:durableId="885336666">
    <w:abstractNumId w:val="9"/>
  </w:num>
  <w:num w:numId="19" w16cid:durableId="484515895">
    <w:abstractNumId w:val="9"/>
    <w:lvlOverride w:ilvl="0">
      <w:startOverride w:val="1"/>
    </w:lvlOverride>
  </w:num>
  <w:num w:numId="20" w16cid:durableId="266012310">
    <w:abstractNumId w:val="9"/>
  </w:num>
  <w:num w:numId="21" w16cid:durableId="606930699">
    <w:abstractNumId w:val="9"/>
  </w:num>
  <w:num w:numId="22" w16cid:durableId="1524785022">
    <w:abstractNumId w:val="9"/>
  </w:num>
  <w:num w:numId="23" w16cid:durableId="1114636976">
    <w:abstractNumId w:val="9"/>
  </w:num>
  <w:num w:numId="24" w16cid:durableId="58519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928"/>
    <w:rsid w:val="00043CAA"/>
    <w:rsid w:val="00056816"/>
    <w:rsid w:val="000628E3"/>
    <w:rsid w:val="00075432"/>
    <w:rsid w:val="000968ED"/>
    <w:rsid w:val="000A3D97"/>
    <w:rsid w:val="000F5E56"/>
    <w:rsid w:val="001362EE"/>
    <w:rsid w:val="001406E1"/>
    <w:rsid w:val="00155D8A"/>
    <w:rsid w:val="001647D5"/>
    <w:rsid w:val="001832A6"/>
    <w:rsid w:val="00194CAA"/>
    <w:rsid w:val="0019592A"/>
    <w:rsid w:val="001D4107"/>
    <w:rsid w:val="00203D24"/>
    <w:rsid w:val="00210D5F"/>
    <w:rsid w:val="0021217E"/>
    <w:rsid w:val="002326AB"/>
    <w:rsid w:val="00243430"/>
    <w:rsid w:val="002634C4"/>
    <w:rsid w:val="00276E41"/>
    <w:rsid w:val="002928D3"/>
    <w:rsid w:val="002F1FE6"/>
    <w:rsid w:val="002F4E68"/>
    <w:rsid w:val="00312F7F"/>
    <w:rsid w:val="003140D1"/>
    <w:rsid w:val="00361450"/>
    <w:rsid w:val="00361738"/>
    <w:rsid w:val="003673CF"/>
    <w:rsid w:val="00380928"/>
    <w:rsid w:val="003845C1"/>
    <w:rsid w:val="00390C40"/>
    <w:rsid w:val="003A6F89"/>
    <w:rsid w:val="003B17AD"/>
    <w:rsid w:val="003B355C"/>
    <w:rsid w:val="003B38C1"/>
    <w:rsid w:val="003C34E9"/>
    <w:rsid w:val="00423E3E"/>
    <w:rsid w:val="00427AF4"/>
    <w:rsid w:val="004647DA"/>
    <w:rsid w:val="00474062"/>
    <w:rsid w:val="00477D6B"/>
    <w:rsid w:val="004E0058"/>
    <w:rsid w:val="005019FF"/>
    <w:rsid w:val="0053057A"/>
    <w:rsid w:val="00556076"/>
    <w:rsid w:val="00560A29"/>
    <w:rsid w:val="00582A90"/>
    <w:rsid w:val="0059111F"/>
    <w:rsid w:val="005C6649"/>
    <w:rsid w:val="005D0D50"/>
    <w:rsid w:val="005E7B89"/>
    <w:rsid w:val="00605827"/>
    <w:rsid w:val="006258F5"/>
    <w:rsid w:val="00643E21"/>
    <w:rsid w:val="00646050"/>
    <w:rsid w:val="006713CA"/>
    <w:rsid w:val="00676C5C"/>
    <w:rsid w:val="006B5C12"/>
    <w:rsid w:val="00720EFD"/>
    <w:rsid w:val="007722B0"/>
    <w:rsid w:val="007854AF"/>
    <w:rsid w:val="00793A7C"/>
    <w:rsid w:val="007A398A"/>
    <w:rsid w:val="007C4902"/>
    <w:rsid w:val="007D1613"/>
    <w:rsid w:val="007E4C0E"/>
    <w:rsid w:val="007F2029"/>
    <w:rsid w:val="008A134B"/>
    <w:rsid w:val="008B2CC1"/>
    <w:rsid w:val="008B60B2"/>
    <w:rsid w:val="008E4690"/>
    <w:rsid w:val="0090731E"/>
    <w:rsid w:val="00916EE2"/>
    <w:rsid w:val="00944B2C"/>
    <w:rsid w:val="00966A22"/>
    <w:rsid w:val="0096722F"/>
    <w:rsid w:val="00980843"/>
    <w:rsid w:val="009B0855"/>
    <w:rsid w:val="009C29FB"/>
    <w:rsid w:val="009E2791"/>
    <w:rsid w:val="009E3F6F"/>
    <w:rsid w:val="009F499F"/>
    <w:rsid w:val="00A37342"/>
    <w:rsid w:val="00A42DAF"/>
    <w:rsid w:val="00A45BD8"/>
    <w:rsid w:val="00A55395"/>
    <w:rsid w:val="00A869B7"/>
    <w:rsid w:val="00A90F0A"/>
    <w:rsid w:val="00A96190"/>
    <w:rsid w:val="00AC205C"/>
    <w:rsid w:val="00AF0A6B"/>
    <w:rsid w:val="00B05A69"/>
    <w:rsid w:val="00B42CA9"/>
    <w:rsid w:val="00B51FF7"/>
    <w:rsid w:val="00B75281"/>
    <w:rsid w:val="00B92F1F"/>
    <w:rsid w:val="00B9734B"/>
    <w:rsid w:val="00BA30E2"/>
    <w:rsid w:val="00C11BFE"/>
    <w:rsid w:val="00C5068F"/>
    <w:rsid w:val="00C86D74"/>
    <w:rsid w:val="00CA2D6E"/>
    <w:rsid w:val="00CA3553"/>
    <w:rsid w:val="00CB3DBA"/>
    <w:rsid w:val="00CC3E2D"/>
    <w:rsid w:val="00CD04F1"/>
    <w:rsid w:val="00CE19F8"/>
    <w:rsid w:val="00CF681A"/>
    <w:rsid w:val="00D06023"/>
    <w:rsid w:val="00D07C78"/>
    <w:rsid w:val="00D45252"/>
    <w:rsid w:val="00D60B2C"/>
    <w:rsid w:val="00D67EAE"/>
    <w:rsid w:val="00D71B4D"/>
    <w:rsid w:val="00D90B96"/>
    <w:rsid w:val="00D93D55"/>
    <w:rsid w:val="00D96B4C"/>
    <w:rsid w:val="00DB3EE6"/>
    <w:rsid w:val="00DD7B7F"/>
    <w:rsid w:val="00E038AD"/>
    <w:rsid w:val="00E15015"/>
    <w:rsid w:val="00E319DF"/>
    <w:rsid w:val="00E335FE"/>
    <w:rsid w:val="00E66CC5"/>
    <w:rsid w:val="00E71208"/>
    <w:rsid w:val="00E7374D"/>
    <w:rsid w:val="00EA1987"/>
    <w:rsid w:val="00EA7D6E"/>
    <w:rsid w:val="00EB2F76"/>
    <w:rsid w:val="00EC4E49"/>
    <w:rsid w:val="00ED77FB"/>
    <w:rsid w:val="00EE066C"/>
    <w:rsid w:val="00EE45FA"/>
    <w:rsid w:val="00F043DE"/>
    <w:rsid w:val="00F66152"/>
    <w:rsid w:val="00F9165B"/>
    <w:rsid w:val="00FC482F"/>
    <w:rsid w:val="00FD023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ED853"/>
  <w15:docId w15:val="{D3CEDF2B-7B54-4E14-9ECD-17B6EC3B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rsid w:val="00276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15D2-4939-40B9-92C3-8F0B4219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SCCR/44/1 Prov.</vt:lpstr>
    </vt:vector>
  </TitlesOfParts>
  <Company>WIPO</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SCCR/44/1 Prov.</dc:title>
  <dc:creator>MERZOUK Fawzi</dc:creator>
  <cp:keywords>FOR OFFICIAL USE ONLY</cp:keywords>
  <cp:lastModifiedBy>HAIZEL Francesca</cp:lastModifiedBy>
  <cp:revision>2</cp:revision>
  <cp:lastPrinted>2023-11-13T16:08:00Z</cp:lastPrinted>
  <dcterms:created xsi:type="dcterms:W3CDTF">2023-11-13T17:01:00Z</dcterms:created>
  <dcterms:modified xsi:type="dcterms:W3CDTF">2023-11-13T17:01:00Z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2023-06-21T10:07:39Z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93d1620d-4cec-49d2-b47a-4800449eacfa</vt:lpwstr>
  </property>
  <property fmtid="{D5CDD505-2E9C-101B-9397-08002B2CF9AE}" pid="13" name="MSIP_Label_20773ee6-353b-4fb9-a59d-0b94c8c67bea_ContentBits">
    <vt:lpwstr>0</vt:lpwstr>
  </property>
</Properties>
</file>