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B6101C" w:rsidP="00496750">
            <w:pPr>
              <w:pStyle w:val="DocumentCodeAR"/>
              <w:bidi/>
              <w:rPr>
                <w:rtl/>
              </w:rPr>
            </w:pPr>
          </w:p>
        </w:tc>
      </w:tr>
      <w:tr w:rsidR="001667B6" w:rsidTr="00BF164F">
        <w:tc>
          <w:tcPr>
            <w:tcW w:w="9571" w:type="dxa"/>
            <w:gridSpan w:val="3"/>
          </w:tcPr>
          <w:p w:rsidR="001667B6" w:rsidRPr="00B6101C" w:rsidRDefault="00B6101C" w:rsidP="00A55C96">
            <w:pPr>
              <w:pStyle w:val="DocumentLanguageAR"/>
              <w:bidi/>
              <w:rPr>
                <w:rtl/>
              </w:rPr>
            </w:pPr>
            <w:r w:rsidRPr="00B6101C">
              <w:rPr>
                <w:rFonts w:hint="cs"/>
                <w:rtl/>
              </w:rPr>
              <w:t xml:space="preserve">الأصل: </w:t>
            </w:r>
            <w:r w:rsidR="00A55C96">
              <w:rPr>
                <w:rFonts w:hint="cs"/>
                <w:rtl/>
              </w:rPr>
              <w:t>بالإنكليزية</w:t>
            </w:r>
          </w:p>
        </w:tc>
      </w:tr>
      <w:tr w:rsidR="001667B6" w:rsidTr="00BF164F">
        <w:tc>
          <w:tcPr>
            <w:tcW w:w="9571" w:type="dxa"/>
            <w:gridSpan w:val="3"/>
          </w:tcPr>
          <w:p w:rsidR="001667B6" w:rsidRPr="00B6101C" w:rsidRDefault="00B6101C" w:rsidP="00A55C96">
            <w:pPr>
              <w:pStyle w:val="DocumentDateAR"/>
              <w:bidi/>
              <w:rPr>
                <w:rtl/>
              </w:rPr>
            </w:pPr>
            <w:r w:rsidRPr="00B6101C">
              <w:rPr>
                <w:rFonts w:hint="cs"/>
                <w:rtl/>
              </w:rPr>
              <w:t xml:space="preserve">التاريخ: </w:t>
            </w:r>
            <w:r w:rsidR="00A55C96">
              <w:rPr>
                <w:rFonts w:hint="cs"/>
                <w:rtl/>
              </w:rPr>
              <w:t>1</w:t>
            </w:r>
            <w:r w:rsidRPr="00B6101C">
              <w:rPr>
                <w:rFonts w:hint="cs"/>
                <w:rtl/>
              </w:rPr>
              <w:t xml:space="preserve"> </w:t>
            </w:r>
            <w:r w:rsidR="00A55C96">
              <w:rPr>
                <w:rFonts w:hint="cs"/>
                <w:rtl/>
              </w:rPr>
              <w:t>يونيو</w:t>
            </w:r>
            <w:r w:rsidRPr="00B6101C">
              <w:rPr>
                <w:rFonts w:hint="cs"/>
                <w:rtl/>
              </w:rPr>
              <w:t xml:space="preserve"> </w:t>
            </w:r>
            <w:r w:rsidR="00E036B7">
              <w:rPr>
                <w:rFonts w:hint="cs"/>
                <w:rtl/>
              </w:rPr>
              <w:t>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40476" w:rsidP="00796CF7">
      <w:pPr>
        <w:pStyle w:val="MeetingTitleAR"/>
        <w:bidi/>
        <w:ind w:right="550"/>
        <w:rPr>
          <w:rtl/>
        </w:rPr>
      </w:pPr>
      <w:r w:rsidRPr="00F40476">
        <w:rPr>
          <w:rtl/>
        </w:rPr>
        <w:t>اللجنة الدائمة المعنية بحق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4F24AC" w:rsidP="00E036B7">
      <w:pPr>
        <w:pStyle w:val="MeetingSessionAR"/>
        <w:bidi/>
        <w:rPr>
          <w:rFonts w:ascii="Cambria Math" w:hAnsi="Cambria Math"/>
          <w:rtl/>
        </w:rPr>
      </w:pPr>
      <w:r>
        <w:rPr>
          <w:rFonts w:ascii="Cambria Math" w:hAnsi="Cambria Math"/>
          <w:rtl/>
        </w:rPr>
        <w:t xml:space="preserve">الدورة </w:t>
      </w:r>
      <w:r w:rsidR="00E036B7">
        <w:rPr>
          <w:rFonts w:ascii="Cambria Math" w:hAnsi="Cambria Math" w:hint="cs"/>
          <w:rtl/>
        </w:rPr>
        <w:t>السادسة</w:t>
      </w:r>
      <w:r w:rsidR="00F40476" w:rsidRPr="00F40476">
        <w:rPr>
          <w:rFonts w:ascii="Cambria Math" w:hAnsi="Cambria Math"/>
          <w:rtl/>
        </w:rPr>
        <w:t xml:space="preserve"> والثلاثون</w:t>
      </w:r>
    </w:p>
    <w:p w:rsidR="00D61541" w:rsidRPr="00D61541" w:rsidRDefault="00F40476" w:rsidP="00E036B7">
      <w:pPr>
        <w:pStyle w:val="MeetingDatesAR"/>
        <w:bidi/>
        <w:rPr>
          <w:rtl/>
        </w:rPr>
      </w:pPr>
      <w:r w:rsidRPr="00F40476">
        <w:rPr>
          <w:rtl/>
        </w:rPr>
        <w:t xml:space="preserve">جنيف، من </w:t>
      </w:r>
      <w:r w:rsidR="00E036B7">
        <w:rPr>
          <w:rFonts w:hint="cs"/>
          <w:rtl/>
        </w:rPr>
        <w:t>28 مايو</w:t>
      </w:r>
      <w:r w:rsidRPr="00F40476">
        <w:rPr>
          <w:rtl/>
        </w:rPr>
        <w:t xml:space="preserve"> إلى </w:t>
      </w:r>
      <w:r w:rsidR="00E036B7">
        <w:rPr>
          <w:rFonts w:hint="cs"/>
          <w:rtl/>
        </w:rPr>
        <w:t>1</w:t>
      </w:r>
      <w:r w:rsidRPr="00F40476">
        <w:rPr>
          <w:rtl/>
        </w:rPr>
        <w:t xml:space="preserve"> </w:t>
      </w:r>
      <w:r w:rsidR="00E036B7">
        <w:rPr>
          <w:rFonts w:hint="cs"/>
          <w:rtl/>
        </w:rPr>
        <w:t>يونيو</w:t>
      </w:r>
      <w:r w:rsidR="00A902C4">
        <w:rPr>
          <w:rFonts w:hint="cs"/>
          <w:rtl/>
        </w:rPr>
        <w:t xml:space="preserve"> </w:t>
      </w:r>
      <w:r w:rsidR="00E036B7">
        <w:rPr>
          <w:rFonts w:hint="cs"/>
          <w:rtl/>
        </w:rPr>
        <w:t>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55C96" w:rsidP="00FB7EC9">
      <w:pPr>
        <w:pStyle w:val="DocumentTitleAR"/>
        <w:bidi/>
        <w:rPr>
          <w:rtl/>
        </w:rPr>
      </w:pPr>
      <w:r>
        <w:rPr>
          <w:rFonts w:hint="cs"/>
          <w:rtl/>
        </w:rPr>
        <w:t>ملخص الرئيس</w:t>
      </w:r>
    </w:p>
    <w:p w:rsidR="00D61541" w:rsidRPr="00D61541" w:rsidRDefault="00D61541" w:rsidP="00931859">
      <w:pPr>
        <w:pStyle w:val="PreparedbyAR"/>
        <w:bidi/>
        <w:rPr>
          <w:rtl/>
        </w:rPr>
      </w:pPr>
    </w:p>
    <w:p w:rsidR="00A55C96" w:rsidRDefault="00A55C96">
      <w:pPr>
        <w:rPr>
          <w:rFonts w:ascii="Arabic Typesetting" w:hAnsi="Arabic Typesetting" w:cs="Arabic Typesetting"/>
          <w:sz w:val="36"/>
          <w:szCs w:val="36"/>
          <w:rtl/>
        </w:rPr>
      </w:pPr>
      <w:r>
        <w:rPr>
          <w:rtl/>
        </w:rPr>
        <w:br w:type="page"/>
      </w:r>
    </w:p>
    <w:p w:rsidR="00A55C96" w:rsidRDefault="00A55C96" w:rsidP="00A55C96">
      <w:pPr>
        <w:pStyle w:val="NormalParaAR"/>
        <w:keepNext/>
        <w:rPr>
          <w:b/>
          <w:bCs/>
          <w:sz w:val="40"/>
          <w:szCs w:val="40"/>
        </w:rPr>
      </w:pPr>
      <w:r>
        <w:rPr>
          <w:rFonts w:hint="cs"/>
          <w:b/>
          <w:bCs/>
          <w:sz w:val="40"/>
          <w:szCs w:val="40"/>
          <w:rtl/>
        </w:rPr>
        <w:lastRenderedPageBreak/>
        <w:t>البند 1 من جدول الأعمال: افتتاح الدورة</w:t>
      </w:r>
    </w:p>
    <w:p w:rsidR="00A55C96" w:rsidRPr="002F315A" w:rsidRDefault="00A55C96" w:rsidP="002F315A">
      <w:pPr>
        <w:pStyle w:val="NumberedParaAR"/>
      </w:pPr>
      <w:r w:rsidRPr="002F315A">
        <w:rPr>
          <w:rFonts w:hint="cs"/>
          <w:rtl/>
        </w:rPr>
        <w:t>افتتح</w:t>
      </w:r>
      <w:r w:rsidR="005969C9" w:rsidRPr="002F315A">
        <w:rPr>
          <w:rFonts w:hint="cs"/>
          <w:rtl/>
        </w:rPr>
        <w:t>ت</w:t>
      </w:r>
      <w:r w:rsidRPr="002F315A">
        <w:rPr>
          <w:rFonts w:hint="cs"/>
          <w:rtl/>
        </w:rPr>
        <w:t xml:space="preserve"> السيد</w:t>
      </w:r>
      <w:r w:rsidR="005969C9" w:rsidRPr="002F315A">
        <w:rPr>
          <w:rFonts w:hint="cs"/>
          <w:rtl/>
        </w:rPr>
        <w:t>ة</w:t>
      </w:r>
      <w:r w:rsidRPr="002F315A">
        <w:rPr>
          <w:rFonts w:hint="cs"/>
          <w:rtl/>
        </w:rPr>
        <w:t xml:space="preserve"> </w:t>
      </w:r>
      <w:r w:rsidR="005969C9" w:rsidRPr="002F315A">
        <w:rPr>
          <w:rFonts w:hint="cs"/>
          <w:rtl/>
        </w:rPr>
        <w:t>سيلفي</w:t>
      </w:r>
      <w:r w:rsidRPr="002F315A">
        <w:rPr>
          <w:rFonts w:hint="cs"/>
          <w:rtl/>
        </w:rPr>
        <w:t xml:space="preserve"> </w:t>
      </w:r>
      <w:r w:rsidR="005969C9" w:rsidRPr="002F315A">
        <w:rPr>
          <w:rFonts w:hint="cs"/>
          <w:rtl/>
        </w:rPr>
        <w:t>فوربان</w:t>
      </w:r>
      <w:r w:rsidRPr="002F315A">
        <w:rPr>
          <w:rFonts w:hint="cs"/>
          <w:rtl/>
        </w:rPr>
        <w:t xml:space="preserve">، </w:t>
      </w:r>
      <w:r w:rsidR="002F315A" w:rsidRPr="002F315A">
        <w:rPr>
          <w:rFonts w:hint="cs"/>
          <w:rtl/>
        </w:rPr>
        <w:t xml:space="preserve">نائبة </w:t>
      </w:r>
      <w:r w:rsidRPr="002F315A">
        <w:rPr>
          <w:rFonts w:hint="cs"/>
          <w:rtl/>
        </w:rPr>
        <w:t xml:space="preserve">المدير العام، الدورة </w:t>
      </w:r>
      <w:r w:rsidR="003E32A3" w:rsidRPr="002F315A">
        <w:rPr>
          <w:rFonts w:hint="cs"/>
          <w:rtl/>
        </w:rPr>
        <w:t>السادسة</w:t>
      </w:r>
      <w:r w:rsidRPr="002F315A">
        <w:rPr>
          <w:rFonts w:hint="cs"/>
          <w:rtl/>
        </w:rPr>
        <w:t xml:space="preserve"> والثلاثين للجنة الدائمة المعنية بحق المؤلف والحقوق المجاورة ("لجنة حق المؤلف" أو "اللجنة")، ورحّب </w:t>
      </w:r>
      <w:r w:rsidR="002F315A" w:rsidRPr="002F315A">
        <w:rPr>
          <w:rFonts w:hint="cs"/>
          <w:rtl/>
        </w:rPr>
        <w:t xml:space="preserve">السيد فرانسس غري، المدير العام، </w:t>
      </w:r>
      <w:r w:rsidRPr="002F315A">
        <w:rPr>
          <w:rFonts w:hint="cs"/>
          <w:rtl/>
        </w:rPr>
        <w:t>بالمشاركين. وتولى السيد</w:t>
      </w:r>
      <w:r w:rsidR="002F315A">
        <w:rPr>
          <w:rFonts w:hint="eastAsia"/>
          <w:rtl/>
        </w:rPr>
        <w:t> </w:t>
      </w:r>
      <w:r w:rsidRPr="002F315A">
        <w:rPr>
          <w:rFonts w:hint="cs"/>
          <w:rtl/>
        </w:rPr>
        <w:t>دارين تانغ هينغ شيم مهمة رئيس اللجنة وتولى السيد كارول كوشينيكي والسيد عبد العزيز ديينغ مهمة نائبي رئيس اللجنة. وتولت السي</w:t>
      </w:r>
      <w:r w:rsidR="002F315A">
        <w:rPr>
          <w:rFonts w:hint="cs"/>
          <w:rtl/>
        </w:rPr>
        <w:t xml:space="preserve">د ميشيل وودز (الويبو) مهمة أمين </w:t>
      </w:r>
      <w:r w:rsidRPr="002F315A">
        <w:rPr>
          <w:rFonts w:hint="cs"/>
          <w:rtl/>
        </w:rPr>
        <w:t>اللجنة.</w:t>
      </w:r>
    </w:p>
    <w:p w:rsidR="00A55C96" w:rsidRDefault="00A55C96" w:rsidP="00A55C96">
      <w:pPr>
        <w:pStyle w:val="NormalParaAR"/>
        <w:keepNext/>
        <w:rPr>
          <w:b/>
          <w:bCs/>
          <w:sz w:val="40"/>
          <w:szCs w:val="40"/>
          <w:rtl/>
        </w:rPr>
      </w:pPr>
      <w:r>
        <w:rPr>
          <w:rFonts w:hint="cs"/>
          <w:b/>
          <w:bCs/>
          <w:sz w:val="40"/>
          <w:szCs w:val="40"/>
          <w:rtl/>
        </w:rPr>
        <w:t>البند 2 من جدول الأعمال: اعتماد جدول أعمال الدورة السادسة والثلاثين</w:t>
      </w:r>
    </w:p>
    <w:p w:rsidR="00A55C96" w:rsidRPr="002F315A" w:rsidRDefault="00A55C96" w:rsidP="002F315A">
      <w:pPr>
        <w:pStyle w:val="NumberedParaAR"/>
      </w:pPr>
      <w:r w:rsidRPr="002F315A">
        <w:rPr>
          <w:rFonts w:hint="cs"/>
          <w:rtl/>
        </w:rPr>
        <w:t>اعتمدت اللجنة مشروع جدول الأعمال (الوثيقة </w:t>
      </w:r>
      <w:r w:rsidRPr="002F315A">
        <w:t>SCCR/</w:t>
      </w:r>
      <w:r w:rsidR="002F315A" w:rsidRPr="002F315A">
        <w:t>36</w:t>
      </w:r>
      <w:r w:rsidRPr="002F315A">
        <w:t>/1 PROV.</w:t>
      </w:r>
      <w:r w:rsidRPr="002F315A">
        <w:rPr>
          <w:rFonts w:hint="cs"/>
          <w:rtl/>
        </w:rPr>
        <w:t>).</w:t>
      </w:r>
    </w:p>
    <w:p w:rsidR="00A55C96" w:rsidRDefault="00A55C96" w:rsidP="00A55C96">
      <w:pPr>
        <w:pStyle w:val="NormalParaAR"/>
        <w:keepNext/>
        <w:rPr>
          <w:b/>
          <w:bCs/>
          <w:sz w:val="40"/>
          <w:szCs w:val="40"/>
        </w:rPr>
      </w:pPr>
      <w:r>
        <w:rPr>
          <w:rFonts w:hint="cs"/>
          <w:b/>
          <w:bCs/>
          <w:sz w:val="40"/>
          <w:szCs w:val="40"/>
          <w:rtl/>
        </w:rPr>
        <w:t>البند 3 من جدول الأعمال: اعتماد منظمات غير حكومية جديدة</w:t>
      </w:r>
    </w:p>
    <w:p w:rsidR="00A55C96" w:rsidRPr="00476E43" w:rsidRDefault="00A55C96" w:rsidP="00476E43">
      <w:pPr>
        <w:pStyle w:val="NumberedParaAR"/>
      </w:pPr>
      <w:r w:rsidRPr="00476E43">
        <w:rPr>
          <w:rFonts w:hint="cs"/>
          <w:rtl/>
        </w:rPr>
        <w:t xml:space="preserve">وافقت اللجنة على منح </w:t>
      </w:r>
      <w:r w:rsidR="002F315A" w:rsidRPr="00476E43">
        <w:rPr>
          <w:rFonts w:hint="cs"/>
          <w:rtl/>
        </w:rPr>
        <w:t>صفة المراقب في دوراتها للمنظمات غير الحكومية المشار إليها في مرفقات</w:t>
      </w:r>
      <w:r w:rsidRPr="00476E43">
        <w:rPr>
          <w:rFonts w:hint="cs"/>
          <w:rtl/>
        </w:rPr>
        <w:t xml:space="preserve"> الوثيقة </w:t>
      </w:r>
      <w:r w:rsidR="002F315A" w:rsidRPr="00476E43">
        <w:t>SCCR/36/2</w:t>
      </w:r>
      <w:r w:rsidR="002F315A" w:rsidRPr="00476E43">
        <w:rPr>
          <w:rFonts w:hint="cs"/>
          <w:rtl/>
        </w:rPr>
        <w:t>، وهي اتحاد المؤلفين ومؤسسة كونكتور و</w:t>
      </w:r>
      <w:r w:rsidR="00476E43" w:rsidRPr="00476E43">
        <w:rPr>
          <w:rFonts w:hint="cs"/>
          <w:rtl/>
        </w:rPr>
        <w:t>مركز الملكية الفكرية.</w:t>
      </w:r>
    </w:p>
    <w:p w:rsidR="00A55C96" w:rsidRDefault="00A55C96" w:rsidP="00A55C96">
      <w:pPr>
        <w:pStyle w:val="NormalParaAR"/>
        <w:keepNext/>
        <w:rPr>
          <w:b/>
          <w:bCs/>
          <w:sz w:val="40"/>
          <w:szCs w:val="40"/>
        </w:rPr>
      </w:pPr>
      <w:r>
        <w:rPr>
          <w:rFonts w:hint="cs"/>
          <w:b/>
          <w:bCs/>
          <w:sz w:val="40"/>
          <w:szCs w:val="40"/>
          <w:rtl/>
        </w:rPr>
        <w:t>البند 4 من جدول الأعمال: اعتماد مشروع تقرير الدورة الخامسة والثلاثين</w:t>
      </w:r>
    </w:p>
    <w:p w:rsidR="00A55C96" w:rsidRPr="00476E43" w:rsidRDefault="00A55C96" w:rsidP="00476E43">
      <w:pPr>
        <w:pStyle w:val="NumberedParaAR"/>
      </w:pPr>
      <w:r w:rsidRPr="00476E43">
        <w:rPr>
          <w:rFonts w:hint="cs"/>
          <w:rtl/>
        </w:rPr>
        <w:t xml:space="preserve">اعتمدت اللجنة مشروع تقرير دورتها </w:t>
      </w:r>
      <w:r w:rsidR="00476E43" w:rsidRPr="00476E43">
        <w:rPr>
          <w:rFonts w:hint="cs"/>
          <w:rtl/>
        </w:rPr>
        <w:t>الخامسة</w:t>
      </w:r>
      <w:r w:rsidRPr="00476E43">
        <w:rPr>
          <w:rFonts w:hint="cs"/>
          <w:rtl/>
        </w:rPr>
        <w:t xml:space="preserve"> والثلاثين (الوثيقة </w:t>
      </w:r>
      <w:r w:rsidRPr="00476E43">
        <w:t>SCCR/</w:t>
      </w:r>
      <w:r w:rsidR="00476E43" w:rsidRPr="00476E43">
        <w:t>35</w:t>
      </w:r>
      <w:r w:rsidRPr="00476E43">
        <w:t>/</w:t>
      </w:r>
      <w:r w:rsidR="00476E43" w:rsidRPr="00476E43">
        <w:t>11 </w:t>
      </w:r>
      <w:r w:rsidRPr="00476E43">
        <w:t>PROV.</w:t>
      </w:r>
      <w:r w:rsidRPr="00476E43">
        <w:rPr>
          <w:rFonts w:hint="cs"/>
          <w:rtl/>
        </w:rPr>
        <w:t xml:space="preserve">). ودُعيت الوفود والجهات المراقبة إلى إرسال أية تعليقات بشأن بياناتها إلى الأمانة على العنوان الإلكتروني التالي: </w:t>
      </w:r>
      <w:hyperlink r:id="rId9" w:history="1">
        <w:r w:rsidRPr="00476E43">
          <w:rPr>
            <w:rStyle w:val="Hyperlink"/>
          </w:rPr>
          <w:t>copyright.mail@wipo.int</w:t>
        </w:r>
      </w:hyperlink>
      <w:r w:rsidRPr="00476E43">
        <w:rPr>
          <w:rFonts w:hint="cs"/>
          <w:rtl/>
        </w:rPr>
        <w:t>، وذلك في موعد أقصاه 15 </w:t>
      </w:r>
      <w:r w:rsidR="00476E43" w:rsidRPr="00476E43">
        <w:rPr>
          <w:rFonts w:hint="cs"/>
          <w:rtl/>
        </w:rPr>
        <w:t>يونيو</w:t>
      </w:r>
      <w:r w:rsidRPr="00476E43">
        <w:rPr>
          <w:rFonts w:hint="cs"/>
          <w:rtl/>
        </w:rPr>
        <w:t> </w:t>
      </w:r>
      <w:r w:rsidR="00476E43" w:rsidRPr="00476E43">
        <w:rPr>
          <w:rFonts w:hint="cs"/>
          <w:rtl/>
        </w:rPr>
        <w:t>2018</w:t>
      </w:r>
      <w:r w:rsidRPr="00476E43">
        <w:rPr>
          <w:rFonts w:hint="cs"/>
          <w:rtl/>
        </w:rPr>
        <w:t>.</w:t>
      </w:r>
    </w:p>
    <w:p w:rsidR="00A55C96" w:rsidRDefault="00A55C96" w:rsidP="00A55C96">
      <w:pPr>
        <w:pStyle w:val="NormalParaAR"/>
        <w:keepNext/>
        <w:rPr>
          <w:b/>
          <w:bCs/>
          <w:sz w:val="40"/>
          <w:szCs w:val="40"/>
          <w:rtl/>
        </w:rPr>
      </w:pPr>
      <w:r>
        <w:rPr>
          <w:rFonts w:hint="cs"/>
          <w:b/>
          <w:bCs/>
          <w:sz w:val="40"/>
          <w:szCs w:val="40"/>
          <w:rtl/>
        </w:rPr>
        <w:t>البند 5 من جدول الأعمال: حماية هيئات البث</w:t>
      </w:r>
    </w:p>
    <w:p w:rsidR="00A55C96" w:rsidRPr="00476E43" w:rsidRDefault="00A55C96" w:rsidP="00746C58">
      <w:pPr>
        <w:pStyle w:val="NumberedParaAR"/>
      </w:pPr>
      <w:r w:rsidRPr="00476E43">
        <w:rPr>
          <w:rFonts w:hint="cs"/>
          <w:rtl/>
        </w:rPr>
        <w:t xml:space="preserve">الوثائق المتعلقة بهذا البند من جدول الأعمال هي </w:t>
      </w:r>
      <w:r w:rsidRPr="00476E43">
        <w:t>SCCR/27/2 REV.</w:t>
      </w:r>
      <w:r w:rsidRPr="00476E43">
        <w:rPr>
          <w:rFonts w:hint="cs"/>
          <w:rtl/>
        </w:rPr>
        <w:t xml:space="preserve"> و</w:t>
      </w:r>
      <w:r w:rsidRPr="00476E43">
        <w:t xml:space="preserve"> SCCR/27/6</w:t>
      </w:r>
      <w:r w:rsidRPr="00476E43">
        <w:rPr>
          <w:rFonts w:hint="cs"/>
          <w:rtl/>
        </w:rPr>
        <w:t>و</w:t>
      </w:r>
      <w:r w:rsidRPr="00476E43">
        <w:t>SCCR/30/5</w:t>
      </w:r>
      <w:r w:rsidRPr="00476E43">
        <w:rPr>
          <w:rFonts w:hint="cs"/>
          <w:rtl/>
        </w:rPr>
        <w:t xml:space="preserve"> و</w:t>
      </w:r>
      <w:r w:rsidRPr="00476E43">
        <w:t>SCCR/31/3</w:t>
      </w:r>
      <w:r w:rsidRPr="00476E43">
        <w:rPr>
          <w:rFonts w:hint="cs"/>
          <w:rtl/>
        </w:rPr>
        <w:t xml:space="preserve"> و</w:t>
      </w:r>
      <w:r w:rsidRPr="00476E43">
        <w:t>SCCR/32/3</w:t>
      </w:r>
      <w:r w:rsidRPr="00476E43">
        <w:rPr>
          <w:rFonts w:hint="cs"/>
          <w:rtl/>
        </w:rPr>
        <w:t xml:space="preserve"> و</w:t>
      </w:r>
      <w:r w:rsidRPr="00476E43">
        <w:t>SCCR/33/3</w:t>
      </w:r>
      <w:r w:rsidRPr="00476E43">
        <w:rPr>
          <w:rFonts w:hint="cs"/>
          <w:rtl/>
        </w:rPr>
        <w:t xml:space="preserve"> و</w:t>
      </w:r>
      <w:r w:rsidRPr="00476E43">
        <w:t>SCCR/33/5</w:t>
      </w:r>
      <w:r w:rsidRPr="00476E43">
        <w:rPr>
          <w:rFonts w:hint="cs"/>
          <w:rtl/>
        </w:rPr>
        <w:t xml:space="preserve"> و</w:t>
      </w:r>
      <w:r w:rsidRPr="00476E43">
        <w:t>SCCR/34/3</w:t>
      </w:r>
      <w:r w:rsidRPr="00476E43">
        <w:rPr>
          <w:rFonts w:hint="cs"/>
          <w:rtl/>
        </w:rPr>
        <w:t xml:space="preserve"> و</w:t>
      </w:r>
      <w:r w:rsidRPr="00476E43">
        <w:t>SCCR/34/4</w:t>
      </w:r>
      <w:r w:rsidR="00476E43" w:rsidRPr="00476E43">
        <w:rPr>
          <w:rFonts w:hint="cs"/>
          <w:rtl/>
        </w:rPr>
        <w:t xml:space="preserve"> و</w:t>
      </w:r>
      <w:r w:rsidR="00476E43" w:rsidRPr="00476E43">
        <w:t>SCCR/35/10</w:t>
      </w:r>
      <w:r w:rsidR="00476E43" w:rsidRPr="00476E43">
        <w:rPr>
          <w:rFonts w:hint="cs"/>
          <w:rtl/>
        </w:rPr>
        <w:t xml:space="preserve"> و</w:t>
      </w:r>
      <w:r w:rsidR="00476E43" w:rsidRPr="00476E43">
        <w:t>SCCR/35/12</w:t>
      </w:r>
      <w:r w:rsidR="00476E43" w:rsidRPr="00476E43">
        <w:rPr>
          <w:rFonts w:hint="cs"/>
          <w:rtl/>
        </w:rPr>
        <w:t xml:space="preserve"> و</w:t>
      </w:r>
      <w:r w:rsidR="00476E43" w:rsidRPr="00476E43">
        <w:t>SCCR/36/5</w:t>
      </w:r>
      <w:r w:rsidR="00746C58">
        <w:rPr>
          <w:rFonts w:hint="cs"/>
          <w:rtl/>
        </w:rPr>
        <w:t xml:space="preserve"> و</w:t>
      </w:r>
      <w:r w:rsidR="00746C58" w:rsidRPr="00746C58">
        <w:t>SCCR/36/</w:t>
      </w:r>
      <w:r w:rsidR="00746C58">
        <w:t>6</w:t>
      </w:r>
      <w:r w:rsidRPr="00476E43">
        <w:rPr>
          <w:rFonts w:hint="cs"/>
          <w:rtl/>
        </w:rPr>
        <w:t>، فضلا عن جداول وورقات عمل غير رسمية أعدت خلال الاجتماعات السابقة.</w:t>
      </w:r>
    </w:p>
    <w:p w:rsidR="00476E43" w:rsidRDefault="00476E43" w:rsidP="00483BAD">
      <w:pPr>
        <w:pStyle w:val="NumberedParaAR"/>
      </w:pPr>
      <w:r w:rsidRPr="00483BAD">
        <w:rPr>
          <w:rFonts w:hint="cs"/>
          <w:rtl/>
        </w:rPr>
        <w:t>ونظرت اللجنة في الوثيقة</w:t>
      </w:r>
      <w:r w:rsidR="00483BAD" w:rsidRPr="00483BAD">
        <w:rPr>
          <w:rFonts w:hint="eastAsia"/>
          <w:rtl/>
        </w:rPr>
        <w:t> </w:t>
      </w:r>
      <w:r w:rsidRPr="00483BAD">
        <w:rPr>
          <w:lang w:val="en-GB"/>
        </w:rPr>
        <w:t>SCCR/35/12</w:t>
      </w:r>
      <w:r w:rsidRPr="00483BAD">
        <w:rPr>
          <w:rFonts w:hint="cs"/>
          <w:rtl/>
          <w:lang w:val="en-GB"/>
        </w:rPr>
        <w:t xml:space="preserve">، التي أعدها الرئيس والمعنونة </w:t>
      </w:r>
      <w:r w:rsidRPr="00483BAD">
        <w:rPr>
          <w:i/>
          <w:iCs/>
          <w:rtl/>
          <w:lang w:val="en-GB"/>
        </w:rPr>
        <w:t>نص موحد ومراجَع بشأن التعاريف وموضوع الحماية والحقوق المزمع منحها</w:t>
      </w:r>
      <w:r w:rsidRPr="00483BAD">
        <w:rPr>
          <w:rFonts w:hint="cs"/>
          <w:i/>
          <w:iCs/>
          <w:rtl/>
          <w:lang w:val="en-GB"/>
        </w:rPr>
        <w:t xml:space="preserve"> وقضايا أخرى</w:t>
      </w:r>
      <w:r w:rsidRPr="00483BAD">
        <w:rPr>
          <w:rFonts w:hint="cs"/>
          <w:rtl/>
          <w:lang w:val="en-GB"/>
        </w:rPr>
        <w:t>. وبالإضافة إلى ذلك، أحاطت اللجنة علما بالوثيقة</w:t>
      </w:r>
      <w:r w:rsidR="00483BAD" w:rsidRPr="00483BAD">
        <w:rPr>
          <w:rFonts w:hint="eastAsia"/>
          <w:rtl/>
          <w:lang w:val="en-GB"/>
        </w:rPr>
        <w:t> </w:t>
      </w:r>
      <w:r w:rsidR="00483BAD" w:rsidRPr="00483BAD">
        <w:t>SCCR 36/5</w:t>
      </w:r>
      <w:r w:rsidR="00483BAD" w:rsidRPr="00483BAD">
        <w:rPr>
          <w:rFonts w:hint="cs"/>
          <w:rtl/>
        </w:rPr>
        <w:t xml:space="preserve"> المعنونة </w:t>
      </w:r>
      <w:r w:rsidR="00483BAD" w:rsidRPr="00483BAD">
        <w:rPr>
          <w:i/>
          <w:iCs/>
          <w:rtl/>
        </w:rPr>
        <w:t>تعليقات على مشروع معاهدة حماية هيئات البث</w:t>
      </w:r>
      <w:r w:rsidR="00483BAD" w:rsidRPr="00483BAD">
        <w:rPr>
          <w:rFonts w:hint="cs"/>
          <w:rtl/>
        </w:rPr>
        <w:t>، والمقدمة من وفد الأرجنتين.</w:t>
      </w:r>
    </w:p>
    <w:p w:rsidR="00483BAD" w:rsidRPr="00483BAD" w:rsidRDefault="00483BAD" w:rsidP="00746C58">
      <w:pPr>
        <w:pStyle w:val="NumberedParaAR"/>
      </w:pPr>
      <w:r>
        <w:rPr>
          <w:rFonts w:hint="cs"/>
          <w:rtl/>
        </w:rPr>
        <w:t>وجرت المناقشات بخصوص الوثيقتين</w:t>
      </w:r>
      <w:r>
        <w:rPr>
          <w:rFonts w:hint="eastAsia"/>
          <w:rtl/>
        </w:rPr>
        <w:t> </w:t>
      </w:r>
      <w:r w:rsidRPr="00483BAD">
        <w:rPr>
          <w:lang w:val="en-GB"/>
        </w:rPr>
        <w:t>SCCR/35/12</w:t>
      </w:r>
      <w:r>
        <w:rPr>
          <w:rFonts w:hint="cs"/>
          <w:rtl/>
          <w:lang w:val="en-GB"/>
        </w:rPr>
        <w:t xml:space="preserve"> و</w:t>
      </w:r>
      <w:r w:rsidRPr="00483BAD">
        <w:rPr>
          <w:lang w:val="en-GB"/>
        </w:rPr>
        <w:t>SCCR/36/5</w:t>
      </w:r>
      <w:r>
        <w:rPr>
          <w:rFonts w:hint="cs"/>
          <w:rtl/>
          <w:lang w:val="en-GB"/>
        </w:rPr>
        <w:t xml:space="preserve"> في جلسات غير رسمية عقدتها اللجنة. وكانت تلك المناقشات مفيدة للغاية وساعدت على توضيح قضايا تقنية مختلفة ومواقف الوفود بغرض التوصل إلى فهم مشترك بشأن التعاريف وموضوع الحماية والحقوق المزمع منحها وقضايا أخرى.</w:t>
      </w:r>
      <w:r w:rsidR="00746C58">
        <w:rPr>
          <w:rFonts w:hint="cs"/>
          <w:rtl/>
          <w:lang w:val="en-GB"/>
        </w:rPr>
        <w:t xml:space="preserve"> وعقب تلك المناقشات، أعدّ الرئيس الوثيقة</w:t>
      </w:r>
      <w:r w:rsidR="00746C58">
        <w:rPr>
          <w:rFonts w:hint="eastAsia"/>
          <w:rtl/>
          <w:lang w:val="en-GB"/>
        </w:rPr>
        <w:t> </w:t>
      </w:r>
      <w:r w:rsidR="00746C58" w:rsidRPr="00746C58">
        <w:rPr>
          <w:lang w:val="en-GB"/>
        </w:rPr>
        <w:t>SCCR/36/6</w:t>
      </w:r>
      <w:r w:rsidR="00746C58">
        <w:rPr>
          <w:rFonts w:hint="cs"/>
          <w:rtl/>
          <w:lang w:val="en-GB"/>
        </w:rPr>
        <w:t xml:space="preserve"> من أجل بلورة فهمه لوضع المناقشات.</w:t>
      </w:r>
    </w:p>
    <w:p w:rsidR="00746C58" w:rsidRPr="00746C58" w:rsidRDefault="00746C58" w:rsidP="0053641B">
      <w:pPr>
        <w:pStyle w:val="NumberedParaAR"/>
      </w:pPr>
      <w:r>
        <w:rPr>
          <w:rFonts w:hint="cs"/>
          <w:rtl/>
        </w:rPr>
        <w:t>وتم التوصل إلى اتفاق بشأن توجيه التوصية التالية إلى الجمعية العامة للويبو (</w:t>
      </w:r>
      <w:r w:rsidRPr="00746C58">
        <w:t>WIPO/GA/58</w:t>
      </w:r>
      <w:r>
        <w:rPr>
          <w:rFonts w:hint="cs"/>
          <w:rtl/>
        </w:rPr>
        <w:t>): بالنظر إلى التقدم المح</w:t>
      </w:r>
      <w:r w:rsidR="0053641B">
        <w:rPr>
          <w:rFonts w:hint="cs"/>
          <w:rtl/>
        </w:rPr>
        <w:t xml:space="preserve">رز في الدورات التي عقدتها لجنة </w:t>
      </w:r>
      <w:r>
        <w:rPr>
          <w:rFonts w:hint="cs"/>
          <w:rtl/>
        </w:rPr>
        <w:t xml:space="preserve">حق المؤلف </w:t>
      </w:r>
      <w:r w:rsidR="0053641B">
        <w:rPr>
          <w:rFonts w:hint="cs"/>
          <w:rtl/>
        </w:rPr>
        <w:t>في الآونة الأخيرة</w:t>
      </w:r>
      <w:r>
        <w:rPr>
          <w:rFonts w:hint="cs"/>
          <w:rtl/>
        </w:rPr>
        <w:t xml:space="preserve">، فإن </w:t>
      </w:r>
      <w:r w:rsidR="00795912">
        <w:rPr>
          <w:rFonts w:hint="cs"/>
          <w:rtl/>
        </w:rPr>
        <w:t>الجمعية العامة مدعوة إلى النظر في اتخاذ الإجراء المناسب</w:t>
      </w:r>
      <w:r w:rsidR="003F0859">
        <w:rPr>
          <w:rFonts w:hint="cs"/>
          <w:rtl/>
        </w:rPr>
        <w:t xml:space="preserve"> بغرض الدعوة إلى عقد مؤتمر دبلوماسي لاعتماد معاهدة بشأن حماية هيئات البث، بشرط التوصل إلى توافق في</w:t>
      </w:r>
      <w:r w:rsidR="0053641B">
        <w:rPr>
          <w:rFonts w:hint="eastAsia"/>
          <w:rtl/>
        </w:rPr>
        <w:t> </w:t>
      </w:r>
      <w:r w:rsidR="003F0859">
        <w:rPr>
          <w:rFonts w:hint="cs"/>
          <w:rtl/>
        </w:rPr>
        <w:t>الآراء بخصوص القضايا الأساسية</w:t>
      </w:r>
      <w:r w:rsidR="0053641B">
        <w:rPr>
          <w:rFonts w:hint="cs"/>
          <w:rtl/>
        </w:rPr>
        <w:t xml:space="preserve">، وهي </w:t>
      </w:r>
      <w:r w:rsidR="003F0859">
        <w:rPr>
          <w:rFonts w:hint="cs"/>
          <w:rtl/>
        </w:rPr>
        <w:t xml:space="preserve">أهداف </w:t>
      </w:r>
      <w:r w:rsidR="0053641B">
        <w:rPr>
          <w:rFonts w:hint="cs"/>
          <w:rtl/>
        </w:rPr>
        <w:t>الحماية و</w:t>
      </w:r>
      <w:r w:rsidR="003F0859">
        <w:rPr>
          <w:rFonts w:hint="cs"/>
          <w:rtl/>
        </w:rPr>
        <w:t>نطاق</w:t>
      </w:r>
      <w:r w:rsidR="0053641B">
        <w:rPr>
          <w:rFonts w:hint="cs"/>
          <w:rtl/>
        </w:rPr>
        <w:t>ها</w:t>
      </w:r>
      <w:r w:rsidR="003F0859">
        <w:rPr>
          <w:rFonts w:hint="cs"/>
          <w:rtl/>
        </w:rPr>
        <w:t xml:space="preserve"> المحدّد وموضوع</w:t>
      </w:r>
      <w:r w:rsidR="0053641B">
        <w:rPr>
          <w:rFonts w:hint="cs"/>
          <w:rtl/>
        </w:rPr>
        <w:t>ها</w:t>
      </w:r>
      <w:r w:rsidR="003F0859">
        <w:rPr>
          <w:rFonts w:hint="cs"/>
          <w:rtl/>
        </w:rPr>
        <w:t>.</w:t>
      </w:r>
    </w:p>
    <w:p w:rsidR="00A55C96" w:rsidRPr="00483BAD" w:rsidRDefault="00A55C96" w:rsidP="00483BAD">
      <w:pPr>
        <w:pStyle w:val="NumberedParaAR"/>
      </w:pPr>
      <w:r w:rsidRPr="00483BAD">
        <w:rPr>
          <w:rFonts w:hint="cs"/>
          <w:rtl/>
        </w:rPr>
        <w:t xml:space="preserve">وسيظل هذا البند مدرجا في جدول أعمال الدورة </w:t>
      </w:r>
      <w:r w:rsidR="00483BAD" w:rsidRPr="00483BAD">
        <w:rPr>
          <w:rFonts w:hint="cs"/>
          <w:rtl/>
        </w:rPr>
        <w:t>السابعة</w:t>
      </w:r>
      <w:r w:rsidRPr="00483BAD">
        <w:rPr>
          <w:rFonts w:hint="cs"/>
          <w:rtl/>
        </w:rPr>
        <w:t xml:space="preserve"> والثلاثين للجنة حق المؤلف.</w:t>
      </w:r>
    </w:p>
    <w:p w:rsidR="00A55C96" w:rsidRDefault="00A55C96" w:rsidP="00A55C96">
      <w:pPr>
        <w:pStyle w:val="NormalParaAR"/>
        <w:keepNext/>
        <w:rPr>
          <w:b/>
          <w:bCs/>
          <w:sz w:val="40"/>
          <w:szCs w:val="40"/>
        </w:rPr>
      </w:pPr>
      <w:r>
        <w:rPr>
          <w:rFonts w:hint="cs"/>
          <w:b/>
          <w:bCs/>
          <w:sz w:val="40"/>
          <w:szCs w:val="40"/>
          <w:rtl/>
        </w:rPr>
        <w:lastRenderedPageBreak/>
        <w:t>البند 6 من جدول الأعمال: التقييدات والاستثناءات لفائدة المكتبات ودور المحفوظات</w:t>
      </w:r>
    </w:p>
    <w:p w:rsidR="00A55C96" w:rsidRPr="008A45D9" w:rsidRDefault="00A55C96" w:rsidP="00A822A5">
      <w:pPr>
        <w:pStyle w:val="NumberedParaAR"/>
      </w:pPr>
      <w:r w:rsidRPr="008A45D9">
        <w:rPr>
          <w:rFonts w:hint="cs"/>
          <w:rtl/>
        </w:rPr>
        <w:t>الوثائق المتعلقة بهذا البند من جدول الأعمال هي </w:t>
      </w:r>
      <w:r w:rsidRPr="008A45D9">
        <w:t>SCCR/26/3</w:t>
      </w:r>
      <w:r w:rsidRPr="008A45D9">
        <w:rPr>
          <w:rFonts w:hint="cs"/>
          <w:rtl/>
        </w:rPr>
        <w:t xml:space="preserve"> و</w:t>
      </w:r>
      <w:r w:rsidRPr="008A45D9">
        <w:t>SCCR/26/8</w:t>
      </w:r>
      <w:r w:rsidRPr="008A45D9">
        <w:rPr>
          <w:rFonts w:hint="cs"/>
          <w:rtl/>
        </w:rPr>
        <w:t xml:space="preserve"> و</w:t>
      </w:r>
      <w:r w:rsidRPr="008A45D9">
        <w:t>SCCR/29/4</w:t>
      </w:r>
      <w:r w:rsidRPr="008A45D9">
        <w:rPr>
          <w:rFonts w:hint="cs"/>
          <w:rtl/>
        </w:rPr>
        <w:t xml:space="preserve"> و</w:t>
      </w:r>
      <w:r w:rsidRPr="008A45D9">
        <w:t>SCCR/30/2</w:t>
      </w:r>
      <w:r w:rsidRPr="008A45D9">
        <w:rPr>
          <w:rFonts w:hint="cs"/>
          <w:rtl/>
        </w:rPr>
        <w:t xml:space="preserve"> و</w:t>
      </w:r>
      <w:r w:rsidRPr="008A45D9">
        <w:t>SCCR/30/3</w:t>
      </w:r>
      <w:r w:rsidRPr="008A45D9">
        <w:rPr>
          <w:rtl/>
        </w:rPr>
        <w:t xml:space="preserve"> </w:t>
      </w:r>
      <w:r w:rsidRPr="008A45D9">
        <w:rPr>
          <w:rFonts w:hint="cs"/>
          <w:rtl/>
        </w:rPr>
        <w:t>و</w:t>
      </w:r>
      <w:r w:rsidRPr="008A45D9">
        <w:t>SCCR/33/4</w:t>
      </w:r>
      <w:r w:rsidRPr="008A45D9">
        <w:rPr>
          <w:rFonts w:hint="cs"/>
          <w:rtl/>
        </w:rPr>
        <w:t xml:space="preserve"> و</w:t>
      </w:r>
      <w:r w:rsidRPr="008A45D9">
        <w:t>SCCR/34/5</w:t>
      </w:r>
      <w:r w:rsidRPr="008A45D9">
        <w:rPr>
          <w:rFonts w:hint="cs"/>
          <w:rtl/>
        </w:rPr>
        <w:t xml:space="preserve"> و</w:t>
      </w:r>
      <w:r w:rsidRPr="008A45D9">
        <w:t>SCCR/35/6</w:t>
      </w:r>
      <w:r w:rsidR="008A45D9" w:rsidRPr="008A45D9">
        <w:rPr>
          <w:rFonts w:hint="cs"/>
          <w:rtl/>
        </w:rPr>
        <w:t xml:space="preserve"> و</w:t>
      </w:r>
      <w:r w:rsidR="008A45D9" w:rsidRPr="008A45D9">
        <w:t>SCCR/35/9</w:t>
      </w:r>
      <w:r w:rsidR="008A45D9" w:rsidRPr="008A45D9">
        <w:rPr>
          <w:rFonts w:hint="cs"/>
          <w:rtl/>
        </w:rPr>
        <w:t xml:space="preserve"> و</w:t>
      </w:r>
      <w:r w:rsidR="008A45D9" w:rsidRPr="008A45D9">
        <w:t>SCCR/36/3</w:t>
      </w:r>
      <w:r w:rsidR="00A822A5">
        <w:rPr>
          <w:rFonts w:hint="cs"/>
          <w:rtl/>
        </w:rPr>
        <w:t xml:space="preserve"> </w:t>
      </w:r>
      <w:r w:rsidR="00A822A5" w:rsidRPr="008A45D9">
        <w:rPr>
          <w:rFonts w:hint="cs"/>
          <w:rtl/>
        </w:rPr>
        <w:t>و</w:t>
      </w:r>
      <w:r w:rsidR="00A822A5" w:rsidRPr="008A45D9">
        <w:t>SCCR/36/</w:t>
      </w:r>
      <w:r w:rsidR="00A822A5">
        <w:t>7</w:t>
      </w:r>
      <w:r w:rsidR="00A822A5">
        <w:rPr>
          <w:rFonts w:hint="cs"/>
          <w:rtl/>
        </w:rPr>
        <w:t>.</w:t>
      </w:r>
    </w:p>
    <w:p w:rsidR="008A45D9" w:rsidRDefault="008A45D9" w:rsidP="008A45D9">
      <w:pPr>
        <w:pStyle w:val="NumberedParaAR"/>
      </w:pPr>
      <w:r w:rsidRPr="008A45D9">
        <w:rPr>
          <w:rFonts w:hint="cs"/>
          <w:rtl/>
        </w:rPr>
        <w:t>ورحّبت اللجنة بالتقرير المرحلي الذي قدمته السيدة سيلفي فوربان عن العمل الخاص بالتقييدات والاستثناءات لفائدة المتاحف.</w:t>
      </w:r>
    </w:p>
    <w:p w:rsidR="008A45D9" w:rsidRDefault="008A45D9" w:rsidP="00A822A5">
      <w:pPr>
        <w:pStyle w:val="NumberedParaAR"/>
      </w:pPr>
      <w:r>
        <w:rPr>
          <w:rFonts w:hint="cs"/>
          <w:rtl/>
        </w:rPr>
        <w:t>و</w:t>
      </w:r>
      <w:r w:rsidR="00D21B92">
        <w:rPr>
          <w:rFonts w:hint="cs"/>
          <w:rtl/>
        </w:rPr>
        <w:t xml:space="preserve">عرض </w:t>
      </w:r>
      <w:r>
        <w:rPr>
          <w:rFonts w:hint="cs"/>
          <w:rtl/>
        </w:rPr>
        <w:t>الرئيس مشروع خط</w:t>
      </w:r>
      <w:r w:rsidR="0077192A">
        <w:rPr>
          <w:rFonts w:hint="cs"/>
          <w:rtl/>
        </w:rPr>
        <w:t>ة</w:t>
      </w:r>
      <w:r>
        <w:rPr>
          <w:rFonts w:hint="cs"/>
          <w:rtl/>
        </w:rPr>
        <w:t xml:space="preserve"> العمل </w:t>
      </w:r>
      <w:r w:rsidR="0077192A">
        <w:rPr>
          <w:rFonts w:hint="cs"/>
          <w:rtl/>
        </w:rPr>
        <w:t>بشأن</w:t>
      </w:r>
      <w:r>
        <w:rPr>
          <w:rFonts w:hint="cs"/>
          <w:rtl/>
        </w:rPr>
        <w:t xml:space="preserve"> البند</w:t>
      </w:r>
      <w:r w:rsidR="0077192A">
        <w:rPr>
          <w:rFonts w:hint="eastAsia"/>
          <w:rtl/>
        </w:rPr>
        <w:t> </w:t>
      </w:r>
      <w:r>
        <w:rPr>
          <w:rFonts w:hint="cs"/>
          <w:rtl/>
        </w:rPr>
        <w:t>6 من جدول الأعمال و</w:t>
      </w:r>
      <w:r w:rsidR="00C72221">
        <w:rPr>
          <w:rFonts w:hint="cs"/>
          <w:rtl/>
        </w:rPr>
        <w:t>الوارد في</w:t>
      </w:r>
      <w:r>
        <w:rPr>
          <w:rFonts w:hint="cs"/>
          <w:rtl/>
        </w:rPr>
        <w:t xml:space="preserve"> الوثيقة</w:t>
      </w:r>
      <w:r>
        <w:rPr>
          <w:rFonts w:hint="eastAsia"/>
          <w:rtl/>
        </w:rPr>
        <w:t> </w:t>
      </w:r>
      <w:r w:rsidRPr="008A45D9">
        <w:t>SCCR/36/3</w:t>
      </w:r>
      <w:r>
        <w:rPr>
          <w:rFonts w:hint="cs"/>
          <w:rtl/>
        </w:rPr>
        <w:t xml:space="preserve">. وناقشت اللجنة الخطة في </w:t>
      </w:r>
      <w:r w:rsidR="008874E3">
        <w:rPr>
          <w:rFonts w:hint="cs"/>
          <w:rtl/>
        </w:rPr>
        <w:t>جلسة عامة وفي جلسات غير رسمية</w:t>
      </w:r>
      <w:r w:rsidR="00A822A5">
        <w:rPr>
          <w:rFonts w:hint="cs"/>
          <w:rtl/>
        </w:rPr>
        <w:t xml:space="preserve"> وأدخلت التعديلات اللازمة عليها. وترد الوثيقة المعدّلة كما وافقت عليها اللجنة في الوثيقة</w:t>
      </w:r>
      <w:r w:rsidR="00A822A5">
        <w:rPr>
          <w:rFonts w:hint="eastAsia"/>
          <w:rtl/>
        </w:rPr>
        <w:t> </w:t>
      </w:r>
      <w:r w:rsidR="00A822A5" w:rsidRPr="00A822A5">
        <w:t>SCCR/36/7</w:t>
      </w:r>
      <w:r w:rsidR="00A822A5">
        <w:rPr>
          <w:rFonts w:hint="cs"/>
          <w:rtl/>
        </w:rPr>
        <w:t xml:space="preserve"> وستستخدمها اللجنة لمواصلة عملها تحت هذا البند من جدول الأعمال.</w:t>
      </w:r>
    </w:p>
    <w:p w:rsidR="00A55C96" w:rsidRPr="0077192A" w:rsidRDefault="00A55C96" w:rsidP="0077192A">
      <w:pPr>
        <w:pStyle w:val="NumberedParaAR"/>
      </w:pPr>
      <w:r w:rsidRPr="0077192A">
        <w:rPr>
          <w:rFonts w:hint="cs"/>
          <w:rtl/>
        </w:rPr>
        <w:t xml:space="preserve">وسيظل هذا البند مدرجا في جدول أعمال الدورة </w:t>
      </w:r>
      <w:r w:rsidR="0077192A" w:rsidRPr="0077192A">
        <w:rPr>
          <w:rFonts w:hint="cs"/>
          <w:rtl/>
        </w:rPr>
        <w:t>السابعة</w:t>
      </w:r>
      <w:r w:rsidRPr="0077192A">
        <w:rPr>
          <w:rFonts w:hint="cs"/>
          <w:rtl/>
        </w:rPr>
        <w:t xml:space="preserve"> والثلاثين للجنة حق المؤلف.</w:t>
      </w:r>
    </w:p>
    <w:p w:rsidR="00A55C96" w:rsidRDefault="00A55C96" w:rsidP="00A55C96">
      <w:pPr>
        <w:pStyle w:val="NormalParaAR"/>
        <w:keepNext/>
        <w:rPr>
          <w:b/>
          <w:bCs/>
          <w:sz w:val="40"/>
          <w:szCs w:val="40"/>
        </w:rPr>
      </w:pPr>
      <w:r>
        <w:rPr>
          <w:rFonts w:hint="cs"/>
          <w:b/>
          <w:bCs/>
          <w:sz w:val="40"/>
          <w:szCs w:val="40"/>
          <w:rtl/>
        </w:rPr>
        <w:t>البند 7 من جدول الأعمال: التقييدات والاستثناءات لفائدة مؤسسات التعليم والبحث ولفائدة الأشخاص ذوي إعاقات أخرى</w:t>
      </w:r>
    </w:p>
    <w:p w:rsidR="00A55C96" w:rsidRDefault="00A55C96" w:rsidP="00A822A5">
      <w:pPr>
        <w:pStyle w:val="NumberedParaAR"/>
      </w:pPr>
      <w:r w:rsidRPr="0077192A">
        <w:rPr>
          <w:rFonts w:hint="cs"/>
          <w:rtl/>
        </w:rPr>
        <w:t>الوثائق المتعلقة بهذا البند من جدول الأعمال هي </w:t>
      </w:r>
      <w:r w:rsidRPr="0077192A">
        <w:t>SCCR/26/4 PROV.</w:t>
      </w:r>
      <w:r w:rsidRPr="0077192A">
        <w:rPr>
          <w:rFonts w:hint="cs"/>
          <w:rtl/>
        </w:rPr>
        <w:t xml:space="preserve"> و</w:t>
      </w:r>
      <w:r w:rsidRPr="0077192A">
        <w:t>SCCR/27/8</w:t>
      </w:r>
      <w:r w:rsidRPr="0077192A">
        <w:rPr>
          <w:rFonts w:hint="cs"/>
          <w:rtl/>
        </w:rPr>
        <w:t xml:space="preserve"> و</w:t>
      </w:r>
      <w:r w:rsidRPr="0077192A">
        <w:t>SCCR 32/4</w:t>
      </w:r>
      <w:r w:rsidRPr="0077192A">
        <w:rPr>
          <w:rFonts w:hint="cs"/>
          <w:rtl/>
        </w:rPr>
        <w:t xml:space="preserve"> و</w:t>
      </w:r>
      <w:r w:rsidRPr="0077192A">
        <w:t>SCCR 33/4</w:t>
      </w:r>
      <w:r w:rsidRPr="0077192A">
        <w:rPr>
          <w:rFonts w:hint="cs"/>
          <w:rtl/>
        </w:rPr>
        <w:t xml:space="preserve"> و</w:t>
      </w:r>
      <w:r w:rsidRPr="0077192A">
        <w:t>SCCR 33/6</w:t>
      </w:r>
      <w:r w:rsidRPr="0077192A">
        <w:rPr>
          <w:rFonts w:hint="cs"/>
          <w:rtl/>
        </w:rPr>
        <w:t xml:space="preserve"> و</w:t>
      </w:r>
      <w:r w:rsidRPr="0077192A">
        <w:t>SCCR 34/6</w:t>
      </w:r>
      <w:r w:rsidRPr="0077192A">
        <w:rPr>
          <w:rtl/>
        </w:rPr>
        <w:t xml:space="preserve"> </w:t>
      </w:r>
      <w:r w:rsidRPr="0077192A">
        <w:rPr>
          <w:rFonts w:hint="cs"/>
          <w:rtl/>
        </w:rPr>
        <w:t>و</w:t>
      </w:r>
      <w:r w:rsidRPr="0077192A">
        <w:t>SCCR 35/3</w:t>
      </w:r>
      <w:r w:rsidRPr="0077192A">
        <w:rPr>
          <w:rtl/>
        </w:rPr>
        <w:t xml:space="preserve"> </w:t>
      </w:r>
      <w:r w:rsidRPr="0077192A">
        <w:rPr>
          <w:rFonts w:hint="cs"/>
          <w:rtl/>
        </w:rPr>
        <w:t>و</w:t>
      </w:r>
      <w:r w:rsidRPr="0077192A">
        <w:t>SCCR/35/5 Rev.</w:t>
      </w:r>
      <w:r w:rsidR="0077192A" w:rsidRPr="0077192A">
        <w:rPr>
          <w:rFonts w:hint="cs"/>
          <w:rtl/>
        </w:rPr>
        <w:t xml:space="preserve"> و</w:t>
      </w:r>
      <w:r w:rsidR="0077192A" w:rsidRPr="0077192A">
        <w:t>SCCR/35/9</w:t>
      </w:r>
      <w:r w:rsidR="0077192A" w:rsidRPr="0077192A">
        <w:rPr>
          <w:rFonts w:hint="cs"/>
          <w:rtl/>
        </w:rPr>
        <w:t xml:space="preserve"> و</w:t>
      </w:r>
      <w:r w:rsidR="0077192A" w:rsidRPr="0077192A">
        <w:t>SCCR/36/3</w:t>
      </w:r>
      <w:r w:rsidR="00A822A5">
        <w:rPr>
          <w:rFonts w:hint="cs"/>
          <w:rtl/>
        </w:rPr>
        <w:t xml:space="preserve"> </w:t>
      </w:r>
      <w:r w:rsidR="00A822A5" w:rsidRPr="008A45D9">
        <w:rPr>
          <w:rFonts w:hint="cs"/>
          <w:rtl/>
        </w:rPr>
        <w:t>و</w:t>
      </w:r>
      <w:r w:rsidR="00A822A5" w:rsidRPr="008A45D9">
        <w:t>SCCR/36/</w:t>
      </w:r>
      <w:r w:rsidR="00A822A5">
        <w:t>7</w:t>
      </w:r>
      <w:r w:rsidR="00A822A5">
        <w:rPr>
          <w:rFonts w:hint="cs"/>
          <w:rtl/>
        </w:rPr>
        <w:t>.</w:t>
      </w:r>
    </w:p>
    <w:p w:rsidR="0077192A" w:rsidRDefault="0077192A" w:rsidP="00A822A5">
      <w:pPr>
        <w:pStyle w:val="NumberedParaAR"/>
      </w:pPr>
      <w:r w:rsidRPr="0077192A">
        <w:rPr>
          <w:rFonts w:hint="cs"/>
          <w:rtl/>
        </w:rPr>
        <w:t>و</w:t>
      </w:r>
      <w:r w:rsidR="00D21B92">
        <w:rPr>
          <w:rFonts w:hint="cs"/>
          <w:rtl/>
        </w:rPr>
        <w:t>عرض</w:t>
      </w:r>
      <w:r w:rsidRPr="0077192A">
        <w:rPr>
          <w:rFonts w:hint="cs"/>
          <w:rtl/>
        </w:rPr>
        <w:t xml:space="preserve"> الرئيس مشروع خطة العمل بشأن البند</w:t>
      </w:r>
      <w:r>
        <w:rPr>
          <w:rFonts w:hint="eastAsia"/>
          <w:rtl/>
        </w:rPr>
        <w:t> </w:t>
      </w:r>
      <w:r>
        <w:rPr>
          <w:rFonts w:hint="cs"/>
          <w:rtl/>
        </w:rPr>
        <w:t>7</w:t>
      </w:r>
      <w:r w:rsidRPr="0077192A">
        <w:rPr>
          <w:rFonts w:hint="cs"/>
          <w:rtl/>
        </w:rPr>
        <w:t xml:space="preserve"> من جدول الأعمال و</w:t>
      </w:r>
      <w:r>
        <w:rPr>
          <w:rFonts w:hint="cs"/>
          <w:rtl/>
        </w:rPr>
        <w:t>الوارد في</w:t>
      </w:r>
      <w:r w:rsidRPr="0077192A">
        <w:rPr>
          <w:rFonts w:hint="cs"/>
          <w:rtl/>
        </w:rPr>
        <w:t xml:space="preserve"> الوثيقة</w:t>
      </w:r>
      <w:r w:rsidRPr="0077192A">
        <w:rPr>
          <w:rFonts w:hint="eastAsia"/>
          <w:rtl/>
        </w:rPr>
        <w:t> </w:t>
      </w:r>
      <w:r w:rsidRPr="0077192A">
        <w:t>SCCR/36/3</w:t>
      </w:r>
      <w:r w:rsidRPr="0077192A">
        <w:rPr>
          <w:rFonts w:hint="cs"/>
          <w:rtl/>
        </w:rPr>
        <w:t>. وناقشت اللجنة الخطة في جلسة عامة وفي</w:t>
      </w:r>
      <w:r w:rsidR="008874E3">
        <w:rPr>
          <w:rFonts w:hint="cs"/>
          <w:rtl/>
        </w:rPr>
        <w:t xml:space="preserve"> جلسات غير رسمية</w:t>
      </w:r>
      <w:r w:rsidR="00A822A5">
        <w:rPr>
          <w:rFonts w:hint="cs"/>
          <w:rtl/>
        </w:rPr>
        <w:t xml:space="preserve"> </w:t>
      </w:r>
      <w:r w:rsidR="00A822A5" w:rsidRPr="00A822A5">
        <w:rPr>
          <w:rFonts w:hint="cs"/>
          <w:rtl/>
        </w:rPr>
        <w:t>وأدخلت التعديلات اللازمة عليها</w:t>
      </w:r>
      <w:r w:rsidR="00A822A5">
        <w:rPr>
          <w:rFonts w:hint="cs"/>
          <w:rtl/>
        </w:rPr>
        <w:t>.</w:t>
      </w:r>
      <w:r w:rsidR="00A822A5" w:rsidRPr="00A822A5">
        <w:rPr>
          <w:rFonts w:ascii="Arial" w:hAnsi="Arial" w:cs="Arial" w:hint="cs"/>
          <w:sz w:val="22"/>
          <w:szCs w:val="20"/>
          <w:rtl/>
        </w:rPr>
        <w:t xml:space="preserve"> </w:t>
      </w:r>
      <w:r w:rsidR="00A822A5" w:rsidRPr="00A822A5">
        <w:rPr>
          <w:rFonts w:hint="cs"/>
          <w:rtl/>
        </w:rPr>
        <w:t xml:space="preserve">وترد الوثيقة المعدّلة </w:t>
      </w:r>
      <w:r w:rsidR="00A822A5">
        <w:rPr>
          <w:rFonts w:hint="cs"/>
          <w:rtl/>
        </w:rPr>
        <w:t>كما</w:t>
      </w:r>
      <w:r w:rsidR="00A822A5" w:rsidRPr="00A822A5">
        <w:rPr>
          <w:rFonts w:hint="cs"/>
          <w:rtl/>
        </w:rPr>
        <w:t xml:space="preserve"> وافقت عليها اللجنة في الوثيقة</w:t>
      </w:r>
      <w:r w:rsidR="00A822A5" w:rsidRPr="00A822A5">
        <w:rPr>
          <w:rFonts w:hint="eastAsia"/>
          <w:rtl/>
        </w:rPr>
        <w:t> </w:t>
      </w:r>
      <w:r w:rsidR="00A822A5" w:rsidRPr="00A822A5">
        <w:t>SCCR/36/7</w:t>
      </w:r>
      <w:r w:rsidR="00A822A5" w:rsidRPr="00A822A5">
        <w:rPr>
          <w:rFonts w:hint="cs"/>
          <w:rtl/>
        </w:rPr>
        <w:t xml:space="preserve"> وستستخدمها اللجنة لمواصلة عملها تحت هذا البند من جدول الأعمال.</w:t>
      </w:r>
    </w:p>
    <w:p w:rsidR="0077192A" w:rsidRPr="0077192A" w:rsidRDefault="0077192A" w:rsidP="0077192A">
      <w:pPr>
        <w:pStyle w:val="NumberedParaAR"/>
      </w:pPr>
      <w:r w:rsidRPr="0077192A">
        <w:rPr>
          <w:rFonts w:hint="cs"/>
          <w:rtl/>
        </w:rPr>
        <w:t>وسيظل هذا البند مدرجا في جدول أعمال الدورة السابعة والثلاثين للجنة حق المؤلف.</w:t>
      </w:r>
    </w:p>
    <w:p w:rsidR="00A55C96" w:rsidRDefault="00A55C96" w:rsidP="00A55C96">
      <w:pPr>
        <w:pStyle w:val="NormalParaAR"/>
        <w:keepNext/>
        <w:rPr>
          <w:b/>
          <w:bCs/>
          <w:sz w:val="40"/>
          <w:szCs w:val="40"/>
        </w:rPr>
      </w:pPr>
      <w:r>
        <w:rPr>
          <w:rFonts w:hint="cs"/>
          <w:b/>
          <w:bCs/>
          <w:sz w:val="40"/>
          <w:szCs w:val="40"/>
          <w:rtl/>
        </w:rPr>
        <w:t>البند 8 من جدول الأعمال: مسائل أخرى</w:t>
      </w:r>
    </w:p>
    <w:p w:rsidR="00A55C96" w:rsidRPr="0077192A" w:rsidRDefault="00A55C96" w:rsidP="0077192A">
      <w:pPr>
        <w:pStyle w:val="NumberedParaAR"/>
      </w:pPr>
      <w:r w:rsidRPr="0077192A">
        <w:rPr>
          <w:rFonts w:hint="cs"/>
          <w:rtl/>
        </w:rPr>
        <w:t>الوثائق المتعلقة بهذا البند من جدول الأعمال هي </w:t>
      </w:r>
      <w:r w:rsidRPr="0077192A">
        <w:t>SCCR/31/4</w:t>
      </w:r>
      <w:r w:rsidRPr="0077192A">
        <w:rPr>
          <w:rFonts w:hint="cs"/>
          <w:rtl/>
        </w:rPr>
        <w:t xml:space="preserve"> و</w:t>
      </w:r>
      <w:r w:rsidRPr="0077192A">
        <w:t>SCCR/31/5</w:t>
      </w:r>
      <w:r w:rsidRPr="0077192A">
        <w:rPr>
          <w:rFonts w:hint="cs"/>
          <w:rtl/>
        </w:rPr>
        <w:t xml:space="preserve"> و</w:t>
      </w:r>
      <w:r w:rsidRPr="0077192A">
        <w:t>SCCR/35/4</w:t>
      </w:r>
      <w:r w:rsidRPr="0077192A">
        <w:rPr>
          <w:rFonts w:hint="cs"/>
          <w:rtl/>
        </w:rPr>
        <w:t xml:space="preserve"> و</w:t>
      </w:r>
      <w:r w:rsidRPr="0077192A">
        <w:t>SCCR/35/7</w:t>
      </w:r>
      <w:r w:rsidRPr="0077192A">
        <w:rPr>
          <w:rFonts w:hint="cs"/>
          <w:rtl/>
        </w:rPr>
        <w:t xml:space="preserve"> و</w:t>
      </w:r>
      <w:r w:rsidRPr="0077192A">
        <w:t>SCCR/35/8</w:t>
      </w:r>
      <w:r w:rsidRPr="0077192A">
        <w:rPr>
          <w:rFonts w:hint="cs"/>
          <w:rtl/>
        </w:rPr>
        <w:t xml:space="preserve"> و</w:t>
      </w:r>
      <w:r w:rsidRPr="0077192A">
        <w:t>SCCR/35/Summary Presentation Rev.</w:t>
      </w:r>
      <w:r w:rsidR="0077192A" w:rsidRPr="0077192A">
        <w:rPr>
          <w:rFonts w:hint="cs"/>
          <w:rtl/>
        </w:rPr>
        <w:t xml:space="preserve"> و</w:t>
      </w:r>
      <w:r w:rsidR="0077192A" w:rsidRPr="0077192A">
        <w:t>SCCR/36/4</w:t>
      </w:r>
      <w:r w:rsidR="0077192A" w:rsidRPr="0077192A">
        <w:rPr>
          <w:rFonts w:hint="cs"/>
          <w:rtl/>
        </w:rPr>
        <w:t>.</w:t>
      </w:r>
    </w:p>
    <w:p w:rsidR="0077192A" w:rsidRPr="00D21B92" w:rsidRDefault="0077192A" w:rsidP="00D21B92">
      <w:pPr>
        <w:pStyle w:val="NumberedParaAR"/>
      </w:pPr>
      <w:r w:rsidRPr="00D21B92">
        <w:rPr>
          <w:rFonts w:hint="cs"/>
          <w:rtl/>
        </w:rPr>
        <w:t>و</w:t>
      </w:r>
      <w:r w:rsidR="00D21B92">
        <w:rPr>
          <w:rFonts w:hint="cs"/>
          <w:rtl/>
        </w:rPr>
        <w:t>عرض</w:t>
      </w:r>
      <w:r w:rsidRPr="00D21B92">
        <w:rPr>
          <w:rFonts w:hint="cs"/>
          <w:rtl/>
        </w:rPr>
        <w:t xml:space="preserve"> الرئيس اقتراحه</w:t>
      </w:r>
      <w:r w:rsidR="00D21B92" w:rsidRPr="00D21B92">
        <w:rPr>
          <w:rFonts w:hint="cs"/>
          <w:rtl/>
        </w:rPr>
        <w:t xml:space="preserve"> الوارد في الوثيقة</w:t>
      </w:r>
      <w:r w:rsidR="00D21B92">
        <w:rPr>
          <w:rFonts w:hint="eastAsia"/>
          <w:rtl/>
        </w:rPr>
        <w:t> </w:t>
      </w:r>
      <w:r w:rsidR="00D21B92" w:rsidRPr="00D21B92">
        <w:t>SCCR/36/4</w:t>
      </w:r>
      <w:r w:rsidR="003569DC">
        <w:rPr>
          <w:rFonts w:hint="cs"/>
          <w:rtl/>
        </w:rPr>
        <w:t xml:space="preserve">، </w:t>
      </w:r>
      <w:r w:rsidR="00D21B92" w:rsidRPr="00D21B92">
        <w:rPr>
          <w:rFonts w:hint="cs"/>
          <w:rtl/>
        </w:rPr>
        <w:t>المعنون</w:t>
      </w:r>
      <w:r w:rsidR="003569DC">
        <w:rPr>
          <w:rFonts w:hint="cs"/>
          <w:rtl/>
        </w:rPr>
        <w:t>ة</w:t>
      </w:r>
      <w:r w:rsidR="00D21B92" w:rsidRPr="00D21B92">
        <w:rPr>
          <w:rFonts w:hint="cs"/>
          <w:rtl/>
        </w:rPr>
        <w:t xml:space="preserve"> </w:t>
      </w:r>
      <w:r w:rsidR="00D21B92" w:rsidRPr="00D21B92">
        <w:rPr>
          <w:rFonts w:hint="cs"/>
          <w:i/>
          <w:iCs/>
          <w:rtl/>
        </w:rPr>
        <w:t>الخطوات المقبلة بشأن المسائل الأخرى</w:t>
      </w:r>
      <w:r w:rsidR="00D21B92" w:rsidRPr="00D21B92">
        <w:rPr>
          <w:rFonts w:hint="cs"/>
          <w:rtl/>
        </w:rPr>
        <w:t>.</w:t>
      </w:r>
    </w:p>
    <w:p w:rsidR="00A55C96" w:rsidRDefault="00C05C0C" w:rsidP="001C6247">
      <w:pPr>
        <w:pStyle w:val="NumberedParaAR"/>
      </w:pPr>
      <w:r>
        <w:rPr>
          <w:rFonts w:hint="cs"/>
          <w:rtl/>
        </w:rPr>
        <w:t>وفيما يخص موضوع حق ال</w:t>
      </w:r>
      <w:r w:rsidR="00A55C96" w:rsidRPr="00D21B92">
        <w:rPr>
          <w:rFonts w:hint="cs"/>
          <w:rtl/>
        </w:rPr>
        <w:t xml:space="preserve">تتبع، </w:t>
      </w:r>
      <w:r>
        <w:rPr>
          <w:rFonts w:hint="cs"/>
          <w:rtl/>
        </w:rPr>
        <w:t>وافقت</w:t>
      </w:r>
      <w:r w:rsidR="00A55C96" w:rsidRPr="00D21B92">
        <w:rPr>
          <w:rFonts w:hint="cs"/>
          <w:rtl/>
        </w:rPr>
        <w:t xml:space="preserve"> اللجنة </w:t>
      </w:r>
      <w:r w:rsidR="001C6247">
        <w:rPr>
          <w:rFonts w:hint="cs"/>
          <w:rtl/>
        </w:rPr>
        <w:t xml:space="preserve">على إنشاء فرقة </w:t>
      </w:r>
      <w:r>
        <w:rPr>
          <w:rFonts w:hint="cs"/>
          <w:rtl/>
        </w:rPr>
        <w:t xml:space="preserve">عمل </w:t>
      </w:r>
      <w:r w:rsidR="001C6247">
        <w:rPr>
          <w:rFonts w:hint="cs"/>
          <w:rtl/>
        </w:rPr>
        <w:t xml:space="preserve">مكوّنة من الأعضاء وأصحاب المصلحة لتقدم </w:t>
      </w:r>
      <w:r>
        <w:rPr>
          <w:rFonts w:hint="cs"/>
          <w:rtl/>
        </w:rPr>
        <w:t xml:space="preserve">تقريرا إلى اللجنة </w:t>
      </w:r>
      <w:r w:rsidR="001C6247">
        <w:rPr>
          <w:rFonts w:hint="cs"/>
          <w:rtl/>
        </w:rPr>
        <w:t xml:space="preserve">حول العناصر العملية لحق التتبع الخاص بالفنانين. وستقدم فرقة العمل تقريرا مرحليا إلى </w:t>
      </w:r>
      <w:r w:rsidR="001C6247" w:rsidRPr="001C6247">
        <w:rPr>
          <w:rFonts w:hint="cs"/>
          <w:rtl/>
        </w:rPr>
        <w:t>الدورة السابعة والثلاثين للجنة حق المؤلف</w:t>
      </w:r>
      <w:r w:rsidR="00485848">
        <w:rPr>
          <w:rFonts w:hint="cs"/>
          <w:rtl/>
        </w:rPr>
        <w:t>.</w:t>
      </w:r>
    </w:p>
    <w:p w:rsidR="00C05C0C" w:rsidRPr="00D21B92" w:rsidRDefault="00C05C0C" w:rsidP="00E16D40">
      <w:pPr>
        <w:pStyle w:val="NumberedParaAR"/>
      </w:pPr>
      <w:r w:rsidRPr="00D21B92">
        <w:rPr>
          <w:rFonts w:hint="cs"/>
          <w:rtl/>
        </w:rPr>
        <w:t xml:space="preserve">وفيما يخص تحليل حق المؤلف المتعلق بالبيئة الرقمية، </w:t>
      </w:r>
      <w:r w:rsidR="001C6247">
        <w:rPr>
          <w:rFonts w:hint="cs"/>
          <w:rtl/>
        </w:rPr>
        <w:t xml:space="preserve">رحّبت اللجنة باقتراح البرازيل الداعي إلى إجراء دارسة أخرى والتركيز فيها على خدمات الموسيقى الرقمية في المراحل الأولية، مع إمكانية أن تلي تلك الدراسة لاحقا دراسات تكميلية عن المصنفات السمعية البصرية والأدبية. والتمست اللجنة من الأمانة أن </w:t>
      </w:r>
      <w:r w:rsidR="00E16D40">
        <w:rPr>
          <w:rFonts w:hint="cs"/>
          <w:rtl/>
        </w:rPr>
        <w:t>تعرض عليها</w:t>
      </w:r>
      <w:r w:rsidR="001C6247">
        <w:rPr>
          <w:rFonts w:hint="cs"/>
          <w:rtl/>
        </w:rPr>
        <w:t xml:space="preserve"> في دروتها السابعة والثلاثين </w:t>
      </w:r>
      <w:r w:rsidR="00E16D40" w:rsidRPr="00E16D40">
        <w:rPr>
          <w:rFonts w:hint="cs"/>
          <w:rtl/>
        </w:rPr>
        <w:t>الأساليب المزمع اتباعها لإجراء الدارسة المذكورة.</w:t>
      </w:r>
    </w:p>
    <w:p w:rsidR="00A55C96" w:rsidRPr="00D21B92" w:rsidRDefault="00A55C96" w:rsidP="00E16D40">
      <w:pPr>
        <w:pStyle w:val="NumberedParaAR"/>
      </w:pPr>
      <w:r w:rsidRPr="00D21B92">
        <w:rPr>
          <w:rFonts w:hint="cs"/>
          <w:rtl/>
        </w:rPr>
        <w:t xml:space="preserve">وعرض وفد الاتحاد الروسي </w:t>
      </w:r>
      <w:r w:rsidRPr="00D21B92">
        <w:rPr>
          <w:rFonts w:hint="cs"/>
          <w:i/>
          <w:iCs/>
          <w:rtl/>
        </w:rPr>
        <w:t>الاقتراح المقدم من الاتحاد الروسي بشأن تعزيز حماية حقوق مخرجي المسرح على الصعيد الدولي</w:t>
      </w:r>
      <w:r w:rsidRPr="00D21B92">
        <w:rPr>
          <w:rFonts w:hint="cs"/>
          <w:rtl/>
        </w:rPr>
        <w:t>، والوارد في الوثيقة </w:t>
      </w:r>
      <w:r w:rsidRPr="00D21B92">
        <w:t>SCCR/35/8</w:t>
      </w:r>
      <w:r w:rsidR="00D21B92" w:rsidRPr="00D21B92">
        <w:rPr>
          <w:rFonts w:hint="cs"/>
          <w:rtl/>
        </w:rPr>
        <w:t xml:space="preserve">، </w:t>
      </w:r>
      <w:r w:rsidR="00E16D40">
        <w:rPr>
          <w:rFonts w:hint="cs"/>
          <w:rtl/>
        </w:rPr>
        <w:t xml:space="preserve">واقترح أن تضطلع اللجنة بدراسة حول هذا الموضوع. </w:t>
      </w:r>
      <w:r w:rsidR="00D21B92" w:rsidRPr="00D21B92">
        <w:rPr>
          <w:rFonts w:hint="cs"/>
          <w:rtl/>
        </w:rPr>
        <w:t xml:space="preserve">وقدمت الوفود </w:t>
      </w:r>
      <w:r w:rsidR="00E16D40">
        <w:rPr>
          <w:rFonts w:hint="cs"/>
          <w:rtl/>
        </w:rPr>
        <w:t xml:space="preserve">تعليقات على الاقتراح والتُمس من الأمانة </w:t>
      </w:r>
      <w:r w:rsidR="00E16D40" w:rsidRPr="00E16D40">
        <w:rPr>
          <w:rFonts w:hint="cs"/>
          <w:rtl/>
        </w:rPr>
        <w:t>أن ت</w:t>
      </w:r>
      <w:r w:rsidR="00CA1FC7">
        <w:rPr>
          <w:rFonts w:hint="cs"/>
          <w:rtl/>
        </w:rPr>
        <w:t>عرض على</w:t>
      </w:r>
      <w:r w:rsidR="00E16D40">
        <w:rPr>
          <w:rFonts w:hint="cs"/>
          <w:rtl/>
        </w:rPr>
        <w:t xml:space="preserve"> لجنة حق المؤلف</w:t>
      </w:r>
      <w:r w:rsidR="00E16D40" w:rsidRPr="00E16D40">
        <w:rPr>
          <w:rFonts w:hint="cs"/>
          <w:rtl/>
        </w:rPr>
        <w:t xml:space="preserve"> في دروتها السابعة والثلاثين الأساليب </w:t>
      </w:r>
      <w:r w:rsidR="00E16D40">
        <w:rPr>
          <w:rFonts w:hint="cs"/>
          <w:rtl/>
        </w:rPr>
        <w:t xml:space="preserve">المزمع اتباعها لإجراء </w:t>
      </w:r>
      <w:r w:rsidR="00E16D40" w:rsidRPr="00E16D40">
        <w:rPr>
          <w:rFonts w:hint="cs"/>
          <w:rtl/>
        </w:rPr>
        <w:t>الدارسة</w:t>
      </w:r>
      <w:r w:rsidR="00E16D40">
        <w:rPr>
          <w:rFonts w:hint="cs"/>
          <w:rtl/>
        </w:rPr>
        <w:t xml:space="preserve"> </w:t>
      </w:r>
      <w:r w:rsidR="00E16D40" w:rsidRPr="00E16D40">
        <w:rPr>
          <w:rFonts w:hint="cs"/>
          <w:rtl/>
        </w:rPr>
        <w:t>المذكورة.</w:t>
      </w:r>
    </w:p>
    <w:p w:rsidR="00A55C96" w:rsidRPr="00FB6D4E" w:rsidRDefault="00A55C96" w:rsidP="00D21B92">
      <w:pPr>
        <w:pStyle w:val="NumberedParaAR"/>
      </w:pPr>
      <w:r w:rsidRPr="00FB6D4E">
        <w:rPr>
          <w:rFonts w:hint="cs"/>
          <w:rtl/>
        </w:rPr>
        <w:t xml:space="preserve">وستظل هذه الموضوعات الثلاثة مدرجة في هذا البند من جدول أعمال الدورة </w:t>
      </w:r>
      <w:r w:rsidR="00D21B92" w:rsidRPr="00FB6D4E">
        <w:rPr>
          <w:rFonts w:hint="cs"/>
          <w:rtl/>
        </w:rPr>
        <w:t>السابعة</w:t>
      </w:r>
      <w:r w:rsidRPr="00FB6D4E">
        <w:rPr>
          <w:rFonts w:hint="cs"/>
          <w:rtl/>
        </w:rPr>
        <w:t xml:space="preserve"> والثلاثين للجنة حق المؤلف.</w:t>
      </w:r>
    </w:p>
    <w:p w:rsidR="00A55C96" w:rsidRDefault="00A55C96" w:rsidP="00A55C96">
      <w:pPr>
        <w:pStyle w:val="NormalParaAR"/>
        <w:keepNext/>
        <w:rPr>
          <w:b/>
          <w:bCs/>
          <w:sz w:val="40"/>
          <w:szCs w:val="40"/>
        </w:rPr>
      </w:pPr>
      <w:r>
        <w:rPr>
          <w:rFonts w:hint="cs"/>
          <w:b/>
          <w:bCs/>
          <w:sz w:val="40"/>
          <w:szCs w:val="40"/>
          <w:rtl/>
        </w:rPr>
        <w:t>ملخص الرئيس</w:t>
      </w:r>
    </w:p>
    <w:p w:rsidR="00A55C96" w:rsidRDefault="00A55C96" w:rsidP="00DF3325">
      <w:pPr>
        <w:pStyle w:val="NumberedParaAR"/>
      </w:pPr>
      <w:r w:rsidRPr="00DF3325">
        <w:rPr>
          <w:rFonts w:hint="cs"/>
          <w:rtl/>
        </w:rPr>
        <w:t xml:space="preserve">أحاطت اللجنة علما بمضمون هذا الملخص الذي أعده الرئيس. وأوضح الرئيس أن هذا الملخص يبلور آراء الرئيس بشأن نتائج الدورة </w:t>
      </w:r>
      <w:r w:rsidR="00DF3325" w:rsidRPr="00DF3325">
        <w:rPr>
          <w:rFonts w:hint="cs"/>
          <w:rtl/>
        </w:rPr>
        <w:t>السادسة</w:t>
      </w:r>
      <w:r w:rsidRPr="00DF3325">
        <w:rPr>
          <w:rFonts w:hint="cs"/>
          <w:rtl/>
        </w:rPr>
        <w:t xml:space="preserve"> والثلاثين للجنة حق المؤلف وأنه لا يخضع بالتالي لموافقة اللجنة.</w:t>
      </w:r>
    </w:p>
    <w:p w:rsidR="00A55C96" w:rsidRDefault="00A55C96" w:rsidP="00A55C96">
      <w:pPr>
        <w:pStyle w:val="NormalParaAR"/>
        <w:keepNext/>
        <w:rPr>
          <w:b/>
          <w:bCs/>
          <w:sz w:val="40"/>
          <w:szCs w:val="40"/>
          <w:rtl/>
        </w:rPr>
      </w:pPr>
      <w:r>
        <w:rPr>
          <w:rFonts w:hint="cs"/>
          <w:b/>
          <w:bCs/>
          <w:sz w:val="40"/>
          <w:szCs w:val="40"/>
          <w:rtl/>
        </w:rPr>
        <w:t>البند 9 من جدول الأعمال: اختتام الدورة</w:t>
      </w:r>
    </w:p>
    <w:p w:rsidR="00A55C96" w:rsidRPr="00DF3325" w:rsidRDefault="00A55C96" w:rsidP="00334C14">
      <w:pPr>
        <w:pStyle w:val="NumberedParaAR"/>
        <w:spacing w:after="480"/>
      </w:pPr>
      <w:r w:rsidRPr="00DF3325">
        <w:rPr>
          <w:rFonts w:hint="cs"/>
          <w:rtl/>
        </w:rPr>
        <w:t xml:space="preserve">ستعقد اللجنة دورتها </w:t>
      </w:r>
      <w:r w:rsidR="00334C14">
        <w:rPr>
          <w:rFonts w:hint="cs"/>
          <w:rtl/>
        </w:rPr>
        <w:t>المقبلة</w:t>
      </w:r>
      <w:r w:rsidRPr="00DF3325">
        <w:rPr>
          <w:rFonts w:hint="cs"/>
          <w:rtl/>
        </w:rPr>
        <w:t xml:space="preserve"> في الفترة من </w:t>
      </w:r>
      <w:r w:rsidR="00DF3325" w:rsidRPr="00DF3325">
        <w:rPr>
          <w:rFonts w:hint="cs"/>
          <w:rtl/>
        </w:rPr>
        <w:t>26</w:t>
      </w:r>
      <w:r w:rsidRPr="00DF3325">
        <w:rPr>
          <w:rFonts w:hint="cs"/>
          <w:rtl/>
        </w:rPr>
        <w:t xml:space="preserve"> إلى </w:t>
      </w:r>
      <w:r w:rsidR="00DF3325" w:rsidRPr="00DF3325">
        <w:rPr>
          <w:rFonts w:hint="cs"/>
          <w:rtl/>
        </w:rPr>
        <w:t>30</w:t>
      </w:r>
      <w:r w:rsidRPr="00DF3325">
        <w:rPr>
          <w:rFonts w:hint="cs"/>
          <w:rtl/>
        </w:rPr>
        <w:t> </w:t>
      </w:r>
      <w:r w:rsidR="00DF3325" w:rsidRPr="00DF3325">
        <w:rPr>
          <w:rFonts w:hint="cs"/>
          <w:rtl/>
        </w:rPr>
        <w:t>نوفمبر</w:t>
      </w:r>
      <w:r w:rsidRPr="00DF3325">
        <w:rPr>
          <w:rFonts w:hint="cs"/>
          <w:rtl/>
        </w:rPr>
        <w:t> 2018.</w:t>
      </w:r>
    </w:p>
    <w:p w:rsidR="00E036B7" w:rsidRPr="007F38D1" w:rsidRDefault="00A55C96" w:rsidP="00A55C96">
      <w:pPr>
        <w:pStyle w:val="EndofDocumentAR"/>
      </w:pPr>
      <w:r>
        <w:rPr>
          <w:rFonts w:hint="cs"/>
          <w:rtl/>
        </w:rPr>
        <w:t>[نهاية الوثيقة]</w:t>
      </w:r>
    </w:p>
    <w:sectPr w:rsidR="00E036B7" w:rsidRPr="007F38D1"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C96" w:rsidRDefault="00A55C96">
      <w:r>
        <w:separator/>
      </w:r>
    </w:p>
  </w:endnote>
  <w:endnote w:type="continuationSeparator" w:id="0">
    <w:p w:rsidR="00A55C96" w:rsidRDefault="00A5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C96" w:rsidRDefault="00A55C96" w:rsidP="009622BF">
      <w:pPr>
        <w:bidi/>
      </w:pPr>
      <w:bookmarkStart w:id="0" w:name="OLE_LINK1"/>
      <w:bookmarkStart w:id="1" w:name="OLE_LINK2"/>
      <w:r>
        <w:separator/>
      </w:r>
      <w:bookmarkEnd w:id="0"/>
      <w:bookmarkEnd w:id="1"/>
    </w:p>
  </w:footnote>
  <w:footnote w:type="continuationSeparator" w:id="0">
    <w:p w:rsidR="00A55C96" w:rsidRDefault="00A55C9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F77FC" w:rsidP="00D61541">
    <w:r>
      <w:fldChar w:fldCharType="begin"/>
    </w:r>
    <w:r>
      <w:instrText xml:space="preserve"> PAGE  \* MERGEFORMAT </w:instrText>
    </w:r>
    <w:r>
      <w:fldChar w:fldCharType="separate"/>
    </w:r>
    <w:r w:rsidR="00CE5ECA">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D174FC00"/>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C9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247"/>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6F"/>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59D"/>
    <w:rsid w:val="002E28F3"/>
    <w:rsid w:val="002E7615"/>
    <w:rsid w:val="002E7A2A"/>
    <w:rsid w:val="002E7F16"/>
    <w:rsid w:val="002F1425"/>
    <w:rsid w:val="002F2EC8"/>
    <w:rsid w:val="002F315A"/>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4C14"/>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69DC"/>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1FBA"/>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2A3"/>
    <w:rsid w:val="003E330E"/>
    <w:rsid w:val="003E3AE3"/>
    <w:rsid w:val="003E5733"/>
    <w:rsid w:val="003E5E27"/>
    <w:rsid w:val="003E6FD2"/>
    <w:rsid w:val="003E788F"/>
    <w:rsid w:val="003E7A97"/>
    <w:rsid w:val="003E7D3A"/>
    <w:rsid w:val="003F0859"/>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2CA6"/>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D6A"/>
    <w:rsid w:val="00472F56"/>
    <w:rsid w:val="0047335E"/>
    <w:rsid w:val="00473CA1"/>
    <w:rsid w:val="0047572C"/>
    <w:rsid w:val="00476407"/>
    <w:rsid w:val="00476E43"/>
    <w:rsid w:val="004773F7"/>
    <w:rsid w:val="00481F5F"/>
    <w:rsid w:val="004821D0"/>
    <w:rsid w:val="00482CB2"/>
    <w:rsid w:val="00483BAD"/>
    <w:rsid w:val="00483D06"/>
    <w:rsid w:val="00485848"/>
    <w:rsid w:val="00485A4A"/>
    <w:rsid w:val="00485CF7"/>
    <w:rsid w:val="004862C2"/>
    <w:rsid w:val="004863F7"/>
    <w:rsid w:val="00486FFC"/>
    <w:rsid w:val="00490ED4"/>
    <w:rsid w:val="00491B91"/>
    <w:rsid w:val="00491C21"/>
    <w:rsid w:val="00491C66"/>
    <w:rsid w:val="004935D6"/>
    <w:rsid w:val="00494195"/>
    <w:rsid w:val="004945FB"/>
    <w:rsid w:val="00496750"/>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A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41B"/>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69C9"/>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160F"/>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C5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92A"/>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5912"/>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4E3"/>
    <w:rsid w:val="00887A0E"/>
    <w:rsid w:val="008907F3"/>
    <w:rsid w:val="008920C2"/>
    <w:rsid w:val="00895702"/>
    <w:rsid w:val="00897566"/>
    <w:rsid w:val="0089757B"/>
    <w:rsid w:val="008A1594"/>
    <w:rsid w:val="008A1757"/>
    <w:rsid w:val="008A1CE6"/>
    <w:rsid w:val="008A1F25"/>
    <w:rsid w:val="008A45D9"/>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B3F"/>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677"/>
    <w:rsid w:val="00A53967"/>
    <w:rsid w:val="00A5455C"/>
    <w:rsid w:val="00A545EC"/>
    <w:rsid w:val="00A54C5F"/>
    <w:rsid w:val="00A54D3B"/>
    <w:rsid w:val="00A5578A"/>
    <w:rsid w:val="00A55C96"/>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22A5"/>
    <w:rsid w:val="00A83454"/>
    <w:rsid w:val="00A843FC"/>
    <w:rsid w:val="00A84DA5"/>
    <w:rsid w:val="00A85302"/>
    <w:rsid w:val="00A86119"/>
    <w:rsid w:val="00A8649F"/>
    <w:rsid w:val="00A86D25"/>
    <w:rsid w:val="00A877BD"/>
    <w:rsid w:val="00A8786B"/>
    <w:rsid w:val="00A902C4"/>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676"/>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5C0C"/>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221"/>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FC7"/>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5ECA"/>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0CA"/>
    <w:rsid w:val="00D2106F"/>
    <w:rsid w:val="00D21B92"/>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603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3325"/>
    <w:rsid w:val="00DF427A"/>
    <w:rsid w:val="00DF45C5"/>
    <w:rsid w:val="00DF5A8C"/>
    <w:rsid w:val="00DF71D8"/>
    <w:rsid w:val="00E00CCA"/>
    <w:rsid w:val="00E01623"/>
    <w:rsid w:val="00E036B7"/>
    <w:rsid w:val="00E03FE3"/>
    <w:rsid w:val="00E06951"/>
    <w:rsid w:val="00E10C94"/>
    <w:rsid w:val="00E10EC4"/>
    <w:rsid w:val="00E118D7"/>
    <w:rsid w:val="00E13F46"/>
    <w:rsid w:val="00E15BD4"/>
    <w:rsid w:val="00E16458"/>
    <w:rsid w:val="00E16D40"/>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476"/>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D4E"/>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616"/>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FF3616"/>
    <w:rPr>
      <w:rFonts w:ascii="Tahoma" w:hAnsi="Tahoma" w:cs="Tahoma"/>
      <w:sz w:val="16"/>
      <w:szCs w:val="16"/>
    </w:rPr>
  </w:style>
  <w:style w:type="character" w:customStyle="1" w:styleId="BalloonTextChar">
    <w:name w:val="Balloon Text Char"/>
    <w:basedOn w:val="DefaultParagraphFont"/>
    <w:link w:val="BalloonText"/>
    <w:rsid w:val="00FF3616"/>
    <w:rPr>
      <w:rFonts w:ascii="Tahoma" w:hAnsi="Tahoma" w:cs="Tahoma"/>
      <w:sz w:val="16"/>
      <w:szCs w:val="16"/>
    </w:rPr>
  </w:style>
  <w:style w:type="character" w:styleId="Hyperlink">
    <w:name w:val="Hyperlink"/>
    <w:basedOn w:val="DefaultParagraphFont"/>
    <w:unhideWhenUsed/>
    <w:rsid w:val="00A55C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FF3616"/>
    <w:rPr>
      <w:rFonts w:ascii="Tahoma" w:hAnsi="Tahoma" w:cs="Tahoma"/>
      <w:sz w:val="16"/>
      <w:szCs w:val="16"/>
    </w:rPr>
  </w:style>
  <w:style w:type="character" w:customStyle="1" w:styleId="BalloonTextChar">
    <w:name w:val="Balloon Text Char"/>
    <w:basedOn w:val="DefaultParagraphFont"/>
    <w:link w:val="BalloonText"/>
    <w:rsid w:val="00FF3616"/>
    <w:rPr>
      <w:rFonts w:ascii="Tahoma" w:hAnsi="Tahoma" w:cs="Tahoma"/>
      <w:sz w:val="16"/>
      <w:szCs w:val="16"/>
    </w:rPr>
  </w:style>
  <w:style w:type="character" w:styleId="Hyperlink">
    <w:name w:val="Hyperlink"/>
    <w:basedOn w:val="DefaultParagraphFont"/>
    <w:unhideWhenUsed/>
    <w:rsid w:val="00A55C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563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4897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SCCR/36/-- (Arabic)</vt:lpstr>
    </vt:vector>
  </TitlesOfParts>
  <Company>World Intellectual Property Organization</Company>
  <LinksUpToDate>false</LinksUpToDate>
  <CharactersWithSpaces>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 (Arabic)</dc:title>
  <dc:creator>MERZOUK Fawzi</dc:creator>
  <cp:lastModifiedBy>HAIZEL Francesca</cp:lastModifiedBy>
  <cp:revision>2</cp:revision>
  <cp:lastPrinted>2018-06-04T10:49:00Z</cp:lastPrinted>
  <dcterms:created xsi:type="dcterms:W3CDTF">2018-06-05T13:37:00Z</dcterms:created>
  <dcterms:modified xsi:type="dcterms:W3CDTF">2018-06-05T13:37:00Z</dcterms:modified>
</cp:coreProperties>
</file>