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B97ED4" w:rsidP="00496750">
            <w:pPr>
              <w:pStyle w:val="DocumentCodeAR"/>
              <w:bidi/>
              <w:rPr>
                <w:rtl/>
              </w:rPr>
            </w:pPr>
            <w:r w:rsidRPr="00B97ED4">
              <w:t>SCCR/36/3</w:t>
            </w:r>
            <w:r w:rsidRPr="00B97ED4">
              <w:rPr>
                <w:rtl/>
              </w:rPr>
              <w:t xml:space="preserve">    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3675F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B3675F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97ED4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B97ED4">
              <w:t>20</w:t>
            </w:r>
            <w:r w:rsidRPr="00B6101C">
              <w:rPr>
                <w:rFonts w:hint="cs"/>
                <w:rtl/>
              </w:rPr>
              <w:t xml:space="preserve"> </w:t>
            </w:r>
            <w:r w:rsidR="00B97ED4">
              <w:rPr>
                <w:rFonts w:hint="cs"/>
                <w:rtl/>
                <w:lang w:bidi="ar-MA"/>
              </w:rPr>
              <w:t>أبريل</w:t>
            </w:r>
            <w:r w:rsidRPr="00B6101C">
              <w:rPr>
                <w:rFonts w:hint="cs"/>
                <w:rtl/>
              </w:rPr>
              <w:t xml:space="preserve"> </w:t>
            </w:r>
            <w:r w:rsidR="00E036B7">
              <w:rPr>
                <w:rFonts w:hint="cs"/>
                <w:rtl/>
              </w:rPr>
              <w:t>2018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F40476" w:rsidP="00796CF7">
      <w:pPr>
        <w:pStyle w:val="MeetingTitleAR"/>
        <w:bidi/>
        <w:ind w:right="550"/>
        <w:rPr>
          <w:rtl/>
        </w:rPr>
      </w:pPr>
      <w:r w:rsidRPr="00F40476">
        <w:rPr>
          <w:rtl/>
        </w:rPr>
        <w:t>اللجنة الدائمة المعنية بحق المؤلف والحقوق المجاورة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4F24AC" w:rsidP="00E036B7">
      <w:pPr>
        <w:pStyle w:val="MeetingSessionAR"/>
        <w:bidi/>
        <w:rPr>
          <w:rFonts w:ascii="Cambria Math" w:hAnsi="Cambria Math"/>
          <w:rtl/>
        </w:rPr>
      </w:pPr>
      <w:r>
        <w:rPr>
          <w:rFonts w:ascii="Cambria Math" w:hAnsi="Cambria Math"/>
          <w:rtl/>
        </w:rPr>
        <w:t xml:space="preserve">الدورة </w:t>
      </w:r>
      <w:r w:rsidR="00E036B7">
        <w:rPr>
          <w:rFonts w:ascii="Cambria Math" w:hAnsi="Cambria Math" w:hint="cs"/>
          <w:rtl/>
        </w:rPr>
        <w:t>السادسة</w:t>
      </w:r>
      <w:r w:rsidR="00F40476" w:rsidRPr="00F40476">
        <w:rPr>
          <w:rFonts w:ascii="Cambria Math" w:hAnsi="Cambria Math"/>
          <w:rtl/>
        </w:rPr>
        <w:t xml:space="preserve"> والثلاثون</w:t>
      </w:r>
    </w:p>
    <w:p w:rsidR="00D61541" w:rsidRPr="00D61541" w:rsidRDefault="00F40476" w:rsidP="00E036B7">
      <w:pPr>
        <w:pStyle w:val="MeetingDatesAR"/>
        <w:bidi/>
        <w:rPr>
          <w:rtl/>
        </w:rPr>
      </w:pPr>
      <w:r w:rsidRPr="00F40476">
        <w:rPr>
          <w:rtl/>
        </w:rPr>
        <w:t xml:space="preserve">جنيف، من </w:t>
      </w:r>
      <w:r w:rsidR="00E036B7">
        <w:rPr>
          <w:rFonts w:hint="cs"/>
          <w:rtl/>
        </w:rPr>
        <w:t xml:space="preserve">28 </w:t>
      </w:r>
      <w:r w:rsidR="00303655">
        <w:rPr>
          <w:rFonts w:hint="cs"/>
          <w:rtl/>
        </w:rPr>
        <w:t xml:space="preserve">مايو </w:t>
      </w:r>
      <w:r w:rsidR="00E036B7">
        <w:rPr>
          <w:rFonts w:hint="cs"/>
          <w:rtl/>
        </w:rPr>
        <w:t>و</w:t>
      </w:r>
      <w:r w:rsidRPr="00F40476">
        <w:rPr>
          <w:rtl/>
        </w:rPr>
        <w:t xml:space="preserve"> إلى </w:t>
      </w:r>
      <w:r w:rsidR="00E036B7">
        <w:rPr>
          <w:rFonts w:hint="cs"/>
          <w:rtl/>
        </w:rPr>
        <w:t>1</w:t>
      </w:r>
      <w:r w:rsidRPr="00F40476">
        <w:rPr>
          <w:rtl/>
        </w:rPr>
        <w:t xml:space="preserve"> </w:t>
      </w:r>
      <w:r w:rsidR="00E036B7">
        <w:rPr>
          <w:rFonts w:hint="cs"/>
          <w:rtl/>
        </w:rPr>
        <w:t>يونيو</w:t>
      </w:r>
      <w:r w:rsidR="00A902C4">
        <w:rPr>
          <w:rFonts w:hint="cs"/>
          <w:rtl/>
        </w:rPr>
        <w:t xml:space="preserve"> </w:t>
      </w:r>
      <w:r w:rsidR="00E036B7">
        <w:rPr>
          <w:rFonts w:hint="cs"/>
          <w:rtl/>
        </w:rPr>
        <w:t>2018</w:t>
      </w:r>
      <w:bookmarkStart w:id="2" w:name="_GoBack"/>
      <w:bookmarkEnd w:id="2"/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15769C" w:rsidRDefault="00B3675F" w:rsidP="0015769C">
      <w:pPr>
        <w:pStyle w:val="DocumentTitleAR"/>
        <w:bidi/>
        <w:rPr>
          <w:rtl/>
        </w:rPr>
      </w:pPr>
      <w:r>
        <w:rPr>
          <w:rFonts w:hint="cs"/>
          <w:rtl/>
        </w:rPr>
        <w:t xml:space="preserve">مشروع </w:t>
      </w:r>
      <w:r w:rsidR="0015769C">
        <w:rPr>
          <w:rFonts w:hint="cs"/>
          <w:rtl/>
        </w:rPr>
        <w:t>خطط</w:t>
      </w:r>
      <w:r>
        <w:rPr>
          <w:rFonts w:hint="cs"/>
          <w:rtl/>
        </w:rPr>
        <w:t xml:space="preserve"> الأعمال</w:t>
      </w:r>
      <w:r w:rsidR="0015769C">
        <w:rPr>
          <w:rFonts w:hint="cs"/>
          <w:rtl/>
        </w:rPr>
        <w:t xml:space="preserve"> بشأن التقييدات والاستثناءات من خلال </w:t>
      </w:r>
      <w:r w:rsidR="0015769C" w:rsidRPr="0015769C">
        <w:rPr>
          <w:rtl/>
        </w:rPr>
        <w:t xml:space="preserve">الدورة 39 للجنة </w:t>
      </w:r>
      <w:r w:rsidR="0015769C" w:rsidRPr="0015769C">
        <w:rPr>
          <w:b/>
          <w:bCs/>
          <w:rtl/>
        </w:rPr>
        <w:t xml:space="preserve">حق </w:t>
      </w:r>
      <w:r w:rsidR="0015769C" w:rsidRPr="0015769C">
        <w:rPr>
          <w:rtl/>
        </w:rPr>
        <w:t>المؤلف</w:t>
      </w:r>
      <w:r w:rsidR="0015769C" w:rsidRPr="0015769C">
        <w:rPr>
          <w:rFonts w:hint="cs"/>
          <w:rtl/>
        </w:rPr>
        <w:t xml:space="preserve"> (الاجتماع الثاني عام 2019)</w:t>
      </w:r>
    </w:p>
    <w:p w:rsidR="00D61541" w:rsidRDefault="00D61541" w:rsidP="0015769C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B3675F">
        <w:rPr>
          <w:rFonts w:hint="cs"/>
          <w:rtl/>
        </w:rPr>
        <w:t xml:space="preserve"> </w:t>
      </w:r>
      <w:r w:rsidR="0015769C">
        <w:rPr>
          <w:rFonts w:hint="cs"/>
          <w:rtl/>
        </w:rPr>
        <w:t>الرئيس</w:t>
      </w:r>
    </w:p>
    <w:p w:rsidR="00B46E36" w:rsidRDefault="00B46E36" w:rsidP="00B46E36">
      <w:pPr>
        <w:pStyle w:val="NormalParaAR"/>
        <w:rPr>
          <w:rtl/>
        </w:rPr>
      </w:pPr>
    </w:p>
    <w:p w:rsidR="00B46E36" w:rsidRDefault="00B46E36" w:rsidP="00B46E36">
      <w:pPr>
        <w:pStyle w:val="NormalParaAR"/>
        <w:rPr>
          <w:rtl/>
        </w:rPr>
      </w:pPr>
    </w:p>
    <w:p w:rsidR="00B46E36" w:rsidRDefault="00B46E36" w:rsidP="00B46E36">
      <w:pPr>
        <w:pStyle w:val="NormalParaAR"/>
        <w:rPr>
          <w:rtl/>
        </w:rPr>
      </w:pPr>
    </w:p>
    <w:p w:rsidR="00B46E36" w:rsidRDefault="00B46E36" w:rsidP="00B46E36">
      <w:pPr>
        <w:pStyle w:val="NormalParaAR"/>
        <w:rPr>
          <w:rtl/>
        </w:rPr>
      </w:pPr>
    </w:p>
    <w:p w:rsidR="00B46E36" w:rsidRDefault="00B46E36" w:rsidP="00B46E36">
      <w:pPr>
        <w:pStyle w:val="NormalParaAR"/>
        <w:rPr>
          <w:rtl/>
        </w:rPr>
      </w:pPr>
    </w:p>
    <w:p w:rsidR="00B46E36" w:rsidRDefault="00B46E36" w:rsidP="00B46E36">
      <w:pPr>
        <w:pStyle w:val="NormalParaAR"/>
        <w:rPr>
          <w:rtl/>
        </w:rPr>
      </w:pPr>
    </w:p>
    <w:p w:rsidR="00B46E36" w:rsidRDefault="00B46E36" w:rsidP="00B46E36">
      <w:pPr>
        <w:pStyle w:val="NormalParaAR"/>
        <w:rPr>
          <w:rtl/>
        </w:rPr>
      </w:pPr>
    </w:p>
    <w:p w:rsidR="00B46E36" w:rsidRDefault="00B46E36" w:rsidP="00B46E36">
      <w:pPr>
        <w:pStyle w:val="NormalParaAR"/>
        <w:rPr>
          <w:rtl/>
        </w:rPr>
      </w:pPr>
    </w:p>
    <w:p w:rsidR="00B46E36" w:rsidRDefault="00B46E36" w:rsidP="00B46E36">
      <w:pPr>
        <w:pStyle w:val="NormalParaAR"/>
        <w:rPr>
          <w:rtl/>
        </w:rPr>
      </w:pPr>
    </w:p>
    <w:p w:rsidR="00B46E36" w:rsidRDefault="00B46E36" w:rsidP="00B46E36">
      <w:pPr>
        <w:pStyle w:val="NormalParaAR"/>
        <w:rPr>
          <w:rtl/>
        </w:rPr>
      </w:pPr>
    </w:p>
    <w:p w:rsidR="00B46E36" w:rsidRDefault="00B46E36" w:rsidP="00B46E36">
      <w:pPr>
        <w:pStyle w:val="NormalParaAR"/>
        <w:rPr>
          <w:rtl/>
        </w:rPr>
      </w:pPr>
    </w:p>
    <w:p w:rsidR="00B46E36" w:rsidRDefault="00B46E36" w:rsidP="00B46E36">
      <w:pPr>
        <w:pStyle w:val="NormalParaAR"/>
        <w:rPr>
          <w:rtl/>
        </w:rPr>
      </w:pPr>
      <w:r w:rsidRPr="00B46E36">
        <w:rPr>
          <w:rtl/>
        </w:rPr>
        <w:lastRenderedPageBreak/>
        <w:t>مشروع خطط الأعمال بشأن التقييدات والاستثناءات من خلال الدورة 39 للجنة حق المؤلف</w:t>
      </w:r>
    </w:p>
    <w:p w:rsidR="00A84709" w:rsidRDefault="00B46E36" w:rsidP="00A84709">
      <w:pPr>
        <w:pStyle w:val="NormalParaAR"/>
        <w:rPr>
          <w:rtl/>
        </w:rPr>
      </w:pPr>
      <w:r w:rsidRPr="00B46E36">
        <w:rPr>
          <w:rtl/>
        </w:rPr>
        <w:t xml:space="preserve">مشروع </w:t>
      </w:r>
      <w:r>
        <w:rPr>
          <w:rFonts w:hint="cs"/>
          <w:rtl/>
        </w:rPr>
        <w:t>خطة</w:t>
      </w:r>
      <w:r w:rsidRPr="00B46E36">
        <w:rPr>
          <w:rtl/>
        </w:rPr>
        <w:t xml:space="preserve"> الأعمال</w:t>
      </w:r>
      <w:r>
        <w:rPr>
          <w:rFonts w:hint="cs"/>
          <w:rtl/>
        </w:rPr>
        <w:t xml:space="preserve"> -</w:t>
      </w:r>
      <w:r w:rsidRPr="00B46E36">
        <w:rPr>
          <w:rtl/>
        </w:rPr>
        <w:t xml:space="preserve"> المكتبات ودور المحفوظات</w:t>
      </w:r>
      <w:r w:rsidR="00A84709">
        <w:rPr>
          <w:rFonts w:hint="cs"/>
          <w:rtl/>
        </w:rPr>
        <w:t xml:space="preserve"> والمتاحف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18"/>
        <w:gridCol w:w="2071"/>
      </w:tblGrid>
      <w:tr w:rsidR="00A84709" w:rsidRPr="00A12340" w:rsidTr="00ED5103">
        <w:tc>
          <w:tcPr>
            <w:tcW w:w="7218" w:type="dxa"/>
          </w:tcPr>
          <w:p w:rsidR="00A84709" w:rsidRPr="00A12340" w:rsidRDefault="00A84709" w:rsidP="000C56B8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 w:rsidRPr="00B82EE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1. وضع تصنيف نموذجي لمختلف الآليات </w:t>
            </w:r>
            <w:r w:rsidRPr="002E7740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التشريعية وغيرها من الآليات المرتبطة بتطبيق نظام التقييدات والاستثناءات على المكتبات</w:t>
            </w:r>
            <w:r w:rsidR="006723CE" w:rsidRPr="002E7740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أولا وعلى المحفوظات والمتاحف لاحقا</w:t>
            </w:r>
            <w:r w:rsidRPr="002E7740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. وسيستند هذا العمل بقدر كبير إلى</w:t>
            </w:r>
            <w:r w:rsidR="00CD77A8" w:rsidRPr="002E7740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الوثائق </w:t>
            </w:r>
            <w:r w:rsidR="000C56B8" w:rsidRPr="002E7740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الموجودة</w:t>
            </w:r>
            <w:r w:rsidRPr="002E7740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</w:t>
            </w:r>
            <w:r w:rsidR="00CD77A8" w:rsidRPr="002E7740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للجنة</w:t>
            </w:r>
            <w:r w:rsidR="000C56B8" w:rsidRPr="002E7740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حق</w:t>
            </w:r>
            <w:r w:rsidRPr="002E7740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المؤلف </w:t>
            </w:r>
            <w:r w:rsidR="000C56B8" w:rsidRPr="002E7740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بشأن موضوع المكتبات والوثائق الموجودة والمستقبلية بشأن المحفوظات والمتاحف.</w:t>
            </w:r>
            <w:r w:rsidR="00754C72" w:rsidRPr="002E7740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وقد يكون هناك تركيز على المجالات الثلاثة الآتية المشتركة بين جميع المؤسسات المستفيدة:</w:t>
            </w:r>
            <w:r w:rsidR="000C56B8" w:rsidRPr="002E7740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</w:t>
            </w:r>
            <w:r w:rsidR="00754C72" w:rsidRPr="002E7740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صون المصنفات والنفاذ إليها واستغلالها، لا سيما في البيئة الرقمية</w:t>
            </w:r>
            <w:r w:rsidR="00754C72" w:rsidRPr="002E7740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.</w:t>
            </w:r>
          </w:p>
        </w:tc>
        <w:tc>
          <w:tcPr>
            <w:tcW w:w="2071" w:type="dxa"/>
          </w:tcPr>
          <w:p w:rsidR="00A84709" w:rsidRDefault="00D94E19" w:rsidP="00DE3C6B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المكتبات - </w:t>
            </w:r>
            <w:r w:rsidR="00A84709" w:rsidRPr="00B82EE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النصف 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الثاني</w:t>
            </w:r>
            <w:r w:rsidR="00A84709" w:rsidRPr="00B82EE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من 2018 (يُقدم تقرير في هذا الشأن خلال الدورة 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37</w:t>
            </w:r>
            <w:r w:rsidR="00A84709" w:rsidRPr="00B82EE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للجنة حق المؤلف</w:t>
            </w:r>
            <w:r w:rsidR="00925510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، </w:t>
            </w:r>
            <w:r w:rsidR="00DE3C6B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نوفمبر</w:t>
            </w:r>
            <w:r w:rsidR="00925510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2018</w:t>
            </w:r>
            <w:r w:rsidR="00A84709" w:rsidRPr="00B82EE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)</w:t>
            </w:r>
          </w:p>
          <w:p w:rsidR="00925510" w:rsidRPr="00A12340" w:rsidRDefault="00B63D5F" w:rsidP="004F214F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المحفوظات والمتاحف -</w:t>
            </w:r>
            <w:r w:rsidRPr="00B63D5F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النصف 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الأول</w:t>
            </w:r>
            <w:r w:rsidRPr="00B63D5F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 من 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2019</w:t>
            </w:r>
            <w:r w:rsidRPr="00B63D5F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 (يُقدم تقرير في هذا الشأن خلال الدورة 3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8</w:t>
            </w:r>
            <w:r w:rsidRPr="00B63D5F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 للجنة حق المؤلف، </w:t>
            </w:r>
            <w:r w:rsidR="0030365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مايو 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/يونيو</w:t>
            </w:r>
            <w:r w:rsidRPr="00B63D5F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 201</w:t>
            </w:r>
            <w:r w:rsidR="004F214F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9</w:t>
            </w:r>
            <w:r w:rsidRPr="00B63D5F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)</w:t>
            </w:r>
          </w:p>
        </w:tc>
      </w:tr>
      <w:tr w:rsidR="00A84709" w:rsidRPr="00A12340" w:rsidTr="00ED5103">
        <w:tc>
          <w:tcPr>
            <w:tcW w:w="7218" w:type="dxa"/>
          </w:tcPr>
          <w:p w:rsidR="00A84709" w:rsidRPr="005E6876" w:rsidRDefault="00A84709" w:rsidP="002958E6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rtl/>
                <w:lang w:val="en-GB" w:eastAsia="zh-CN" w:bidi="ar-MA"/>
              </w:rPr>
            </w:pPr>
            <w:r w:rsidRPr="00B82EE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2. </w:t>
            </w:r>
            <w:r w:rsidR="002958E6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val="en-GB" w:eastAsia="zh-CN" w:bidi="ar-MA"/>
              </w:rPr>
              <w:t>الأمر بالقيام</w:t>
            </w:r>
            <w:r w:rsidR="005E6876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val="en-GB" w:eastAsia="zh-CN" w:bidi="ar-MA"/>
              </w:rPr>
              <w:t xml:space="preserve"> </w:t>
            </w:r>
            <w:r w:rsidR="002958E6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val="en-GB" w:eastAsia="zh-CN" w:bidi="ar-MA"/>
              </w:rPr>
              <w:t>بدراسة ل</w:t>
            </w:r>
            <w:r w:rsidR="005E6876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val="en-GB" w:eastAsia="zh-CN" w:bidi="ar-MA"/>
              </w:rPr>
              <w:t>لنطاق</w:t>
            </w:r>
            <w:r w:rsidR="002958E6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val="en-GB" w:eastAsia="zh-CN" w:bidi="ar-MA"/>
              </w:rPr>
              <w:t xml:space="preserve"> والاضطلاع بها</w:t>
            </w:r>
            <w:r w:rsidR="001C428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val="en-GB" w:eastAsia="zh-CN" w:bidi="ar-MA"/>
              </w:rPr>
              <w:t xml:space="preserve"> </w:t>
            </w:r>
            <w:r w:rsidR="002958E6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val="en-GB" w:eastAsia="zh-CN" w:bidi="ar-MA"/>
              </w:rPr>
              <w:t>وذلك</w:t>
            </w:r>
            <w:r w:rsidR="005E6876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val="en-GB" w:eastAsia="zh-CN" w:bidi="ar-MA"/>
              </w:rPr>
              <w:t xml:space="preserve"> </w:t>
            </w:r>
            <w:r w:rsidR="002958E6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val="en-GB" w:eastAsia="zh-CN" w:bidi="ar-MA"/>
              </w:rPr>
              <w:t>بالتركيز</w:t>
            </w:r>
            <w:r w:rsidR="005E6876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val="en-GB" w:eastAsia="zh-CN" w:bidi="ar-MA"/>
              </w:rPr>
              <w:t xml:space="preserve"> على المحفوظات.</w:t>
            </w:r>
          </w:p>
        </w:tc>
        <w:tc>
          <w:tcPr>
            <w:tcW w:w="2071" w:type="dxa"/>
          </w:tcPr>
          <w:p w:rsidR="00A84709" w:rsidRPr="00A12340" w:rsidRDefault="00D40B2D" w:rsidP="00D40B2D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 w:rsidRPr="00D40B2D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النصف الثاني من 2018 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والنصف الأول من 2019 </w:t>
            </w:r>
            <w:r w:rsidRPr="00D40B2D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(يُقدم تقرير 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تمهيدي </w:t>
            </w:r>
            <w:r w:rsidRPr="00D40B2D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في هذا الشأن خلال الدورة 37 للجنة حق المؤلف</w:t>
            </w:r>
            <w:r w:rsidR="00BB3E92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، نوفمبر 2018،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وتقرير نهائي أثناء ا</w:t>
            </w:r>
            <w:r w:rsidRPr="00D40B2D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لدورة 3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8</w:t>
            </w:r>
            <w:r w:rsidRPr="00D40B2D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 للجنة حق المؤلف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،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 w:bidi="ar-MA"/>
              </w:rPr>
              <w:t xml:space="preserve"> </w:t>
            </w:r>
            <w:r w:rsidR="00303655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مايو </w:t>
            </w:r>
            <w:r w:rsidRPr="00D40B2D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/يونيو 2019)</w:t>
            </w:r>
          </w:p>
        </w:tc>
      </w:tr>
      <w:tr w:rsidR="00A84709" w:rsidRPr="00A12340" w:rsidTr="00ED5103">
        <w:tc>
          <w:tcPr>
            <w:tcW w:w="7218" w:type="dxa"/>
          </w:tcPr>
          <w:p w:rsidR="00A84709" w:rsidRPr="00A12340" w:rsidRDefault="00A84709" w:rsidP="00BB3E92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 w:rsidRPr="00B82EE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3. </w:t>
            </w:r>
            <w:r w:rsidR="00BB3E92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إنهاء</w:t>
            </w:r>
            <w:r w:rsidR="001C428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دراسة النطاق الجارية بشأن المتاحف.</w:t>
            </w:r>
          </w:p>
        </w:tc>
        <w:tc>
          <w:tcPr>
            <w:tcW w:w="2071" w:type="dxa"/>
          </w:tcPr>
          <w:p w:rsidR="00A84709" w:rsidRPr="00A12340" w:rsidRDefault="001C4285" w:rsidP="0079092C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 w:rsidRPr="001C4285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النصف الثاني من 2018 (يُقدم تقرير في هذا الشأن خلال الدورة 37 للجنة حق المؤلف، </w:t>
            </w:r>
            <w:r w:rsidR="0079092C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نوفمبر</w:t>
            </w:r>
            <w:r w:rsidRPr="001C4285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 2018)</w:t>
            </w:r>
          </w:p>
        </w:tc>
      </w:tr>
      <w:tr w:rsidR="00A84709" w:rsidRPr="00A12340" w:rsidTr="00ED5103">
        <w:tc>
          <w:tcPr>
            <w:tcW w:w="7218" w:type="dxa"/>
          </w:tcPr>
          <w:p w:rsidR="00A84709" w:rsidRPr="00A12340" w:rsidRDefault="00A84709" w:rsidP="00303655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 w:rsidRPr="00B82EE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lastRenderedPageBreak/>
              <w:t xml:space="preserve">4. </w:t>
            </w:r>
            <w:r w:rsidR="002C5FEB" w:rsidRPr="002C5FEB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القيام بعملية استثارة للأفكار</w:t>
            </w:r>
            <w:r w:rsidR="002C5FEB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بشأن المكتبات</w:t>
            </w:r>
            <w:r w:rsidR="002C5FEB">
              <w:rPr>
                <w:rStyle w:val="FootnoteReference"/>
                <w:rFonts w:eastAsia="SimSun"/>
                <w:rtl/>
                <w:lang w:eastAsia="zh-CN"/>
              </w:rPr>
              <w:footnoteReference w:id="1"/>
            </w:r>
            <w:r w:rsidR="002C5FEB" w:rsidRPr="002C5FEB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 مع المهنيين وأصحاب</w:t>
            </w:r>
            <w:r w:rsidR="001A2F7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المصلحة المعنيين</w:t>
            </w:r>
            <w:r w:rsidR="002C5FEB" w:rsidRPr="002C5FEB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 </w:t>
            </w:r>
            <w:r w:rsidR="00907DC2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بما في ذلك </w:t>
            </w:r>
            <w:r w:rsidR="002C5FEB" w:rsidRPr="002C5FEB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الناشرين والمستهلكين، من أجل تحديد الموضوعات التي من شأنها </w:t>
            </w:r>
            <w:r w:rsidR="0030365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أن تستفيد</w:t>
            </w:r>
            <w:r w:rsidR="002C5FEB" w:rsidRPr="002C5FEB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 من العمل الإضافي على الصعيد الدولي (مثل الإعارة الإلكترونية عبر الحدود)</w:t>
            </w:r>
            <w:r w:rsidRPr="00B82EE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.</w:t>
            </w:r>
            <w:r w:rsidR="0060776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وسيستند هذا العمل على نحو واسع إلى الوثائق السابقة والآتية للجنة حق المؤلف</w:t>
            </w:r>
            <w:r w:rsidR="00511293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بشأن الموضوع. </w:t>
            </w:r>
          </w:p>
        </w:tc>
        <w:tc>
          <w:tcPr>
            <w:tcW w:w="2071" w:type="dxa"/>
          </w:tcPr>
          <w:p w:rsidR="00A84709" w:rsidRPr="00A12340" w:rsidRDefault="00A0733E" w:rsidP="00ED5103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 w:rsidRPr="00A0733E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النصف الأول من 2019 (يُقدم تقرير في هذا الشأن خلال الدورة 38 للجنة حق المؤلف، </w:t>
            </w:r>
            <w:r w:rsidR="00303655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مايو</w:t>
            </w:r>
            <w:r w:rsidRPr="00A0733E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/يونيو 2019)</w:t>
            </w:r>
          </w:p>
        </w:tc>
      </w:tr>
      <w:tr w:rsidR="00A64EFE" w:rsidRPr="00A12340" w:rsidTr="00ED5103">
        <w:tc>
          <w:tcPr>
            <w:tcW w:w="7218" w:type="dxa"/>
          </w:tcPr>
          <w:p w:rsidR="00A64EFE" w:rsidRPr="00A12340" w:rsidRDefault="00A64EFE" w:rsidP="00516CA7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5</w:t>
            </w:r>
            <w:r w:rsidRPr="00B82EE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. </w:t>
            </w:r>
            <w:r w:rsidR="00917169" w:rsidRPr="00917169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عقد </w:t>
            </w:r>
            <w:r w:rsidR="007B1478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ما </w:t>
            </w:r>
            <w:r w:rsidR="00516CA7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لا يزي</w:t>
            </w:r>
            <w:r w:rsidR="00516CA7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د</w:t>
            </w:r>
            <w:r w:rsidR="007B1478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عن ندوتين إقليميتين حسب الطلب</w:t>
            </w:r>
            <w:r w:rsidR="00917169" w:rsidRPr="00917169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 مع أعضاء لجنة حق المؤلف وأصحاب المصلحة</w:t>
            </w:r>
            <w:r w:rsidR="00917169" w:rsidRPr="00917169"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  <w:t>.</w:t>
            </w:r>
            <w:r w:rsidR="00690874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</w:t>
            </w:r>
            <w:r w:rsidR="00917169" w:rsidRPr="00917169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وسيكون الغرض من ذلك تحليل وضع المكتبات</w:t>
            </w:r>
            <w:r w:rsidR="00E71A26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والمحفوظات والمتاحف </w:t>
            </w:r>
            <w:r w:rsidR="00516CA7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فضلا عن </w:t>
            </w:r>
            <w:r w:rsidR="00A3776E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مؤسسات </w:t>
            </w:r>
            <w:r w:rsidR="00516CA7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التعليم والبحث</w:t>
            </w:r>
            <w:r w:rsidR="00B1719F">
              <w:rPr>
                <w:rStyle w:val="FootnoteReference"/>
                <w:rFonts w:eastAsia="SimSun"/>
                <w:rtl/>
                <w:lang w:eastAsia="zh-CN"/>
              </w:rPr>
              <w:footnoteReference w:id="2"/>
            </w:r>
            <w:r w:rsidR="00312E7C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ومجالات العمل المتعلقة بنظام التقييدات والاستثناءات. </w:t>
            </w:r>
          </w:p>
        </w:tc>
        <w:tc>
          <w:tcPr>
            <w:tcW w:w="2071" w:type="dxa"/>
          </w:tcPr>
          <w:p w:rsidR="00A64EFE" w:rsidRPr="00A0733E" w:rsidRDefault="006D4DA1" w:rsidP="003F4643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واحدة</w:t>
            </w:r>
            <w:r w:rsidR="002C227F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في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</w:t>
            </w:r>
            <w:r w:rsidRPr="00A0733E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النصف الأول من 2019 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وواحدة في النصف الثاني من 2019 </w:t>
            </w:r>
            <w:r w:rsidRPr="00A0733E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(يُقدم تقرير في هذا الشأن خلال الدورة 38 للجنة حق المؤلف، </w:t>
            </w:r>
            <w:r w:rsidR="008C0F42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مايو</w:t>
            </w:r>
            <w:r w:rsidRPr="00A0733E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/يونيو 2019</w:t>
            </w:r>
            <w:r w:rsidR="00EE6935">
              <w:rPr>
                <w:rtl/>
              </w:rPr>
              <w:t xml:space="preserve"> </w:t>
            </w:r>
            <w:r w:rsidR="00EE6935" w:rsidRPr="00EE693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و</w:t>
            </w:r>
            <w:r w:rsidR="00EE6935" w:rsidRPr="00EE6935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الدورة </w:t>
            </w:r>
            <w:r w:rsidR="00EE693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39</w:t>
            </w:r>
            <w:r w:rsidR="00EE6935" w:rsidRPr="00EE6935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 للجنة حق المؤلف، </w:t>
            </w:r>
            <w:r w:rsidR="003F4643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نوفمبر</w:t>
            </w:r>
            <w:r w:rsidR="00EE6935" w:rsidRPr="00EE6935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/</w:t>
            </w:r>
            <w:r w:rsidR="003F4643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ديسمبر</w:t>
            </w:r>
            <w:r w:rsidR="00EE6935" w:rsidRPr="00EE6935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 2019</w:t>
            </w:r>
            <w:r w:rsidR="007B23DE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على التوالي</w:t>
            </w:r>
            <w:r w:rsidRPr="00A0733E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)</w:t>
            </w:r>
          </w:p>
        </w:tc>
      </w:tr>
      <w:tr w:rsidR="0077363E" w:rsidRPr="00A12340" w:rsidTr="00ED5103">
        <w:tc>
          <w:tcPr>
            <w:tcW w:w="7218" w:type="dxa"/>
          </w:tcPr>
          <w:p w:rsidR="0077363E" w:rsidRPr="00A12340" w:rsidRDefault="0077363E" w:rsidP="00D23984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6</w:t>
            </w:r>
            <w:r w:rsidRPr="00B82EE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. </w:t>
            </w:r>
            <w:r w:rsidR="00D23984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تكملة ل</w:t>
            </w:r>
            <w:r w:rsidR="0081558B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لبنود 2 و3 و4 و/أو 5 المذكورة أعلاه، أو على </w:t>
            </w:r>
            <w:r w:rsidR="00EE35FC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نحو مستقل</w:t>
            </w:r>
            <w:r w:rsidR="0081558B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، عقد مؤتمر بشأن التقييدات والاستثناءات (بما في ذلك مواضيع المكتبات والمحفوظات والمتاحف فضلا عن مؤسسات التعليم والبحث) </w:t>
            </w:r>
            <w:r w:rsidR="000B3B7B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و</w:t>
            </w:r>
            <w:r w:rsidR="00F63450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المتعلقة ب</w:t>
            </w:r>
            <w:r w:rsidR="003E0E20" w:rsidRPr="003E0E20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حق المؤلف والحقوق المجاورة يحضره أعضاء لجنة حق المؤلف وأصحاب المصلحة</w:t>
            </w:r>
            <w:r w:rsidR="003E0E20" w:rsidRPr="003E0E20"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  <w:t>.</w:t>
            </w:r>
            <w:r w:rsidR="00F63450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</w:t>
            </w:r>
            <w:r w:rsidR="003E0E20" w:rsidRPr="003E0E20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وسيكون الغرض منه النظر في</w:t>
            </w:r>
            <w:r w:rsidR="002A17CC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الفرص والتحديات </w:t>
            </w:r>
            <w:r w:rsidR="00A55348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التي تقدمها الح</w:t>
            </w:r>
            <w:r w:rsidR="001E5043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ل</w:t>
            </w:r>
            <w:r w:rsidR="00A55348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ول الدولية المختلفة بما في ذلك المقاربات القائمة على القانون غير الملزم، </w:t>
            </w:r>
            <w:r w:rsidR="00953ED4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 w:bidi="ar-EG"/>
              </w:rPr>
              <w:t>أ</w:t>
            </w:r>
            <w:r w:rsidR="00A55348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و</w:t>
            </w:r>
            <w:r w:rsidR="00953ED4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</w:t>
            </w:r>
            <w:r w:rsidR="00A55348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التعاق</w:t>
            </w:r>
            <w:r w:rsidR="00A50943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د/الترخيص </w:t>
            </w:r>
            <w:r w:rsidR="00953ED4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أ</w:t>
            </w:r>
            <w:r w:rsidR="00A50943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و</w:t>
            </w:r>
            <w:r w:rsidR="00953ED4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</w:t>
            </w:r>
            <w:r w:rsidR="00A50943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المقاربات المعيارية، إذا اقتضى الحال. </w:t>
            </w:r>
            <w:r w:rsidR="006228B9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وسيقدم </w:t>
            </w:r>
            <w:r w:rsidR="008D3CCF" w:rsidRPr="008D3CCF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تقرير </w:t>
            </w:r>
            <w:r w:rsidR="004A04B9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ل</w:t>
            </w:r>
            <w:r w:rsidR="008D3CCF" w:rsidRPr="008D3CCF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لدورة 39 للجنة حق المؤلف</w:t>
            </w:r>
            <w:r w:rsidR="008D3CCF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بشأن الحلول والمجالات المحتملة </w:t>
            </w:r>
            <w:r w:rsidR="004A04B9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التي حُددت أثناء المؤتمر. </w:t>
            </w:r>
          </w:p>
        </w:tc>
        <w:tc>
          <w:tcPr>
            <w:tcW w:w="2071" w:type="dxa"/>
          </w:tcPr>
          <w:p w:rsidR="0077363E" w:rsidRDefault="003B72D5" w:rsidP="003B72D5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</w:pPr>
            <w:r w:rsidRPr="003B72D5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النصف الثاني من 2019 (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يُعقد مباشرة قبل</w:t>
            </w:r>
            <w:r w:rsidRPr="003B72D5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 الدورة 3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9</w:t>
            </w:r>
            <w:r w:rsidRPr="003B72D5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 للجنة حق المؤلف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ويقدم تقرير في هذا الشأن خلالها، </w:t>
            </w:r>
            <w:r w:rsidRPr="003B72D5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نوفمبر/ديسمبر 2019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)</w:t>
            </w:r>
          </w:p>
        </w:tc>
      </w:tr>
    </w:tbl>
    <w:p w:rsidR="00A84709" w:rsidRDefault="00A84709" w:rsidP="00A84709">
      <w:pPr>
        <w:pStyle w:val="NormalParaAR"/>
        <w:rPr>
          <w:rtl/>
        </w:rPr>
      </w:pPr>
    </w:p>
    <w:p w:rsidR="00953ED4" w:rsidRDefault="00953ED4" w:rsidP="00953ED4">
      <w:pPr>
        <w:pStyle w:val="NormalParaAR"/>
        <w:jc w:val="right"/>
        <w:rPr>
          <w:rtl/>
        </w:rPr>
      </w:pPr>
      <w:r>
        <w:rPr>
          <w:rFonts w:hint="cs"/>
          <w:rtl/>
        </w:rPr>
        <w:t>/...</w:t>
      </w:r>
    </w:p>
    <w:p w:rsidR="00A84709" w:rsidRDefault="00A84709" w:rsidP="00A84709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A84709" w:rsidRPr="001E5043" w:rsidRDefault="00A84709" w:rsidP="001E5043">
      <w:pPr>
        <w:pStyle w:val="NormalParaAR"/>
        <w:rPr>
          <w:rtl/>
        </w:rPr>
      </w:pPr>
      <w:r>
        <w:rPr>
          <w:rFonts w:hint="cs"/>
          <w:rtl/>
        </w:rPr>
        <w:lastRenderedPageBreak/>
        <w:t xml:space="preserve">مشروع خطة عمل </w:t>
      </w:r>
      <w:r>
        <w:rPr>
          <w:rtl/>
        </w:rPr>
        <w:t>–</w:t>
      </w:r>
      <w:r>
        <w:rPr>
          <w:rFonts w:hint="cs"/>
          <w:rtl/>
        </w:rPr>
        <w:t xml:space="preserve"> مؤسسات التعليم والبحث</w:t>
      </w:r>
      <w:r w:rsidR="001E5043">
        <w:rPr>
          <w:rFonts w:hint="cs"/>
          <w:rtl/>
        </w:rPr>
        <w:t xml:space="preserve"> والأشخاص ذوي الإعاقات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18"/>
        <w:gridCol w:w="2071"/>
      </w:tblGrid>
      <w:tr w:rsidR="00A84709" w:rsidRPr="00890B69" w:rsidTr="00ED5103">
        <w:tc>
          <w:tcPr>
            <w:tcW w:w="7218" w:type="dxa"/>
          </w:tcPr>
          <w:p w:rsidR="00A84709" w:rsidRPr="00890B69" w:rsidRDefault="00A84709" w:rsidP="00821D87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1. </w:t>
            </w:r>
            <w:r w:rsidRPr="00B82EE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وضع تصنيف نموذجي لمختلف الآليات التشريعية وغيرها من الآليات المرتبطة بتطبيق نظام التقييدات والاستثناءات على مؤسسات التعليم والبحث. وسيستند هذا العمل بقدر كبير إلى </w:t>
            </w:r>
            <w:r w:rsidR="00821D87" w:rsidRPr="00821D87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الوثائق الموجودة للجنة حق المؤلف</w:t>
            </w:r>
            <w:r w:rsidR="00821D87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بشأن الموضوع.</w:t>
            </w:r>
          </w:p>
        </w:tc>
        <w:tc>
          <w:tcPr>
            <w:tcW w:w="2071" w:type="dxa"/>
          </w:tcPr>
          <w:p w:rsidR="00A84709" w:rsidRPr="00890B69" w:rsidRDefault="00A84709" w:rsidP="008C74B9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 w:rsidRPr="00B82EE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النصف </w:t>
            </w:r>
            <w:r w:rsidR="008C74B9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الثاني</w:t>
            </w:r>
            <w:r w:rsidRPr="00B82EE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من 2018 (يُقدم تقرير في هذا الشأن خلال الدورة </w:t>
            </w:r>
            <w:r w:rsidR="008C74B9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37</w:t>
            </w:r>
            <w:r w:rsidRPr="00B82EE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للجنة حق المؤلف</w:t>
            </w:r>
            <w:r w:rsidR="008C74B9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، نوفمبر 2018</w:t>
            </w:r>
            <w:r w:rsidRPr="00B82EE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)</w:t>
            </w:r>
          </w:p>
        </w:tc>
      </w:tr>
      <w:tr w:rsidR="00A84709" w:rsidRPr="00890B69" w:rsidTr="00ED5103">
        <w:tc>
          <w:tcPr>
            <w:tcW w:w="7218" w:type="dxa"/>
          </w:tcPr>
          <w:p w:rsidR="002958E6" w:rsidRDefault="002958E6" w:rsidP="00ED5103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2. إجراء مزيد من الدراسات كما يلي:</w:t>
            </w:r>
          </w:p>
          <w:p w:rsidR="00A84709" w:rsidRDefault="002958E6" w:rsidP="003F59EA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(أ) </w:t>
            </w:r>
            <w:r w:rsidR="00A84709" w:rsidRPr="00B82EE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</w:t>
            </w:r>
            <w:r w:rsidR="0075443B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الأمر بالقيام بدراسة بشأن </w:t>
            </w:r>
            <w:r w:rsidR="00A84709" w:rsidRPr="00B82EE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القضايا الرقمية الوجيهة بالنسبة إلى أنشطة مؤسسات التعليم والبحث على الصعيدين الوطني والدولي، </w:t>
            </w:r>
            <w:r w:rsidR="001C59DE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بما في ذلك الجوانب المتعلقة</w:t>
            </w:r>
            <w:r w:rsidR="00A84709" w:rsidRPr="00B82EE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</w:t>
            </w:r>
            <w:r w:rsidR="001C59DE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ب</w:t>
            </w:r>
            <w:r w:rsidR="00A84709" w:rsidRPr="00B82EE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التقييدات والاستثناءات. وستشمل </w:t>
            </w:r>
            <w:r w:rsidR="00A84709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الدراسة مجالات من قبيل توافر </w:t>
            </w:r>
            <w:r w:rsidR="00A84709" w:rsidRPr="00B82EE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وحدات </w:t>
            </w:r>
            <w:r w:rsidR="00A84709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التعلم</w:t>
            </w:r>
            <w:r w:rsidR="00A84709" w:rsidRPr="00B82EE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الإلكت</w:t>
            </w:r>
            <w:r w:rsidR="00A84709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روني</w:t>
            </w:r>
            <w:r w:rsidR="00A84709" w:rsidRPr="00B82EE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واستحداث وتشغيل وسائل التعلم عن بعد، بما فيها الدورات الضخمة المفتوحة على الإنترنت (</w:t>
            </w:r>
            <w:r w:rsidR="00A84709" w:rsidRPr="00B82EE5"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  <w:t>MOOCs</w:t>
            </w:r>
            <w:r w:rsidR="00A84709" w:rsidRPr="00B82EE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)، وتحدّد مجالات ممكنة</w:t>
            </w:r>
            <w:r w:rsidR="003F59EA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التي يمكنها أن تستفيد من مزيد من العمل</w:t>
            </w:r>
            <w:r w:rsidR="00A84709" w:rsidRPr="00B82EE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على المستوى الدولي.</w:t>
            </w:r>
          </w:p>
          <w:p w:rsidR="0045367B" w:rsidRPr="00890B69" w:rsidRDefault="0045367B" w:rsidP="0045367B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 w:rsidRPr="0045367B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(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ب</w:t>
            </w:r>
            <w:r w:rsidRPr="0045367B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)  تحديث وتوسيع دراسة النطاق التي أعدها ريد/نكوبي بشأن نفاذ الأشخاص ذوي الإعاقات إلى المصنفات المحمية بحق المؤلف (</w:t>
            </w:r>
            <w:r w:rsidRPr="0045367B"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  <w:t>SCCR/35/3</w:t>
            </w:r>
            <w:r w:rsidRPr="0045367B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)، وإضافة نتائج الاستبيانات الإضافية الموجهة إلى </w:t>
            </w:r>
            <w:r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الدول الأعضاء فضلا عن متابعة ا</w:t>
            </w:r>
            <w:r w:rsidRPr="0045367B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قتراحات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اللجنة</w:t>
            </w:r>
            <w:r w:rsidRPr="0045367B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 الخاصة بالعمل المقبل.</w:t>
            </w:r>
          </w:p>
        </w:tc>
        <w:tc>
          <w:tcPr>
            <w:tcW w:w="2071" w:type="dxa"/>
          </w:tcPr>
          <w:p w:rsidR="00A84709" w:rsidRPr="00890B69" w:rsidRDefault="00A24AF2" w:rsidP="00A24AF2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 w:rsidRPr="00A24AF2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النصف الأول من 2019 (يُقدم تقرير في هذا الشأن خلال الدورة 38 للجنة حق المؤلف، </w:t>
            </w:r>
            <w:r w:rsidR="00996F14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مايو</w:t>
            </w:r>
            <w:r w:rsidRPr="00A24AF2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/يونيو 2019)</w:t>
            </w:r>
          </w:p>
        </w:tc>
      </w:tr>
      <w:tr w:rsidR="0062055E" w:rsidRPr="00890B69" w:rsidTr="00ED5103">
        <w:tc>
          <w:tcPr>
            <w:tcW w:w="7218" w:type="dxa"/>
          </w:tcPr>
          <w:p w:rsidR="0062055E" w:rsidRPr="00A12340" w:rsidRDefault="00FB5164" w:rsidP="00210D95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3</w:t>
            </w:r>
            <w:r w:rsidR="0062055E" w:rsidRPr="00B82EE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. </w:t>
            </w:r>
            <w:r w:rsidR="0062055E" w:rsidRPr="00917169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عقد </w:t>
            </w:r>
            <w:r w:rsidR="0062055E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ما لا يزي</w:t>
            </w:r>
            <w:r w:rsidR="0062055E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د</w:t>
            </w:r>
            <w:r w:rsidR="0062055E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عن ندوتين إقليميتين</w:t>
            </w:r>
            <w:r w:rsidR="00B305B1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لصالح مؤسسات التعليم والبحث بالاشتراك مع الندوات المقترحة في </w:t>
            </w:r>
            <w:r w:rsidR="00210D9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الإجراء</w:t>
            </w:r>
            <w:r w:rsidR="00B305B1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رقم 5 من خطة العمل</w:t>
            </w:r>
            <w:r w:rsidR="00EC41C6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الموجهة ل</w:t>
            </w:r>
            <w:r w:rsidR="0062055E" w:rsidRPr="00917169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لمكتبات</w:t>
            </w:r>
            <w:r w:rsidR="00EC41C6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والمحفوظات والمتاحف.</w:t>
            </w:r>
          </w:p>
        </w:tc>
        <w:tc>
          <w:tcPr>
            <w:tcW w:w="2071" w:type="dxa"/>
          </w:tcPr>
          <w:p w:rsidR="0062055E" w:rsidRPr="00A0733E" w:rsidRDefault="0062055E" w:rsidP="00ED5103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واحدة في </w:t>
            </w:r>
            <w:r w:rsidRPr="00A0733E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النصف الأول من 2019 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وواحدة في النصف الثاني من 2019 </w:t>
            </w:r>
            <w:r w:rsidRPr="00A0733E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(يُقدم تقرير في هذا الشأن خلال الدورة 38 للجنة حق المؤلف، </w:t>
            </w:r>
            <w:r w:rsidR="000B3B7B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مايو</w:t>
            </w:r>
            <w:r w:rsidRPr="00A0733E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/يونيو 2019</w:t>
            </w:r>
            <w:r>
              <w:rPr>
                <w:rtl/>
              </w:rPr>
              <w:t xml:space="preserve"> </w:t>
            </w:r>
            <w:r w:rsidRPr="00EE693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و</w:t>
            </w:r>
            <w:r w:rsidRPr="00EE6935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الدورة 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39</w:t>
            </w:r>
            <w:r w:rsidRPr="00EE6935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 للجنة حق المؤلف، 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نوفمبر</w:t>
            </w:r>
            <w:r w:rsidRPr="00EE6935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/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ديسمبر</w:t>
            </w:r>
            <w:r w:rsidRPr="00EE6935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 2019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على التوالي</w:t>
            </w:r>
            <w:r w:rsidRPr="00A0733E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)</w:t>
            </w:r>
          </w:p>
        </w:tc>
      </w:tr>
      <w:tr w:rsidR="004263A2" w:rsidRPr="00890B69" w:rsidTr="00ED5103">
        <w:tc>
          <w:tcPr>
            <w:tcW w:w="7218" w:type="dxa"/>
          </w:tcPr>
          <w:p w:rsidR="004263A2" w:rsidRPr="00A12340" w:rsidRDefault="004263A2" w:rsidP="00F07133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4</w:t>
            </w:r>
            <w:r w:rsidRPr="00B82EE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. </w:t>
            </w:r>
            <w:r w:rsidR="00D23984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تكملة للبندين</w:t>
            </w:r>
            <w:r w:rsidR="00213C1B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2 و3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، أو على </w:t>
            </w:r>
            <w:r w:rsidR="00EE35FC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نحو مستقل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، عقد مؤتمر بشأن التقييدات والاستثناءات</w:t>
            </w:r>
            <w:r w:rsidR="002A314A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بالاشتراك </w:t>
            </w:r>
            <w:r w:rsidR="00D23984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مع المؤتمر المقترح في الإجراء رقم 6 من خطة العمل الخاصة بالمكتبات والمحفوظات والمتاحف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(بما في ذلك </w:t>
            </w:r>
            <w:r w:rsidR="008F268F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ال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مواضيع</w:t>
            </w:r>
            <w:r w:rsidR="008F268F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المتعلقة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</w:t>
            </w:r>
            <w:r w:rsidR="008F268F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ب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ال</w:t>
            </w:r>
            <w:r w:rsidR="000B3B7B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مكتبات والمحفوظات والمتاحف فضلا 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عن </w:t>
            </w:r>
            <w:r w:rsidR="008F268F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تلك المتعلقة ب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مؤسسات التعليم والبحث) </w:t>
            </w:r>
            <w:r w:rsidR="000B3B7B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و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المتعلقة ب</w:t>
            </w:r>
            <w:r w:rsidRPr="003E0E20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حق المؤلف والحقوق المجاورة يحضره أعضاء لجنة حق المؤلف وأصحاب المصلحة</w:t>
            </w:r>
            <w:r w:rsidRPr="003E0E20">
              <w:rPr>
                <w:rFonts w:ascii="Arabic Typesetting" w:eastAsia="SimSun" w:hAnsi="Arabic Typesetting" w:cs="Arabic Typesetting"/>
                <w:sz w:val="36"/>
                <w:szCs w:val="36"/>
                <w:lang w:eastAsia="zh-CN"/>
              </w:rPr>
              <w:t>.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</w:t>
            </w:r>
            <w:r w:rsidRPr="003E0E20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وسيكون الغرض منه النظر في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الفرص والتحديات التي تقدمها الحلول الدولية المختلفة بما في ذلك المقاربات القائمة على القانون غير الملزم،</w:t>
            </w:r>
            <w:r w:rsidR="000B3B7B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</w:t>
            </w:r>
            <w:r w:rsidR="00F07133" w:rsidRPr="00F07133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والتعاقد/الترخيص والمقاربات المعيارية، إذا اقتضى</w:t>
            </w:r>
            <w:r w:rsidR="00F07133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الحال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. وسيقدم </w:t>
            </w:r>
            <w:r w:rsidRPr="008D3CCF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تقرير 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ل</w:t>
            </w:r>
            <w:r w:rsidRPr="008D3CCF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لدورة 39 للجنة </w:t>
            </w:r>
            <w:r w:rsidRPr="008D3CCF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lastRenderedPageBreak/>
              <w:t>حق المؤلف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بشأن الحلول والمجالات المحتملة التي حُددت أثناء المؤتمر. </w:t>
            </w:r>
          </w:p>
        </w:tc>
        <w:tc>
          <w:tcPr>
            <w:tcW w:w="2071" w:type="dxa"/>
          </w:tcPr>
          <w:p w:rsidR="004263A2" w:rsidRDefault="004263A2" w:rsidP="00ED5103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</w:pPr>
            <w:r w:rsidRPr="003B72D5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lastRenderedPageBreak/>
              <w:t>النصف الثاني من 2019 (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يُعقد مباشرة قبل</w:t>
            </w:r>
            <w:r w:rsidRPr="003B72D5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 الدورة 3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9</w:t>
            </w:r>
            <w:r w:rsidRPr="003B72D5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 للجنة حق المؤلف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ويقدم تقرير في هذا الشأن خلالها، </w:t>
            </w:r>
            <w:r w:rsidRPr="003B72D5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نوفمبر/ديسمبر 2019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)</w:t>
            </w:r>
          </w:p>
        </w:tc>
      </w:tr>
      <w:tr w:rsidR="00561925" w:rsidRPr="00890B69" w:rsidTr="00ED5103">
        <w:tc>
          <w:tcPr>
            <w:tcW w:w="7218" w:type="dxa"/>
          </w:tcPr>
          <w:p w:rsidR="00561925" w:rsidRDefault="00561925" w:rsidP="001D1DF1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lastRenderedPageBreak/>
              <w:t>5</w:t>
            </w:r>
            <w:r w:rsidRPr="00561925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. عقد تظاهرة جانبية على هامش اجتماعات لجنة حق المؤلف </w:t>
            </w:r>
            <w:r w:rsidR="001D1DF1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ذات صلة بموضوع الأشخاص ذوي الإعاقات الأخرى </w:t>
            </w:r>
            <w:r w:rsidR="001D1DF1" w:rsidRPr="001D1DF1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لإبراز حلول النفاذ المبتكرة</w:t>
            </w:r>
            <w:r w:rsidRPr="00561925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، مع تركيز خاص على التعليم والمصنفات السمعية البصرية، بما في ذلك التقارير عن الحلول التجريبية الحديثة والنُهج البحثية الراهنة في هذا المجال.</w:t>
            </w:r>
          </w:p>
        </w:tc>
        <w:tc>
          <w:tcPr>
            <w:tcW w:w="2071" w:type="dxa"/>
          </w:tcPr>
          <w:p w:rsidR="00561925" w:rsidRPr="003B72D5" w:rsidRDefault="001D1DF1" w:rsidP="00407CD1">
            <w:pPr>
              <w:bidi/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</w:pPr>
            <w:r w:rsidRPr="001D1DF1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النصف 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الأول</w:t>
            </w:r>
            <w:r w:rsidRPr="001D1DF1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 من 2019 (يُعقد 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أثناء وقت الغذاء</w:t>
            </w:r>
            <w:r w:rsidRPr="001D1DF1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 </w:t>
            </w:r>
            <w:r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ويقدم تقرير في هذا الشأن خلا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 </w:t>
            </w:r>
            <w:r w:rsidRPr="001D1DF1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الدورة </w:t>
            </w:r>
            <w:r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38</w:t>
            </w:r>
            <w:r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 للجنة حق المؤلف</w:t>
            </w:r>
            <w:r w:rsidRPr="001D1DF1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، </w:t>
            </w:r>
            <w:r w:rsidR="00303655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 xml:space="preserve">مايو </w:t>
            </w:r>
            <w:r w:rsidRPr="001D1DF1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>/</w:t>
            </w:r>
            <w:r w:rsidR="00407CD1">
              <w:rPr>
                <w:rFonts w:ascii="Arabic Typesetting" w:eastAsia="SimSun" w:hAnsi="Arabic Typesetting" w:cs="Arabic Typesetting" w:hint="cs"/>
                <w:sz w:val="36"/>
                <w:szCs w:val="36"/>
                <w:rtl/>
                <w:lang w:eastAsia="zh-CN"/>
              </w:rPr>
              <w:t>يونيو</w:t>
            </w:r>
            <w:r w:rsidRPr="001D1DF1">
              <w:rPr>
                <w:rFonts w:ascii="Arabic Typesetting" w:eastAsia="SimSun" w:hAnsi="Arabic Typesetting" w:cs="Arabic Typesetting"/>
                <w:sz w:val="36"/>
                <w:szCs w:val="36"/>
                <w:rtl/>
                <w:lang w:eastAsia="zh-CN"/>
              </w:rPr>
              <w:t xml:space="preserve"> 2019)</w:t>
            </w:r>
          </w:p>
        </w:tc>
      </w:tr>
    </w:tbl>
    <w:p w:rsidR="00B46E36" w:rsidRPr="005233B9" w:rsidRDefault="00B46E36" w:rsidP="005233B9">
      <w:pPr>
        <w:rPr>
          <w:rFonts w:ascii="Arabic Typesetting" w:hAnsi="Arabic Typesetting" w:cs="Arabic Typesetting"/>
          <w:sz w:val="36"/>
          <w:szCs w:val="36"/>
          <w:rtl/>
        </w:rPr>
      </w:pPr>
    </w:p>
    <w:p w:rsidR="00E036B7" w:rsidRPr="007F38D1" w:rsidRDefault="001D4A37" w:rsidP="001D4A37">
      <w:pPr>
        <w:pStyle w:val="EndofDocumentAR"/>
        <w:spacing w:after="0"/>
      </w:pPr>
      <w:r>
        <w:rPr>
          <w:rFonts w:hint="cs"/>
          <w:rtl/>
        </w:rPr>
        <w:t>[نهاية الوثيقة]</w:t>
      </w:r>
    </w:p>
    <w:sectPr w:rsidR="00E036B7" w:rsidRPr="007F38D1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50E" w:rsidRDefault="0057150E">
      <w:r>
        <w:separator/>
      </w:r>
    </w:p>
  </w:endnote>
  <w:endnote w:type="continuationSeparator" w:id="0">
    <w:p w:rsidR="0057150E" w:rsidRDefault="0057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50E" w:rsidRDefault="0057150E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7150E" w:rsidRDefault="0057150E" w:rsidP="009622BF">
      <w:pPr>
        <w:bidi/>
      </w:pPr>
      <w:r>
        <w:separator/>
      </w:r>
    </w:p>
  </w:footnote>
  <w:footnote w:id="1">
    <w:p w:rsidR="002C5FEB" w:rsidRDefault="002C5FEB" w:rsidP="00C31EA2">
      <w:pPr>
        <w:pStyle w:val="FootnoteText"/>
        <w:rPr>
          <w:lang w:bidi="ar-M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من المقرر إجراء عملية استثارة الأفكار بشأن التقييدات والاستثناءات للمكتبات في الأول بناء على نضج الموضوع. </w:t>
      </w:r>
      <w:r w:rsidR="007D11C1">
        <w:rPr>
          <w:rFonts w:hint="cs"/>
          <w:rtl/>
        </w:rPr>
        <w:t xml:space="preserve">ومن المتوقع أن </w:t>
      </w:r>
      <w:r w:rsidR="0037580A">
        <w:rPr>
          <w:rFonts w:hint="cs"/>
          <w:rtl/>
        </w:rPr>
        <w:t>تٌقترح</w:t>
      </w:r>
      <w:r w:rsidR="007D11C1">
        <w:rPr>
          <w:rFonts w:hint="cs"/>
          <w:rtl/>
        </w:rPr>
        <w:t xml:space="preserve"> عمليات استثارة الأفكار بشأن التقييدات والاستثناءات للمحفوظات والمتاحف </w:t>
      </w:r>
      <w:r w:rsidR="004173AB">
        <w:rPr>
          <w:rFonts w:hint="cs"/>
          <w:rtl/>
        </w:rPr>
        <w:t xml:space="preserve">لينظر فيها أعضاء اللجنة بعد الانتهاء </w:t>
      </w:r>
      <w:r w:rsidR="001525B9">
        <w:rPr>
          <w:rtl/>
        </w:rPr>
        <w:t>والنظر في</w:t>
      </w:r>
      <w:r w:rsidR="001525B9">
        <w:rPr>
          <w:rFonts w:hint="cs"/>
          <w:rtl/>
        </w:rPr>
        <w:t xml:space="preserve"> </w:t>
      </w:r>
      <w:r w:rsidR="004173AB">
        <w:rPr>
          <w:rFonts w:hint="cs"/>
          <w:rtl/>
        </w:rPr>
        <w:t xml:space="preserve">الدراسات بشأن هذه المواضيع. </w:t>
      </w:r>
      <w:r w:rsidR="0095234D">
        <w:rPr>
          <w:rFonts w:hint="cs"/>
          <w:rtl/>
        </w:rPr>
        <w:t xml:space="preserve">ولأسباب تتعلق بالميزانية واللوجستيك، من المتوقع اقتراح هذه العمليات في الثنائية 2020-2021. </w:t>
      </w:r>
    </w:p>
  </w:footnote>
  <w:footnote w:id="2">
    <w:p w:rsidR="00B1719F" w:rsidRDefault="00B1719F" w:rsidP="001A0771">
      <w:pPr>
        <w:pStyle w:val="FootnoteText"/>
        <w:rPr>
          <w:lang w:bidi="ar-M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لا يندرج الأشخاص ذوي إعاقات أخرى ضمن لائحة مواضيع الندوات لأ</w:t>
      </w:r>
      <w:r>
        <w:rPr>
          <w:rFonts w:hint="eastAsia"/>
          <w:rtl/>
        </w:rPr>
        <w:t>ن</w:t>
      </w:r>
      <w:r>
        <w:rPr>
          <w:rFonts w:hint="cs"/>
          <w:rtl/>
        </w:rPr>
        <w:t xml:space="preserve"> العمل على الموضوع لم يحرز أي تقدم بقدر العمل على التقييدات والاستثناءات الأخرى </w:t>
      </w:r>
      <w:r w:rsidR="00D95A9E">
        <w:rPr>
          <w:rFonts w:hint="cs"/>
          <w:rtl/>
        </w:rPr>
        <w:t xml:space="preserve">(ولا يتوقع الانتهاء من الأنشطة المقترحة </w:t>
      </w:r>
      <w:r w:rsidR="001A0771">
        <w:rPr>
          <w:rFonts w:hint="cs"/>
          <w:rtl/>
        </w:rPr>
        <w:t>بشأن</w:t>
      </w:r>
      <w:r w:rsidR="00D95A9E">
        <w:rPr>
          <w:rFonts w:hint="cs"/>
          <w:rtl/>
        </w:rPr>
        <w:t xml:space="preserve"> الأشخاص ذوي الإعاقات الأخرى قبل انعقاد الندوة الإقليمية الأولى). </w:t>
      </w:r>
      <w:r>
        <w:rPr>
          <w:rFonts w:hint="cs"/>
          <w:rtl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E36" w:rsidRDefault="00B46E36" w:rsidP="00D61541">
    <w:pPr>
      <w:rPr>
        <w:rtl/>
      </w:rPr>
    </w:pPr>
    <w:r w:rsidRPr="00B46E36">
      <w:t>SCCR/36/3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C55F22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8826A33"/>
    <w:multiLevelType w:val="hybridMultilevel"/>
    <w:tmpl w:val="2F10CE0E"/>
    <w:lvl w:ilvl="0" w:tplc="9E8E1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7"/>
  </w:num>
  <w:num w:numId="9">
    <w:abstractNumId w:val="16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75F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3B7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6B8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25B9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5769C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771"/>
    <w:rsid w:val="001A098F"/>
    <w:rsid w:val="001A10CB"/>
    <w:rsid w:val="001A110B"/>
    <w:rsid w:val="001A149A"/>
    <w:rsid w:val="001A2AB7"/>
    <w:rsid w:val="001A2F75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4285"/>
    <w:rsid w:val="001C59DE"/>
    <w:rsid w:val="001C5EEE"/>
    <w:rsid w:val="001C6A73"/>
    <w:rsid w:val="001C73C2"/>
    <w:rsid w:val="001D0474"/>
    <w:rsid w:val="001D141D"/>
    <w:rsid w:val="001D1DF1"/>
    <w:rsid w:val="001D1EBD"/>
    <w:rsid w:val="001D2184"/>
    <w:rsid w:val="001D24F3"/>
    <w:rsid w:val="001D2678"/>
    <w:rsid w:val="001D2DC4"/>
    <w:rsid w:val="001D4A37"/>
    <w:rsid w:val="001D6A48"/>
    <w:rsid w:val="001E1043"/>
    <w:rsid w:val="001E10E1"/>
    <w:rsid w:val="001E175F"/>
    <w:rsid w:val="001E19F7"/>
    <w:rsid w:val="001E2669"/>
    <w:rsid w:val="001E3FB9"/>
    <w:rsid w:val="001E4083"/>
    <w:rsid w:val="001E504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0D95"/>
    <w:rsid w:val="002112E6"/>
    <w:rsid w:val="00213213"/>
    <w:rsid w:val="00213C1B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58E6"/>
    <w:rsid w:val="00297B80"/>
    <w:rsid w:val="002A076C"/>
    <w:rsid w:val="002A1059"/>
    <w:rsid w:val="002A17CC"/>
    <w:rsid w:val="002A314A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2D5"/>
    <w:rsid w:val="002C060C"/>
    <w:rsid w:val="002C0BA6"/>
    <w:rsid w:val="002C12A7"/>
    <w:rsid w:val="002C227F"/>
    <w:rsid w:val="002C2B6F"/>
    <w:rsid w:val="002C2BC4"/>
    <w:rsid w:val="002C314F"/>
    <w:rsid w:val="002C4AD1"/>
    <w:rsid w:val="002C5FEB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59D"/>
    <w:rsid w:val="002E28F3"/>
    <w:rsid w:val="002E7615"/>
    <w:rsid w:val="002E774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655"/>
    <w:rsid w:val="00303E3A"/>
    <w:rsid w:val="00305417"/>
    <w:rsid w:val="00306127"/>
    <w:rsid w:val="0030641B"/>
    <w:rsid w:val="003067C8"/>
    <w:rsid w:val="00311453"/>
    <w:rsid w:val="003114C9"/>
    <w:rsid w:val="0031229D"/>
    <w:rsid w:val="00312E7C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2A44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580A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B72D5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0E20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643"/>
    <w:rsid w:val="003F4C37"/>
    <w:rsid w:val="003F59EA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07CD1"/>
    <w:rsid w:val="00410B8F"/>
    <w:rsid w:val="00412057"/>
    <w:rsid w:val="004126C1"/>
    <w:rsid w:val="00413BA5"/>
    <w:rsid w:val="00413FA6"/>
    <w:rsid w:val="00414FD0"/>
    <w:rsid w:val="004173AB"/>
    <w:rsid w:val="00417E93"/>
    <w:rsid w:val="00422A2A"/>
    <w:rsid w:val="00424BB4"/>
    <w:rsid w:val="004258CD"/>
    <w:rsid w:val="004261D2"/>
    <w:rsid w:val="004263A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367B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6750"/>
    <w:rsid w:val="00497356"/>
    <w:rsid w:val="004A04B9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14F"/>
    <w:rsid w:val="004F24A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293"/>
    <w:rsid w:val="005119F6"/>
    <w:rsid w:val="00511B7D"/>
    <w:rsid w:val="00511D00"/>
    <w:rsid w:val="005137E7"/>
    <w:rsid w:val="00516256"/>
    <w:rsid w:val="005162CF"/>
    <w:rsid w:val="00516CA7"/>
    <w:rsid w:val="00517A63"/>
    <w:rsid w:val="00517C8D"/>
    <w:rsid w:val="00517FD1"/>
    <w:rsid w:val="005219E6"/>
    <w:rsid w:val="00521B4A"/>
    <w:rsid w:val="0052212E"/>
    <w:rsid w:val="00522E91"/>
    <w:rsid w:val="0052302D"/>
    <w:rsid w:val="005233B9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1925"/>
    <w:rsid w:val="0056248F"/>
    <w:rsid w:val="00564985"/>
    <w:rsid w:val="00565379"/>
    <w:rsid w:val="005674C3"/>
    <w:rsid w:val="00567990"/>
    <w:rsid w:val="00567C4C"/>
    <w:rsid w:val="0057150E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6876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765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55E"/>
    <w:rsid w:val="00620CEE"/>
    <w:rsid w:val="00622558"/>
    <w:rsid w:val="006228B9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3CE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4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4DA1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169AB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0AE5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43B"/>
    <w:rsid w:val="0075458D"/>
    <w:rsid w:val="00754C72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363E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092C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478"/>
    <w:rsid w:val="007B1C4C"/>
    <w:rsid w:val="007B23DE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1C1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58B"/>
    <w:rsid w:val="00815C5D"/>
    <w:rsid w:val="0081618F"/>
    <w:rsid w:val="008174D1"/>
    <w:rsid w:val="008178B2"/>
    <w:rsid w:val="0082165E"/>
    <w:rsid w:val="00821D87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4ED0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0F42"/>
    <w:rsid w:val="008C1056"/>
    <w:rsid w:val="008C2729"/>
    <w:rsid w:val="008C3347"/>
    <w:rsid w:val="008C39D6"/>
    <w:rsid w:val="008C3B96"/>
    <w:rsid w:val="008C43BF"/>
    <w:rsid w:val="008C532F"/>
    <w:rsid w:val="008C60C3"/>
    <w:rsid w:val="008C74B9"/>
    <w:rsid w:val="008C7736"/>
    <w:rsid w:val="008D0948"/>
    <w:rsid w:val="008D311C"/>
    <w:rsid w:val="008D31D2"/>
    <w:rsid w:val="008D3CC5"/>
    <w:rsid w:val="008D3CCF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68F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07DC2"/>
    <w:rsid w:val="00912257"/>
    <w:rsid w:val="00913495"/>
    <w:rsid w:val="00913874"/>
    <w:rsid w:val="009163CC"/>
    <w:rsid w:val="0091674C"/>
    <w:rsid w:val="00916862"/>
    <w:rsid w:val="00916B2A"/>
    <w:rsid w:val="00916D96"/>
    <w:rsid w:val="00917169"/>
    <w:rsid w:val="009174F7"/>
    <w:rsid w:val="00917E76"/>
    <w:rsid w:val="00920167"/>
    <w:rsid w:val="00921BB8"/>
    <w:rsid w:val="00921D28"/>
    <w:rsid w:val="00922034"/>
    <w:rsid w:val="0092266C"/>
    <w:rsid w:val="009241E8"/>
    <w:rsid w:val="00925510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234D"/>
    <w:rsid w:val="00953ED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6F14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33E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4AF2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6E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943"/>
    <w:rsid w:val="00A50A39"/>
    <w:rsid w:val="00A51DF1"/>
    <w:rsid w:val="00A52AFB"/>
    <w:rsid w:val="00A53967"/>
    <w:rsid w:val="00A5455C"/>
    <w:rsid w:val="00A545EC"/>
    <w:rsid w:val="00A54C5F"/>
    <w:rsid w:val="00A54D3B"/>
    <w:rsid w:val="00A55348"/>
    <w:rsid w:val="00A5578A"/>
    <w:rsid w:val="00A61365"/>
    <w:rsid w:val="00A61759"/>
    <w:rsid w:val="00A61B88"/>
    <w:rsid w:val="00A62C70"/>
    <w:rsid w:val="00A63982"/>
    <w:rsid w:val="00A64EFE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709"/>
    <w:rsid w:val="00A84DA5"/>
    <w:rsid w:val="00A85302"/>
    <w:rsid w:val="00A86119"/>
    <w:rsid w:val="00A8649F"/>
    <w:rsid w:val="00A86D25"/>
    <w:rsid w:val="00A877BD"/>
    <w:rsid w:val="00A8786B"/>
    <w:rsid w:val="00A902C4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6676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3B7"/>
    <w:rsid w:val="00B1149C"/>
    <w:rsid w:val="00B11F60"/>
    <w:rsid w:val="00B121EF"/>
    <w:rsid w:val="00B127AA"/>
    <w:rsid w:val="00B130CB"/>
    <w:rsid w:val="00B14D9D"/>
    <w:rsid w:val="00B14EF5"/>
    <w:rsid w:val="00B16048"/>
    <w:rsid w:val="00B1719F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5B1"/>
    <w:rsid w:val="00B307D2"/>
    <w:rsid w:val="00B3398B"/>
    <w:rsid w:val="00B33B1E"/>
    <w:rsid w:val="00B362D9"/>
    <w:rsid w:val="00B3675F"/>
    <w:rsid w:val="00B36B99"/>
    <w:rsid w:val="00B36D20"/>
    <w:rsid w:val="00B36F67"/>
    <w:rsid w:val="00B40633"/>
    <w:rsid w:val="00B43E38"/>
    <w:rsid w:val="00B44049"/>
    <w:rsid w:val="00B44318"/>
    <w:rsid w:val="00B44C4B"/>
    <w:rsid w:val="00B46E36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3D5F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97ED4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3E92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EA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5F22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D77A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3984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0B2D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4E19"/>
    <w:rsid w:val="00D9536E"/>
    <w:rsid w:val="00D95A9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56AF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6037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C6B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6B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A26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41C6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35FC"/>
    <w:rsid w:val="00EE6935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07133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476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3450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164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616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FF3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36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47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FF3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36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4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SCCR_3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96146-97C6-48BA-B650-2A595BAF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SCCR_36_AR.dotx</Template>
  <TotalTime>399</TotalTime>
  <Pages>5</Pages>
  <Words>913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SCCR/36/1 Prov. (Arabic)</vt:lpstr>
    </vt:vector>
  </TitlesOfParts>
  <Company>World Intellectual Property Organization</Company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SCCR/36/1 Prov. (Arabic)</dc:title>
  <dc:creator>MERZOUK Fawzi</dc:creator>
  <cp:lastModifiedBy>YOUSSEF Randa</cp:lastModifiedBy>
  <cp:revision>97</cp:revision>
  <cp:lastPrinted>2018-04-24T09:14:00Z</cp:lastPrinted>
  <dcterms:created xsi:type="dcterms:W3CDTF">2018-02-15T08:47:00Z</dcterms:created>
  <dcterms:modified xsi:type="dcterms:W3CDTF">2018-04-24T09:14:00Z</dcterms:modified>
</cp:coreProperties>
</file>