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496750">
            <w:pPr>
              <w:pStyle w:val="DocumentCodeAR"/>
              <w:bidi/>
              <w:rPr>
                <w:rtl/>
              </w:rPr>
            </w:pPr>
          </w:p>
        </w:tc>
      </w:tr>
      <w:tr w:rsidR="001667B6" w:rsidTr="00BF164F">
        <w:tc>
          <w:tcPr>
            <w:tcW w:w="9571" w:type="dxa"/>
            <w:gridSpan w:val="3"/>
          </w:tcPr>
          <w:p w:rsidR="001667B6" w:rsidRPr="00B6101C" w:rsidRDefault="00B6101C" w:rsidP="00EB429C">
            <w:pPr>
              <w:pStyle w:val="DocumentLanguageAR"/>
              <w:bidi/>
              <w:rPr>
                <w:rtl/>
              </w:rPr>
            </w:pPr>
            <w:r w:rsidRPr="00B6101C">
              <w:rPr>
                <w:rFonts w:hint="cs"/>
                <w:rtl/>
              </w:rPr>
              <w:t xml:space="preserve">الأصل: </w:t>
            </w:r>
            <w:r w:rsidR="00EB429C">
              <w:rPr>
                <w:rFonts w:hint="cs"/>
                <w:rtl/>
              </w:rPr>
              <w:t>بالإنكليزية</w:t>
            </w:r>
          </w:p>
        </w:tc>
      </w:tr>
      <w:tr w:rsidR="001667B6" w:rsidTr="00BF164F">
        <w:tc>
          <w:tcPr>
            <w:tcW w:w="9571" w:type="dxa"/>
            <w:gridSpan w:val="3"/>
          </w:tcPr>
          <w:p w:rsidR="001667B6" w:rsidRPr="00B6101C" w:rsidRDefault="00B6101C" w:rsidP="00EB429C">
            <w:pPr>
              <w:pStyle w:val="DocumentDateAR"/>
              <w:bidi/>
              <w:rPr>
                <w:rtl/>
              </w:rPr>
            </w:pPr>
            <w:r w:rsidRPr="00B6101C">
              <w:rPr>
                <w:rFonts w:hint="cs"/>
                <w:rtl/>
              </w:rPr>
              <w:t xml:space="preserve">التاريخ: </w:t>
            </w:r>
            <w:r w:rsidR="00EB429C">
              <w:rPr>
                <w:rFonts w:hint="cs"/>
                <w:rtl/>
              </w:rPr>
              <w:t>17</w:t>
            </w:r>
            <w:r w:rsidRPr="00B6101C">
              <w:rPr>
                <w:rFonts w:hint="cs"/>
                <w:rtl/>
              </w:rPr>
              <w:t xml:space="preserve"> </w:t>
            </w:r>
            <w:r w:rsidR="00EB429C">
              <w:rPr>
                <w:rFonts w:hint="cs"/>
                <w:rtl/>
              </w:rPr>
              <w:t>نوفمبر</w:t>
            </w:r>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FF3616">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الخامسة</w:t>
      </w:r>
      <w:r w:rsidR="00F40476" w:rsidRPr="00F40476">
        <w:rPr>
          <w:rFonts w:ascii="Cambria Math" w:hAnsi="Cambria Math"/>
          <w:rtl/>
        </w:rPr>
        <w:t xml:space="preserve"> والثلاثون</w:t>
      </w:r>
    </w:p>
    <w:p w:rsidR="00D61541" w:rsidRPr="00D61541" w:rsidRDefault="00F40476" w:rsidP="00FF3616">
      <w:pPr>
        <w:pStyle w:val="MeetingDatesAR"/>
        <w:bidi/>
        <w:rPr>
          <w:rtl/>
        </w:rPr>
      </w:pPr>
      <w:r w:rsidRPr="00F40476">
        <w:rPr>
          <w:rtl/>
        </w:rPr>
        <w:t xml:space="preserve">جنيف، من </w:t>
      </w:r>
      <w:r w:rsidR="00FF3616">
        <w:rPr>
          <w:rFonts w:hint="cs"/>
          <w:rtl/>
        </w:rPr>
        <w:t>13</w:t>
      </w:r>
      <w:r w:rsidRPr="00F40476">
        <w:rPr>
          <w:rtl/>
        </w:rPr>
        <w:t xml:space="preserve"> إلى </w:t>
      </w:r>
      <w:r w:rsidR="00FF3616">
        <w:rPr>
          <w:rFonts w:hint="cs"/>
          <w:rtl/>
        </w:rPr>
        <w:t>17</w:t>
      </w:r>
      <w:r w:rsidRPr="00F40476">
        <w:rPr>
          <w:rtl/>
        </w:rPr>
        <w:t xml:space="preserve"> </w:t>
      </w:r>
      <w:r w:rsidR="00FF3616">
        <w:rPr>
          <w:rFonts w:hint="cs"/>
          <w:rtl/>
        </w:rPr>
        <w:t>نوفمبر</w:t>
      </w:r>
      <w:r w:rsidR="00A902C4">
        <w:rPr>
          <w:rFonts w:hint="cs"/>
          <w:rtl/>
        </w:rPr>
        <w:t xml:space="preserve">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B429C" w:rsidP="00FB7EC9">
      <w:pPr>
        <w:pStyle w:val="DocumentTitleAR"/>
        <w:bidi/>
        <w:rPr>
          <w:rtl/>
        </w:rPr>
      </w:pPr>
      <w:r w:rsidRPr="00EB429C">
        <w:rPr>
          <w:rtl/>
        </w:rPr>
        <w:t>ملخص الرئيس</w:t>
      </w:r>
    </w:p>
    <w:p w:rsidR="00D61541" w:rsidRPr="00D61541" w:rsidRDefault="00D61541" w:rsidP="00931859">
      <w:pPr>
        <w:pStyle w:val="PreparedbyAR"/>
        <w:bidi/>
      </w:pPr>
    </w:p>
    <w:p w:rsidR="00EB429C" w:rsidRDefault="00EB429C">
      <w:pPr>
        <w:rPr>
          <w:rFonts w:ascii="Arabic Typesetting" w:hAnsi="Arabic Typesetting" w:cs="Arabic Typesetting"/>
          <w:sz w:val="36"/>
          <w:szCs w:val="36"/>
          <w:rtl/>
        </w:rPr>
      </w:pPr>
      <w:r>
        <w:rPr>
          <w:rtl/>
        </w:rPr>
        <w:br w:type="page"/>
      </w:r>
    </w:p>
    <w:p w:rsidR="00EB429C" w:rsidRDefault="00EB429C" w:rsidP="00EB429C">
      <w:pPr>
        <w:pStyle w:val="NormalParaAR"/>
        <w:keepNext/>
        <w:rPr>
          <w:b/>
          <w:bCs/>
          <w:sz w:val="40"/>
          <w:szCs w:val="40"/>
        </w:rPr>
      </w:pPr>
      <w:r>
        <w:rPr>
          <w:rFonts w:hint="cs"/>
          <w:b/>
          <w:bCs/>
          <w:sz w:val="40"/>
          <w:szCs w:val="40"/>
          <w:rtl/>
        </w:rPr>
        <w:lastRenderedPageBreak/>
        <w:t>البند 1 من جدول الأعمال: افتتاح الدورة</w:t>
      </w:r>
    </w:p>
    <w:p w:rsidR="00EB429C" w:rsidRPr="00EC0A0B" w:rsidRDefault="00EB429C" w:rsidP="00EC0A0B">
      <w:pPr>
        <w:pStyle w:val="NumberedParaAR"/>
        <w:rPr>
          <w:rtl/>
        </w:rPr>
      </w:pPr>
      <w:r w:rsidRPr="00EC0A0B">
        <w:rPr>
          <w:rFonts w:hint="cs"/>
          <w:rtl/>
        </w:rPr>
        <w:t xml:space="preserve">افتتح السيد فرانسس غري، المدير العام، الدورة </w:t>
      </w:r>
      <w:r w:rsidR="00EC0A0B" w:rsidRPr="00EC0A0B">
        <w:rPr>
          <w:rFonts w:hint="cs"/>
          <w:rtl/>
        </w:rPr>
        <w:t>الخامسة</w:t>
      </w:r>
      <w:r w:rsidRPr="00EC0A0B">
        <w:rPr>
          <w:rFonts w:hint="cs"/>
          <w:rtl/>
        </w:rPr>
        <w:t xml:space="preserve"> والثلاثين للجنة الدائمة المعنية بحق المؤلف والحقوق المجاورة (</w:t>
      </w:r>
      <w:r w:rsidR="00EC0A0B">
        <w:rPr>
          <w:rFonts w:hint="cs"/>
          <w:rtl/>
        </w:rPr>
        <w:t>"</w:t>
      </w:r>
      <w:r w:rsidRPr="00EC0A0B">
        <w:rPr>
          <w:rFonts w:hint="cs"/>
          <w:rtl/>
        </w:rPr>
        <w:t>لجنة حق المؤلف</w:t>
      </w:r>
      <w:r w:rsidR="00EC0A0B">
        <w:rPr>
          <w:rFonts w:hint="cs"/>
          <w:rtl/>
        </w:rPr>
        <w:t>"</w:t>
      </w:r>
      <w:r w:rsidRPr="00EC0A0B">
        <w:rPr>
          <w:rFonts w:hint="cs"/>
          <w:rtl/>
        </w:rPr>
        <w:t xml:space="preserve"> أو </w:t>
      </w:r>
      <w:r w:rsidR="00EC0A0B">
        <w:rPr>
          <w:rFonts w:hint="cs"/>
          <w:rtl/>
        </w:rPr>
        <w:t>"</w:t>
      </w:r>
      <w:r w:rsidRPr="00EC0A0B">
        <w:rPr>
          <w:rFonts w:hint="cs"/>
          <w:rtl/>
        </w:rPr>
        <w:t>اللجنة</w:t>
      </w:r>
      <w:r w:rsidR="00EC0A0B">
        <w:rPr>
          <w:rFonts w:hint="cs"/>
          <w:rtl/>
        </w:rPr>
        <w:t>"</w:t>
      </w:r>
      <w:r w:rsidRPr="00EC0A0B">
        <w:rPr>
          <w:rFonts w:hint="cs"/>
          <w:rtl/>
        </w:rPr>
        <w:t>)، ورح</w:t>
      </w:r>
      <w:r w:rsidR="00EC0A0B">
        <w:rPr>
          <w:rFonts w:hint="cs"/>
          <w:rtl/>
        </w:rPr>
        <w:t>ّ</w:t>
      </w:r>
      <w:r w:rsidRPr="00EC0A0B">
        <w:rPr>
          <w:rFonts w:hint="cs"/>
          <w:rtl/>
        </w:rPr>
        <w:t xml:space="preserve">ب بالمشاركين. </w:t>
      </w:r>
      <w:r w:rsidR="00EC0A0B" w:rsidRPr="00EC0A0B">
        <w:rPr>
          <w:rFonts w:hint="cs"/>
          <w:rtl/>
        </w:rPr>
        <w:t xml:space="preserve">وتولى السيد دارين تانغ هينغ شيم مهمة رئيس اللجنة وتولى السيد كارول كوشينيكي والسيد عبد العزيز ديينغ مهمة نائبي رئيس </w:t>
      </w:r>
      <w:r w:rsidR="00EC0A0B">
        <w:rPr>
          <w:rFonts w:hint="cs"/>
          <w:rtl/>
        </w:rPr>
        <w:t>الل</w:t>
      </w:r>
      <w:r w:rsidR="00EC0A0B" w:rsidRPr="00EC0A0B">
        <w:rPr>
          <w:rFonts w:hint="cs"/>
          <w:rtl/>
        </w:rPr>
        <w:t xml:space="preserve">جنة. </w:t>
      </w:r>
      <w:r w:rsidRPr="00EC0A0B">
        <w:rPr>
          <w:rFonts w:hint="cs"/>
          <w:rtl/>
        </w:rPr>
        <w:t>وتولت السيد ميشيل وودز (الويبو) مهمة أمين</w:t>
      </w:r>
      <w:r w:rsidR="00EC0A0B" w:rsidRPr="00EC0A0B">
        <w:rPr>
          <w:rFonts w:hint="eastAsia"/>
          <w:rtl/>
        </w:rPr>
        <w:t> </w:t>
      </w:r>
      <w:r w:rsidRPr="00EC0A0B">
        <w:rPr>
          <w:rFonts w:hint="cs"/>
          <w:rtl/>
        </w:rPr>
        <w:t>اللجنة.</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2</w:t>
      </w:r>
      <w:r>
        <w:rPr>
          <w:rFonts w:hint="cs"/>
          <w:b/>
          <w:bCs/>
          <w:sz w:val="40"/>
          <w:szCs w:val="40"/>
          <w:rtl/>
        </w:rPr>
        <w:t xml:space="preserve"> من جدول الأعمال: اعتماد جدول أعمال الدورة </w:t>
      </w:r>
      <w:r w:rsidR="00D42A23">
        <w:rPr>
          <w:rFonts w:hint="cs"/>
          <w:b/>
          <w:bCs/>
          <w:sz w:val="40"/>
          <w:szCs w:val="40"/>
          <w:rtl/>
        </w:rPr>
        <w:t>الخامسة</w:t>
      </w:r>
      <w:r>
        <w:rPr>
          <w:rFonts w:hint="cs"/>
          <w:b/>
          <w:bCs/>
          <w:sz w:val="40"/>
          <w:szCs w:val="40"/>
          <w:rtl/>
        </w:rPr>
        <w:t xml:space="preserve"> والثلاثين</w:t>
      </w:r>
    </w:p>
    <w:p w:rsidR="00EB429C" w:rsidRPr="00EC0A0B" w:rsidRDefault="00EB429C" w:rsidP="00EC0A0B">
      <w:pPr>
        <w:pStyle w:val="NumberedParaAR"/>
      </w:pPr>
      <w:r w:rsidRPr="00EC0A0B">
        <w:rPr>
          <w:rFonts w:hint="cs"/>
          <w:rtl/>
        </w:rPr>
        <w:t>اعتمدت اللجنة مشروع جدول الأعمال (الوثيقة </w:t>
      </w:r>
      <w:r w:rsidRPr="00EC0A0B">
        <w:t>SCCR/</w:t>
      </w:r>
      <w:r w:rsidR="00D42A23" w:rsidRPr="00EC0A0B">
        <w:t>35</w:t>
      </w:r>
      <w:r w:rsidRPr="00EC0A0B">
        <w:t>/1 PROV.</w:t>
      </w:r>
      <w:r w:rsidR="00EC0A0B" w:rsidRPr="00EC0A0B">
        <w:rPr>
          <w:rFonts w:hint="cs"/>
          <w:rtl/>
        </w:rPr>
        <w:t>).</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3</w:t>
      </w:r>
      <w:r>
        <w:rPr>
          <w:rFonts w:hint="cs"/>
          <w:b/>
          <w:bCs/>
          <w:sz w:val="40"/>
          <w:szCs w:val="40"/>
          <w:rtl/>
        </w:rPr>
        <w:t xml:space="preserve"> من جدول الأعمال: اعتماد منظمات غير حكومية جديدة</w:t>
      </w:r>
    </w:p>
    <w:p w:rsidR="00A21EA9" w:rsidRPr="00A21EA9" w:rsidRDefault="00EB429C" w:rsidP="00A21EA9">
      <w:pPr>
        <w:pStyle w:val="NumberedParaAR"/>
      </w:pPr>
      <w:r w:rsidRPr="00A21EA9">
        <w:rPr>
          <w:rFonts w:hint="cs"/>
          <w:rtl/>
        </w:rPr>
        <w:t>وافقت اللجنة على منح صفة المراقب في دوراتها للمنظمتين غير الحكوميتين المشار إليهما في مرفقي الوثيقة </w:t>
      </w:r>
      <w:r w:rsidR="00A21EA9" w:rsidRPr="00A21EA9">
        <w:t>SCCR/35/2 Rev.</w:t>
      </w:r>
      <w:r w:rsidRPr="00A21EA9">
        <w:rPr>
          <w:rFonts w:hint="cs"/>
          <w:rtl/>
        </w:rPr>
        <w:t xml:space="preserve">، وهما </w:t>
      </w:r>
      <w:r w:rsidR="00A21EA9" w:rsidRPr="00A21EA9">
        <w:rPr>
          <w:rtl/>
        </w:rPr>
        <w:t>مركز بحوث السياسات الإعلامية</w:t>
      </w:r>
      <w:r w:rsidR="00A21EA9">
        <w:rPr>
          <w:rFonts w:hint="cs"/>
          <w:rtl/>
        </w:rPr>
        <w:t xml:space="preserve"> (</w:t>
      </w:r>
      <w:r w:rsidR="00A21EA9" w:rsidRPr="00A21EA9">
        <w:rPr>
          <w:rtl/>
        </w:rPr>
        <w:t>جامعة ويسكونسن</w:t>
      </w:r>
      <w:r w:rsidR="00A21EA9">
        <w:rPr>
          <w:rFonts w:hint="cs"/>
          <w:rtl/>
        </w:rPr>
        <w:t>)</w:t>
      </w:r>
      <w:r w:rsidR="00A21EA9" w:rsidRPr="00A21EA9">
        <w:rPr>
          <w:rtl/>
        </w:rPr>
        <w:t xml:space="preserve"> </w:t>
      </w:r>
      <w:r w:rsidR="00A21EA9" w:rsidRPr="00A21EA9">
        <w:rPr>
          <w:bCs/>
        </w:rPr>
        <w:t>(CIPR)</w:t>
      </w:r>
      <w:r w:rsidRPr="00A21EA9">
        <w:rPr>
          <w:rFonts w:hint="cs"/>
          <w:rtl/>
        </w:rPr>
        <w:t xml:space="preserve">، </w:t>
      </w:r>
      <w:r w:rsidR="00A21EA9" w:rsidRPr="00A21EA9">
        <w:rPr>
          <w:rFonts w:hint="cs"/>
          <w:rtl/>
        </w:rPr>
        <w:t>وجمعية المتاحف الكندية (</w:t>
      </w:r>
      <w:r w:rsidR="00A21EA9" w:rsidRPr="00A21EA9">
        <w:t>CMA</w:t>
      </w:r>
      <w:r w:rsidR="00A21EA9" w:rsidRPr="00A21EA9">
        <w:rPr>
          <w:rFonts w:hint="cs"/>
          <w:rtl/>
        </w:rPr>
        <w:t>)</w:t>
      </w:r>
      <w:r w:rsidR="00A21EA9">
        <w:rPr>
          <w:rFonts w:hint="cs"/>
          <w:rtl/>
        </w:rPr>
        <w:t>.</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4</w:t>
      </w:r>
      <w:r>
        <w:rPr>
          <w:rFonts w:hint="cs"/>
          <w:b/>
          <w:bCs/>
          <w:sz w:val="40"/>
          <w:szCs w:val="40"/>
          <w:rtl/>
        </w:rPr>
        <w:t xml:space="preserve"> من جدول الأعمال: اعتماد مشروع تقرير الدورة </w:t>
      </w:r>
      <w:r w:rsidR="00D42A23">
        <w:rPr>
          <w:rFonts w:hint="cs"/>
          <w:b/>
          <w:bCs/>
          <w:sz w:val="40"/>
          <w:szCs w:val="40"/>
          <w:rtl/>
        </w:rPr>
        <w:t>الرابعة</w:t>
      </w:r>
      <w:r>
        <w:rPr>
          <w:rFonts w:hint="cs"/>
          <w:b/>
          <w:bCs/>
          <w:sz w:val="40"/>
          <w:szCs w:val="40"/>
          <w:rtl/>
        </w:rPr>
        <w:t xml:space="preserve"> والثلاثين</w:t>
      </w:r>
    </w:p>
    <w:p w:rsidR="00EB429C" w:rsidRPr="00A21EA9" w:rsidRDefault="00EB429C" w:rsidP="00A21EA9">
      <w:pPr>
        <w:pStyle w:val="NumberedParaAR"/>
        <w:rPr>
          <w:rtl/>
        </w:rPr>
      </w:pPr>
      <w:r w:rsidRPr="00A21EA9">
        <w:rPr>
          <w:rFonts w:hint="cs"/>
          <w:rtl/>
        </w:rPr>
        <w:t xml:space="preserve">اعتمدت اللجنة مشروع تقرير دورتها </w:t>
      </w:r>
      <w:r w:rsidR="00A21EA9" w:rsidRPr="00A21EA9">
        <w:rPr>
          <w:rFonts w:hint="cs"/>
          <w:rtl/>
        </w:rPr>
        <w:t>الرابعة</w:t>
      </w:r>
      <w:r w:rsidRPr="00A21EA9">
        <w:rPr>
          <w:rFonts w:hint="cs"/>
          <w:rtl/>
        </w:rPr>
        <w:t xml:space="preserve"> والثلاثين (الوثيقة </w:t>
      </w:r>
      <w:r w:rsidRPr="00A21EA9">
        <w:t>SCCR/</w:t>
      </w:r>
      <w:r w:rsidR="00A21EA9" w:rsidRPr="00A21EA9">
        <w:t>34</w:t>
      </w:r>
      <w:r w:rsidRPr="00A21EA9">
        <w:t>/7 PROV.</w:t>
      </w:r>
      <w:r w:rsidRPr="00A21EA9">
        <w:rPr>
          <w:rFonts w:hint="cs"/>
          <w:rtl/>
        </w:rPr>
        <w:t xml:space="preserve">). ودُعيت الوفود والجهات المراقبة إلى إرسال أية تعليقات بشأن بياناتها إلى الأمانة على العنوان الإلكتروني التالي: </w:t>
      </w:r>
      <w:hyperlink r:id="rId9" w:history="1">
        <w:r w:rsidRPr="00A21EA9">
          <w:rPr>
            <w:rStyle w:val="Hyperlink"/>
          </w:rPr>
          <w:t>copyright.mail@wipo.int</w:t>
        </w:r>
      </w:hyperlink>
      <w:r w:rsidRPr="00A21EA9">
        <w:rPr>
          <w:rFonts w:hint="cs"/>
          <w:rtl/>
        </w:rPr>
        <w:t>، وذلك في موعد أقصاه 15 </w:t>
      </w:r>
      <w:r w:rsidR="00A21EA9" w:rsidRPr="00A21EA9">
        <w:rPr>
          <w:rFonts w:hint="cs"/>
          <w:rtl/>
        </w:rPr>
        <w:t>ديسمبر</w:t>
      </w:r>
      <w:r w:rsidRPr="00A21EA9">
        <w:rPr>
          <w:rFonts w:hint="cs"/>
          <w:rtl/>
        </w:rPr>
        <w:t> 2017.</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5</w:t>
      </w:r>
      <w:r>
        <w:rPr>
          <w:rFonts w:hint="cs"/>
          <w:b/>
          <w:bCs/>
          <w:sz w:val="40"/>
          <w:szCs w:val="40"/>
          <w:rtl/>
        </w:rPr>
        <w:t xml:space="preserve"> من جدول الأعمال: حماية هيئات البث</w:t>
      </w:r>
    </w:p>
    <w:p w:rsidR="00EB429C" w:rsidRPr="00A21EA9" w:rsidRDefault="00EB429C" w:rsidP="00A21EA9">
      <w:pPr>
        <w:pStyle w:val="NumberedParaAR"/>
        <w:rPr>
          <w:rtl/>
        </w:rPr>
      </w:pPr>
      <w:r w:rsidRPr="00A21EA9">
        <w:rPr>
          <w:rFonts w:hint="cs"/>
          <w:rtl/>
        </w:rPr>
        <w:t xml:space="preserve">الوثائق المتعلقة بهذا البند من جدول الأعمال هي </w:t>
      </w:r>
      <w:r w:rsidRPr="00A21EA9">
        <w:t>SCCR/27/2 REV.</w:t>
      </w:r>
      <w:r w:rsidRPr="00A21EA9">
        <w:rPr>
          <w:rFonts w:hint="cs"/>
          <w:rtl/>
        </w:rPr>
        <w:t xml:space="preserve"> و</w:t>
      </w:r>
      <w:r w:rsidRPr="00A21EA9">
        <w:t xml:space="preserve"> SCCR/27/6</w:t>
      </w:r>
      <w:r w:rsidRPr="00A21EA9">
        <w:rPr>
          <w:rFonts w:hint="cs"/>
          <w:rtl/>
        </w:rPr>
        <w:t>و</w:t>
      </w:r>
      <w:r w:rsidRPr="00A21EA9">
        <w:t>SCCR/30/5</w:t>
      </w:r>
      <w:r w:rsidRPr="00A21EA9">
        <w:rPr>
          <w:rFonts w:hint="cs"/>
          <w:rtl/>
        </w:rPr>
        <w:t xml:space="preserve"> و</w:t>
      </w:r>
      <w:r w:rsidRPr="00A21EA9">
        <w:t>SCCR/31/3</w:t>
      </w:r>
      <w:r w:rsidRPr="00A21EA9">
        <w:rPr>
          <w:rFonts w:hint="cs"/>
          <w:rtl/>
        </w:rPr>
        <w:t xml:space="preserve"> و</w:t>
      </w:r>
      <w:r w:rsidRPr="00A21EA9">
        <w:t>SCCR/32/3</w:t>
      </w:r>
      <w:r w:rsidRPr="00A21EA9">
        <w:rPr>
          <w:rFonts w:hint="cs"/>
          <w:rtl/>
        </w:rPr>
        <w:t xml:space="preserve"> و</w:t>
      </w:r>
      <w:r w:rsidRPr="00A21EA9">
        <w:t>SCCR/33/3</w:t>
      </w:r>
      <w:r w:rsidRPr="00A21EA9">
        <w:rPr>
          <w:rFonts w:hint="cs"/>
          <w:rtl/>
        </w:rPr>
        <w:t xml:space="preserve"> و</w:t>
      </w:r>
      <w:r w:rsidRPr="00A21EA9">
        <w:t>SCCR/33/5</w:t>
      </w:r>
      <w:r w:rsidRPr="00A21EA9">
        <w:rPr>
          <w:rFonts w:hint="cs"/>
          <w:rtl/>
        </w:rPr>
        <w:t xml:space="preserve"> و</w:t>
      </w:r>
      <w:r w:rsidRPr="00A21EA9">
        <w:t>SCCR/34/3</w:t>
      </w:r>
      <w:r w:rsidR="00A21EA9" w:rsidRPr="00A21EA9">
        <w:rPr>
          <w:rFonts w:hint="cs"/>
          <w:rtl/>
        </w:rPr>
        <w:t xml:space="preserve"> و</w:t>
      </w:r>
      <w:r w:rsidR="00A21EA9" w:rsidRPr="00A21EA9">
        <w:t>SCCR/34/4</w:t>
      </w:r>
      <w:r w:rsidRPr="00A21EA9">
        <w:rPr>
          <w:rFonts w:hint="cs"/>
          <w:rtl/>
        </w:rPr>
        <w:t xml:space="preserve">، فضلا عن </w:t>
      </w:r>
      <w:r w:rsidR="00A21EA9" w:rsidRPr="00A21EA9">
        <w:rPr>
          <w:rFonts w:hint="cs"/>
          <w:rtl/>
        </w:rPr>
        <w:t>جداول</w:t>
      </w:r>
      <w:r w:rsidR="006B502A">
        <w:rPr>
          <w:rFonts w:hint="cs"/>
          <w:rtl/>
        </w:rPr>
        <w:t xml:space="preserve"> وورقات عمل غير </w:t>
      </w:r>
      <w:r w:rsidRPr="00A21EA9">
        <w:rPr>
          <w:rFonts w:hint="cs"/>
          <w:rtl/>
        </w:rPr>
        <w:t>رسمية أعدت خلال الاجتماعات السابقة.</w:t>
      </w:r>
    </w:p>
    <w:p w:rsidR="00A21EA9" w:rsidRDefault="006B502A" w:rsidP="00C133F2">
      <w:pPr>
        <w:pStyle w:val="NumberedParaAR"/>
      </w:pPr>
      <w:r>
        <w:rPr>
          <w:rFonts w:hint="cs"/>
          <w:rtl/>
        </w:rPr>
        <w:t xml:space="preserve">وفيما يخص حماية هيئات البث، </w:t>
      </w:r>
      <w:r w:rsidR="00C133F2">
        <w:rPr>
          <w:rFonts w:hint="cs"/>
          <w:rtl/>
        </w:rPr>
        <w:t>نظرت</w:t>
      </w:r>
      <w:r>
        <w:rPr>
          <w:rFonts w:hint="cs"/>
          <w:rtl/>
        </w:rPr>
        <w:t xml:space="preserve"> اللجنة </w:t>
      </w:r>
      <w:r w:rsidR="00C133F2">
        <w:rPr>
          <w:rFonts w:hint="cs"/>
          <w:rtl/>
        </w:rPr>
        <w:t xml:space="preserve">في </w:t>
      </w:r>
      <w:r>
        <w:rPr>
          <w:rFonts w:hint="cs"/>
          <w:rtl/>
        </w:rPr>
        <w:t>النسخة الجديدة من</w:t>
      </w:r>
      <w:r w:rsidR="00C26374">
        <w:rPr>
          <w:rFonts w:hint="cs"/>
          <w:rtl/>
        </w:rPr>
        <w:t xml:space="preserve"> </w:t>
      </w:r>
      <w:r w:rsidR="00C26374" w:rsidRPr="00C26374">
        <w:rPr>
          <w:rFonts w:hint="cs"/>
          <w:i/>
          <w:iCs/>
          <w:rtl/>
        </w:rPr>
        <w:t>ال</w:t>
      </w:r>
      <w:r w:rsidR="001353BB" w:rsidRPr="00C26374">
        <w:rPr>
          <w:i/>
          <w:iCs/>
          <w:rtl/>
        </w:rPr>
        <w:t>نص</w:t>
      </w:r>
      <w:r w:rsidR="001353BB" w:rsidRPr="001353BB">
        <w:rPr>
          <w:i/>
          <w:iCs/>
          <w:rtl/>
        </w:rPr>
        <w:t xml:space="preserve"> </w:t>
      </w:r>
      <w:r w:rsidR="00C26374">
        <w:rPr>
          <w:rFonts w:hint="cs"/>
          <w:i/>
          <w:iCs/>
          <w:rtl/>
        </w:rPr>
        <w:t>ال</w:t>
      </w:r>
      <w:r w:rsidR="001353BB" w:rsidRPr="001353BB">
        <w:rPr>
          <w:i/>
          <w:iCs/>
          <w:rtl/>
        </w:rPr>
        <w:t>موحد و</w:t>
      </w:r>
      <w:r w:rsidR="00C26374">
        <w:rPr>
          <w:rFonts w:hint="cs"/>
          <w:i/>
          <w:iCs/>
          <w:rtl/>
        </w:rPr>
        <w:t>ال</w:t>
      </w:r>
      <w:r w:rsidR="001353BB" w:rsidRPr="001353BB">
        <w:rPr>
          <w:i/>
          <w:iCs/>
          <w:rtl/>
        </w:rPr>
        <w:t>مراجَع بشأن التعاريف وموضوع الحماية والحقوق المزمع منحها وقضايا أخرى</w:t>
      </w:r>
      <w:r w:rsidR="001353BB" w:rsidRPr="001353BB">
        <w:rPr>
          <w:rFonts w:hint="cs"/>
          <w:i/>
          <w:iCs/>
          <w:rtl/>
        </w:rPr>
        <w:t xml:space="preserve"> </w:t>
      </w:r>
      <w:r>
        <w:rPr>
          <w:rFonts w:hint="cs"/>
          <w:rtl/>
        </w:rPr>
        <w:t>(الوثيقة</w:t>
      </w:r>
      <w:r w:rsidR="007C24DF">
        <w:rPr>
          <w:rFonts w:hint="eastAsia"/>
          <w:rtl/>
        </w:rPr>
        <w:t> </w:t>
      </w:r>
      <w:r w:rsidRPr="006B502A">
        <w:t>SCCR/34/</w:t>
      </w:r>
      <w:r w:rsidR="00C133F2">
        <w:t>4</w:t>
      </w:r>
      <w:r>
        <w:rPr>
          <w:rFonts w:hint="cs"/>
          <w:rtl/>
        </w:rPr>
        <w:t xml:space="preserve">). </w:t>
      </w:r>
      <w:r w:rsidR="001353BB">
        <w:rPr>
          <w:rFonts w:hint="cs"/>
          <w:rtl/>
        </w:rPr>
        <w:t>و</w:t>
      </w:r>
      <w:r>
        <w:rPr>
          <w:rFonts w:hint="cs"/>
          <w:rtl/>
        </w:rPr>
        <w:t xml:space="preserve">ناقشت اللجنة </w:t>
      </w:r>
      <w:r w:rsidRPr="007C24DF">
        <w:rPr>
          <w:rFonts w:hint="cs"/>
          <w:rtl/>
        </w:rPr>
        <w:t>الوثيقة</w:t>
      </w:r>
      <w:r w:rsidRPr="007C24DF">
        <w:rPr>
          <w:rFonts w:hint="eastAsia"/>
          <w:rtl/>
        </w:rPr>
        <w:t> </w:t>
      </w:r>
      <w:r w:rsidRPr="007C24DF">
        <w:t>SCCR/34/</w:t>
      </w:r>
      <w:r w:rsidR="00C133F2">
        <w:t>4</w:t>
      </w:r>
      <w:r>
        <w:rPr>
          <w:rFonts w:hint="cs"/>
          <w:rtl/>
        </w:rPr>
        <w:t xml:space="preserve"> </w:t>
      </w:r>
      <w:r w:rsidR="001353BB">
        <w:rPr>
          <w:rFonts w:hint="cs"/>
          <w:rtl/>
        </w:rPr>
        <w:t>وأبدت</w:t>
      </w:r>
      <w:r>
        <w:rPr>
          <w:rFonts w:hint="cs"/>
          <w:rtl/>
        </w:rPr>
        <w:t xml:space="preserve"> تعليقات و</w:t>
      </w:r>
      <w:r w:rsidR="001353BB">
        <w:rPr>
          <w:rFonts w:hint="cs"/>
          <w:rtl/>
        </w:rPr>
        <w:t xml:space="preserve">قدمت </w:t>
      </w:r>
      <w:r>
        <w:rPr>
          <w:rFonts w:hint="cs"/>
          <w:rtl/>
        </w:rPr>
        <w:t>اقتراحات بشأن مختلف القضايا الواردة في تلك الوثيقة.</w:t>
      </w:r>
    </w:p>
    <w:p w:rsidR="006B502A" w:rsidRPr="00A21EA9" w:rsidRDefault="001353BB" w:rsidP="007C24DF">
      <w:pPr>
        <w:pStyle w:val="NumberedParaAR"/>
      </w:pPr>
      <w:r>
        <w:rPr>
          <w:rFonts w:hint="cs"/>
          <w:rtl/>
        </w:rPr>
        <w:t>وعقب تلك المناقشات، أعدّ الرئيس الوثيقة</w:t>
      </w:r>
      <w:r w:rsidR="007C24DF">
        <w:rPr>
          <w:rFonts w:hint="eastAsia"/>
          <w:rtl/>
        </w:rPr>
        <w:t> </w:t>
      </w:r>
      <w:r w:rsidRPr="00887A54">
        <w:t>SCCR/35/</w:t>
      </w:r>
      <w:r w:rsidR="00887A54" w:rsidRPr="00887A54">
        <w:t>1</w:t>
      </w:r>
      <w:r w:rsidR="001D15E0">
        <w:t>2</w:t>
      </w:r>
      <w:r>
        <w:rPr>
          <w:rFonts w:hint="cs"/>
          <w:rtl/>
        </w:rPr>
        <w:t xml:space="preserve"> من أجل بلورة فهمه لوضع المناقشات. </w:t>
      </w:r>
      <w:r w:rsidRPr="007C24DF">
        <w:rPr>
          <w:rFonts w:hint="cs"/>
          <w:rtl/>
        </w:rPr>
        <w:t>والوثيقة</w:t>
      </w:r>
      <w:r w:rsidRPr="007C24DF">
        <w:rPr>
          <w:rFonts w:hint="eastAsia"/>
          <w:rtl/>
        </w:rPr>
        <w:t> </w:t>
      </w:r>
      <w:r w:rsidRPr="007C24DF">
        <w:t>SCCR/35/</w:t>
      </w:r>
      <w:r w:rsidR="007C24DF" w:rsidRPr="007C24DF">
        <w:t>1</w:t>
      </w:r>
      <w:r w:rsidR="001D15E0">
        <w:t>2</w:t>
      </w:r>
      <w:bookmarkStart w:id="2" w:name="_GoBack"/>
      <w:bookmarkEnd w:id="2"/>
      <w:r>
        <w:rPr>
          <w:rFonts w:hint="cs"/>
          <w:rtl/>
        </w:rPr>
        <w:t xml:space="preserve"> </w:t>
      </w:r>
      <w:r w:rsidRPr="001353BB">
        <w:rPr>
          <w:rFonts w:hint="cs"/>
          <w:rtl/>
        </w:rPr>
        <w:t xml:space="preserve">مُرتّبة في </w:t>
      </w:r>
      <w:r>
        <w:rPr>
          <w:rFonts w:hint="cs"/>
          <w:rtl/>
        </w:rPr>
        <w:t>جزأين منفصلين</w:t>
      </w:r>
      <w:r w:rsidRPr="001353BB">
        <w:rPr>
          <w:rFonts w:hint="cs"/>
          <w:rtl/>
        </w:rPr>
        <w:t xml:space="preserve"> لغرض تسهيل المداولات</w:t>
      </w:r>
      <w:r>
        <w:rPr>
          <w:rFonts w:hint="cs"/>
          <w:rtl/>
        </w:rPr>
        <w:t xml:space="preserve">. كما طرح كل من الأرجنتين والبرازيل </w:t>
      </w:r>
      <w:r w:rsidR="00EB0404">
        <w:rPr>
          <w:rFonts w:hint="cs"/>
          <w:rtl/>
        </w:rPr>
        <w:t xml:space="preserve">وشيلي </w:t>
      </w:r>
      <w:r>
        <w:rPr>
          <w:rFonts w:hint="cs"/>
          <w:rtl/>
        </w:rPr>
        <w:t xml:space="preserve">اقتراحا مشتركا بعنوان </w:t>
      </w:r>
      <w:r w:rsidR="00EB0404" w:rsidRPr="00EB0404">
        <w:rPr>
          <w:rFonts w:hint="cs"/>
          <w:i/>
          <w:iCs/>
          <w:rtl/>
        </w:rPr>
        <w:t>التقييدات والاستثناءات: اقتراح للمضي قدما بالمناقشات</w:t>
      </w:r>
      <w:r w:rsidR="007C24DF">
        <w:rPr>
          <w:rFonts w:hint="cs"/>
          <w:rtl/>
        </w:rPr>
        <w:t xml:space="preserve"> (الوثيقة</w:t>
      </w:r>
      <w:r w:rsidR="007C24DF">
        <w:rPr>
          <w:rFonts w:hint="eastAsia"/>
          <w:rtl/>
        </w:rPr>
        <w:t> </w:t>
      </w:r>
      <w:r w:rsidR="007C24DF" w:rsidRPr="007C24DF">
        <w:t>SCCR/35/10</w:t>
      </w:r>
      <w:r w:rsidR="007C24DF">
        <w:rPr>
          <w:rFonts w:hint="cs"/>
          <w:rtl/>
        </w:rPr>
        <w:t>)</w:t>
      </w:r>
      <w:r w:rsidR="00EB0404">
        <w:rPr>
          <w:rFonts w:hint="cs"/>
          <w:rtl/>
        </w:rPr>
        <w:t>.</w:t>
      </w:r>
    </w:p>
    <w:p w:rsidR="00EB429C" w:rsidRPr="00AB2D8B" w:rsidRDefault="00EB429C" w:rsidP="00A21EA9">
      <w:pPr>
        <w:pStyle w:val="NumberedParaAR"/>
      </w:pPr>
      <w:r w:rsidRPr="00AB2D8B">
        <w:rPr>
          <w:rFonts w:hint="cs"/>
          <w:rtl/>
        </w:rPr>
        <w:t xml:space="preserve">وسيظل هذا البند مدرجا في جدول أعمال الدورة </w:t>
      </w:r>
      <w:r w:rsidR="00A21EA9" w:rsidRPr="00AB2D8B">
        <w:rPr>
          <w:rFonts w:hint="cs"/>
          <w:rtl/>
        </w:rPr>
        <w:t>السادسة</w:t>
      </w:r>
      <w:r w:rsidRPr="00AB2D8B">
        <w:rPr>
          <w:rFonts w:hint="cs"/>
          <w:rtl/>
        </w:rPr>
        <w:t xml:space="preserve"> والثلاثين للجنة</w:t>
      </w:r>
      <w:r w:rsidR="00A21EA9" w:rsidRPr="00AB2D8B">
        <w:rPr>
          <w:rFonts w:hint="cs"/>
          <w:rtl/>
        </w:rPr>
        <w:t xml:space="preserve"> حق المؤلف</w:t>
      </w:r>
      <w:r w:rsidRPr="00AB2D8B">
        <w:rPr>
          <w:rFonts w:hint="cs"/>
          <w:rtl/>
        </w:rPr>
        <w:t>.</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6</w:t>
      </w:r>
      <w:r>
        <w:rPr>
          <w:rFonts w:hint="cs"/>
          <w:b/>
          <w:bCs/>
          <w:sz w:val="40"/>
          <w:szCs w:val="40"/>
          <w:rtl/>
        </w:rPr>
        <w:t xml:space="preserve"> من جدول الأعمال: </w:t>
      </w:r>
      <w:r w:rsidR="00D42A23">
        <w:rPr>
          <w:rFonts w:hint="cs"/>
          <w:b/>
          <w:bCs/>
          <w:sz w:val="40"/>
          <w:szCs w:val="40"/>
          <w:rtl/>
        </w:rPr>
        <w:t>ال</w:t>
      </w:r>
      <w:r>
        <w:rPr>
          <w:rFonts w:hint="cs"/>
          <w:b/>
          <w:bCs/>
          <w:sz w:val="40"/>
          <w:szCs w:val="40"/>
          <w:rtl/>
        </w:rPr>
        <w:t>تقييدات و</w:t>
      </w:r>
      <w:r w:rsidR="00D42A23">
        <w:rPr>
          <w:rFonts w:hint="cs"/>
          <w:b/>
          <w:bCs/>
          <w:sz w:val="40"/>
          <w:szCs w:val="40"/>
          <w:rtl/>
        </w:rPr>
        <w:t>ال</w:t>
      </w:r>
      <w:r>
        <w:rPr>
          <w:rFonts w:hint="cs"/>
          <w:b/>
          <w:bCs/>
          <w:sz w:val="40"/>
          <w:szCs w:val="40"/>
          <w:rtl/>
        </w:rPr>
        <w:t>استثناءات لفائدة المكتبات ودور المحفوظات</w:t>
      </w:r>
    </w:p>
    <w:p w:rsidR="00AB2D8B" w:rsidRPr="00AB2D8B" w:rsidRDefault="00AB2D8B" w:rsidP="00C72A21">
      <w:pPr>
        <w:pStyle w:val="NumberedParaAR"/>
      </w:pPr>
      <w:r>
        <w:rPr>
          <w:rFonts w:hint="cs"/>
          <w:rtl/>
        </w:rPr>
        <w:t xml:space="preserve">قبل افتتاح هذا البند من جدول الأعمال، </w:t>
      </w:r>
      <w:r w:rsidR="00C72A21">
        <w:rPr>
          <w:rFonts w:hint="cs"/>
          <w:rtl/>
        </w:rPr>
        <w:t>اقترحت الأمانة مشروع خطط عمل فيما يتعلق بالبند 6 من جدول الأعمال كما التُمس في الدورة الرابعة والثلاثين للجنة حق المؤلف، و</w:t>
      </w:r>
      <w:r>
        <w:rPr>
          <w:rFonts w:hint="cs"/>
          <w:rtl/>
        </w:rPr>
        <w:t xml:space="preserve">قدمت عرضا عاما عن النهج المُستخدم لإعداد </w:t>
      </w:r>
      <w:r w:rsidRPr="00EB0404">
        <w:rPr>
          <w:rFonts w:hint="cs"/>
          <w:i/>
          <w:iCs/>
          <w:rtl/>
        </w:rPr>
        <w:t xml:space="preserve">مشروع خطط </w:t>
      </w:r>
      <w:r w:rsidRPr="00EB0404">
        <w:rPr>
          <w:rFonts w:hint="cs"/>
          <w:i/>
          <w:iCs/>
          <w:rtl/>
        </w:rPr>
        <w:lastRenderedPageBreak/>
        <w:t>العمل بشأن التقييدات والاستثناءات للثنائية 2018-19</w:t>
      </w:r>
      <w:r>
        <w:rPr>
          <w:rFonts w:hint="cs"/>
          <w:rtl/>
        </w:rPr>
        <w:t xml:space="preserve"> (الوثيقة</w:t>
      </w:r>
      <w:r>
        <w:rPr>
          <w:rFonts w:hint="eastAsia"/>
          <w:rtl/>
        </w:rPr>
        <w:t> </w:t>
      </w:r>
      <w:r w:rsidRPr="00AB2D8B">
        <w:t>SCCR/35/9</w:t>
      </w:r>
      <w:r w:rsidR="007C24DF">
        <w:rPr>
          <w:rFonts w:hint="cs"/>
          <w:rtl/>
        </w:rPr>
        <w:t>)، على أن تُجرى المناقشات حول مشروع خطط العمل بعد العروض المزمع تقديمها ضمن البندين 6 و7 من جدول الأعمال.</w:t>
      </w:r>
    </w:p>
    <w:p w:rsidR="00EB429C" w:rsidRDefault="00AB2D8B" w:rsidP="00AB2D8B">
      <w:pPr>
        <w:pStyle w:val="NumberedParaAR"/>
      </w:pPr>
      <w:r w:rsidRPr="00AB2D8B">
        <w:rPr>
          <w:rFonts w:hint="cs"/>
          <w:rtl/>
        </w:rPr>
        <w:t>و</w:t>
      </w:r>
      <w:r w:rsidR="00EB429C" w:rsidRPr="00AB2D8B">
        <w:rPr>
          <w:rFonts w:hint="cs"/>
          <w:rtl/>
        </w:rPr>
        <w:t>الوثائق المتعلقة بهذا البند من جدول الأعمال هي </w:t>
      </w:r>
      <w:r w:rsidR="00EB429C" w:rsidRPr="00AB2D8B">
        <w:t>SCCR/26/3</w:t>
      </w:r>
      <w:r w:rsidR="00EB429C" w:rsidRPr="00AB2D8B">
        <w:rPr>
          <w:rFonts w:hint="cs"/>
          <w:rtl/>
        </w:rPr>
        <w:t xml:space="preserve"> و</w:t>
      </w:r>
      <w:r w:rsidR="00EB429C" w:rsidRPr="00AB2D8B">
        <w:t>SCCR/26/8</w:t>
      </w:r>
      <w:r w:rsidR="00EB429C" w:rsidRPr="00AB2D8B">
        <w:rPr>
          <w:rFonts w:hint="cs"/>
          <w:rtl/>
        </w:rPr>
        <w:t xml:space="preserve"> و</w:t>
      </w:r>
      <w:r w:rsidR="00EB429C" w:rsidRPr="00AB2D8B">
        <w:t>SCCR/29/4</w:t>
      </w:r>
      <w:r w:rsidR="00EB429C" w:rsidRPr="00AB2D8B">
        <w:rPr>
          <w:rFonts w:hint="cs"/>
          <w:rtl/>
        </w:rPr>
        <w:t xml:space="preserve"> و</w:t>
      </w:r>
      <w:r w:rsidR="00EB429C" w:rsidRPr="00AB2D8B">
        <w:t>SCCR/30/2</w:t>
      </w:r>
      <w:r w:rsidR="00EB429C" w:rsidRPr="00AB2D8B">
        <w:rPr>
          <w:rFonts w:hint="cs"/>
          <w:rtl/>
        </w:rPr>
        <w:t xml:space="preserve"> و</w:t>
      </w:r>
      <w:r w:rsidR="00EB429C" w:rsidRPr="00AB2D8B">
        <w:t>SCCR/30/3</w:t>
      </w:r>
      <w:r w:rsidR="00EB429C" w:rsidRPr="00AB2D8B">
        <w:rPr>
          <w:rtl/>
        </w:rPr>
        <w:t xml:space="preserve"> </w:t>
      </w:r>
      <w:r w:rsidR="00EB429C" w:rsidRPr="00AB2D8B">
        <w:rPr>
          <w:rFonts w:hint="cs"/>
          <w:rtl/>
        </w:rPr>
        <w:t>و</w:t>
      </w:r>
      <w:r w:rsidR="00EB429C" w:rsidRPr="00AB2D8B">
        <w:t>SCCR/33/4</w:t>
      </w:r>
      <w:r w:rsidRPr="00AB2D8B">
        <w:rPr>
          <w:rFonts w:hint="cs"/>
          <w:rtl/>
        </w:rPr>
        <w:t xml:space="preserve"> و</w:t>
      </w:r>
      <w:r w:rsidRPr="00AB2D8B">
        <w:t>SCCR/34/5</w:t>
      </w:r>
      <w:r w:rsidRPr="00AB2D8B">
        <w:rPr>
          <w:rFonts w:hint="cs"/>
          <w:rtl/>
        </w:rPr>
        <w:t xml:space="preserve"> و</w:t>
      </w:r>
      <w:r w:rsidRPr="00AB2D8B">
        <w:t>SCCR/35/6</w:t>
      </w:r>
      <w:r w:rsidRPr="00AB2D8B">
        <w:rPr>
          <w:rFonts w:hint="cs"/>
          <w:rtl/>
        </w:rPr>
        <w:t>.</w:t>
      </w:r>
    </w:p>
    <w:p w:rsidR="00BE1E94" w:rsidRDefault="007C24DF" w:rsidP="00BE1E94">
      <w:pPr>
        <w:pStyle w:val="NumberedParaAR"/>
      </w:pPr>
      <w:r w:rsidRPr="00161B67">
        <w:rPr>
          <w:rFonts w:hint="cs"/>
          <w:rtl/>
        </w:rPr>
        <w:t xml:space="preserve"> </w:t>
      </w:r>
      <w:r w:rsidR="00BE1E94" w:rsidRPr="007C24DF">
        <w:rPr>
          <w:rFonts w:hint="cs"/>
          <w:rtl/>
        </w:rPr>
        <w:t xml:space="preserve">واستمعت اللجنة إلى عرض قدمه </w:t>
      </w:r>
      <w:r w:rsidR="00BE1E94">
        <w:rPr>
          <w:rFonts w:hint="cs"/>
          <w:rtl/>
        </w:rPr>
        <w:t>الدكتور كينيث كروز</w:t>
      </w:r>
      <w:r w:rsidR="00BE1E94" w:rsidRPr="007C24DF">
        <w:rPr>
          <w:rFonts w:hint="cs"/>
          <w:rtl/>
        </w:rPr>
        <w:t xml:space="preserve"> </w:t>
      </w:r>
      <w:r w:rsidR="00BE1E94">
        <w:rPr>
          <w:rFonts w:hint="cs"/>
          <w:rtl/>
        </w:rPr>
        <w:t>عن</w:t>
      </w:r>
      <w:r w:rsidR="00BE1E94" w:rsidRPr="007C24DF">
        <w:rPr>
          <w:rFonts w:hint="cs"/>
          <w:rtl/>
        </w:rPr>
        <w:t xml:space="preserve"> </w:t>
      </w:r>
      <w:r w:rsidR="00BE1E94">
        <w:rPr>
          <w:rFonts w:hint="cs"/>
          <w:i/>
          <w:iCs/>
          <w:rtl/>
        </w:rPr>
        <w:t xml:space="preserve">الدراسة </w:t>
      </w:r>
      <w:r w:rsidR="00BE1E94" w:rsidRPr="007C24DF">
        <w:rPr>
          <w:rFonts w:hint="cs"/>
          <w:i/>
          <w:iCs/>
          <w:rtl/>
        </w:rPr>
        <w:t>بشأن التقييدات والاستثناءات على حق المؤلف لفائدة المكتبات ودور المحفوظات: النسخة المحدثة والمراج</w:t>
      </w:r>
      <w:r w:rsidR="00653BE4">
        <w:rPr>
          <w:rFonts w:hint="cs"/>
          <w:i/>
          <w:iCs/>
          <w:rtl/>
        </w:rPr>
        <w:t>َ</w:t>
      </w:r>
      <w:r w:rsidR="00BE1E94" w:rsidRPr="007C24DF">
        <w:rPr>
          <w:rFonts w:hint="cs"/>
          <w:i/>
          <w:iCs/>
          <w:rtl/>
        </w:rPr>
        <w:t>عة</w:t>
      </w:r>
      <w:r w:rsidR="00BE1E94" w:rsidRPr="007C24DF">
        <w:rPr>
          <w:rFonts w:hint="cs"/>
          <w:rtl/>
        </w:rPr>
        <w:t xml:space="preserve"> (نسخة</w:t>
      </w:r>
      <w:r w:rsidR="00BE1E94" w:rsidRPr="007C24DF">
        <w:rPr>
          <w:rFonts w:hint="eastAsia"/>
          <w:rtl/>
        </w:rPr>
        <w:t> </w:t>
      </w:r>
      <w:r w:rsidR="00BE1E94">
        <w:rPr>
          <w:rFonts w:hint="cs"/>
          <w:rtl/>
        </w:rPr>
        <w:t>2017)، الواردة في الوثيقة</w:t>
      </w:r>
      <w:r w:rsidR="00BE1E94">
        <w:rPr>
          <w:rFonts w:hint="eastAsia"/>
          <w:rtl/>
        </w:rPr>
        <w:t> </w:t>
      </w:r>
      <w:r w:rsidR="00BE1E94" w:rsidRPr="007C24DF">
        <w:t>SCCR/35/6</w:t>
      </w:r>
      <w:r w:rsidR="00BE1E94" w:rsidRPr="007C24DF">
        <w:rPr>
          <w:rFonts w:hint="cs"/>
          <w:rtl/>
        </w:rPr>
        <w:t>، ورح</w:t>
      </w:r>
      <w:r w:rsidR="00BE1E94">
        <w:rPr>
          <w:rFonts w:hint="cs"/>
          <w:rtl/>
        </w:rPr>
        <w:t>ّ</w:t>
      </w:r>
      <w:r w:rsidR="00BE1E94" w:rsidRPr="007C24DF">
        <w:rPr>
          <w:rFonts w:hint="cs"/>
          <w:rtl/>
        </w:rPr>
        <w:t>بت بذلك.</w:t>
      </w:r>
      <w:r w:rsidR="00BE1E94">
        <w:rPr>
          <w:rFonts w:hint="cs"/>
          <w:rtl/>
        </w:rPr>
        <w:t xml:space="preserve"> وشاركت الوفود والجهات المراقبة في جلسة للأسئلة والأجوبة مع الدكتور كروز.</w:t>
      </w:r>
    </w:p>
    <w:p w:rsidR="00EB429C" w:rsidRDefault="00BE1E94" w:rsidP="00BE1E94">
      <w:pPr>
        <w:pStyle w:val="NumberedParaAR"/>
      </w:pPr>
      <w:r w:rsidRPr="00BE1E94">
        <w:rPr>
          <w:rFonts w:hint="cs"/>
          <w:rtl/>
        </w:rPr>
        <w:t xml:space="preserve">كما استمعت اللجنة إلى عرض </w:t>
      </w:r>
      <w:r>
        <w:rPr>
          <w:rFonts w:hint="cs"/>
          <w:rtl/>
        </w:rPr>
        <w:t>السيد بنوا مول</w:t>
      </w:r>
      <w:r w:rsidRPr="00BE1E94">
        <w:rPr>
          <w:rFonts w:hint="cs"/>
          <w:rtl/>
        </w:rPr>
        <w:t>ر للتقرير المرحلي بشأن العمل الخاص بالتقييدات والاستثناءات لفائدة</w:t>
      </w:r>
      <w:r>
        <w:rPr>
          <w:rFonts w:hint="eastAsia"/>
          <w:rtl/>
        </w:rPr>
        <w:t> </w:t>
      </w:r>
      <w:r w:rsidRPr="00BE1E94">
        <w:rPr>
          <w:rFonts w:hint="cs"/>
          <w:rtl/>
        </w:rPr>
        <w:t>المتاحف.</w:t>
      </w:r>
    </w:p>
    <w:p w:rsidR="00A05BF0" w:rsidRPr="00161B67" w:rsidRDefault="00A05BF0" w:rsidP="00A05BF0">
      <w:pPr>
        <w:pStyle w:val="NumberedParaAR"/>
      </w:pPr>
      <w:r>
        <w:rPr>
          <w:rFonts w:hint="cs"/>
          <w:rtl/>
        </w:rPr>
        <w:t xml:space="preserve">وناقشت </w:t>
      </w:r>
      <w:r w:rsidRPr="00A05BF0">
        <w:rPr>
          <w:rFonts w:hint="cs"/>
          <w:rtl/>
        </w:rPr>
        <w:t>اللجنة مشروع خطط العمل الذي أعدته الأمانة فيما يتعلق</w:t>
      </w:r>
      <w:r>
        <w:rPr>
          <w:rFonts w:hint="cs"/>
          <w:rtl/>
        </w:rPr>
        <w:t xml:space="preserve"> بالبند</w:t>
      </w:r>
      <w:r>
        <w:rPr>
          <w:rFonts w:hint="eastAsia"/>
          <w:rtl/>
        </w:rPr>
        <w:t> </w:t>
      </w:r>
      <w:r>
        <w:rPr>
          <w:rFonts w:hint="cs"/>
          <w:rtl/>
        </w:rPr>
        <w:t xml:space="preserve">6 </w:t>
      </w:r>
      <w:r w:rsidRPr="00A05BF0">
        <w:rPr>
          <w:rFonts w:hint="cs"/>
          <w:rtl/>
        </w:rPr>
        <w:t>والوارد في الوثيقة</w:t>
      </w:r>
      <w:r w:rsidRPr="00A05BF0">
        <w:rPr>
          <w:rFonts w:hint="eastAsia"/>
          <w:rtl/>
        </w:rPr>
        <w:t> </w:t>
      </w:r>
      <w:r w:rsidRPr="00A05BF0">
        <w:t>SCCR/35/9</w:t>
      </w:r>
      <w:r w:rsidRPr="00A05BF0">
        <w:rPr>
          <w:rFonts w:hint="cs"/>
          <w:rtl/>
        </w:rPr>
        <w:t>. وفي حين لم تتمكّن اللجنة من الموافقة على خطط العمل أثناء هذا الاجتماع، فإنها اتفقت على أن تلك الخطط تشكّل أساسا جيدا لإجراء مزيد من المناقشات. وناقشت الأعضاء العناصر التي تودّ رؤيتها في مشروع خطط العمل الذي سيعده الرئيس لمناقشته في</w:t>
      </w:r>
      <w:r w:rsidRPr="00A05BF0">
        <w:rPr>
          <w:rFonts w:hint="eastAsia"/>
          <w:rtl/>
        </w:rPr>
        <w:t> </w:t>
      </w:r>
      <w:r w:rsidRPr="00A05BF0">
        <w:rPr>
          <w:rFonts w:hint="cs"/>
          <w:rtl/>
        </w:rPr>
        <w:t>الدورة السادسة والثلاثين للجنة حق المؤلف. والتمست الأعضاء أن يُرسل ذلك المشروع إليها قبل شهر على الأقل من انعقاد الدورة السادسة والثلاثين للجنة حق المؤلف.</w:t>
      </w:r>
    </w:p>
    <w:p w:rsidR="00EB429C" w:rsidRPr="00AB2D8B" w:rsidRDefault="00EB429C" w:rsidP="00AB2D8B">
      <w:pPr>
        <w:pStyle w:val="NumberedParaAR"/>
      </w:pPr>
      <w:r w:rsidRPr="00AB2D8B">
        <w:rPr>
          <w:rFonts w:hint="cs"/>
          <w:rtl/>
        </w:rPr>
        <w:t xml:space="preserve">وسيظل هذا البند مدرجا في جدول أعمال الدورة </w:t>
      </w:r>
      <w:r w:rsidR="00AB2D8B" w:rsidRPr="00AB2D8B">
        <w:rPr>
          <w:rFonts w:hint="cs"/>
          <w:rtl/>
        </w:rPr>
        <w:t>السادسة</w:t>
      </w:r>
      <w:r w:rsidRPr="00AB2D8B">
        <w:rPr>
          <w:rFonts w:hint="cs"/>
          <w:rtl/>
        </w:rPr>
        <w:t xml:space="preserve"> والثلاثين للجنة</w:t>
      </w:r>
      <w:r w:rsidR="00AB2D8B" w:rsidRPr="00AB2D8B">
        <w:rPr>
          <w:rFonts w:hint="cs"/>
          <w:rtl/>
        </w:rPr>
        <w:t xml:space="preserve"> حق المؤلف</w:t>
      </w:r>
      <w:r w:rsidRPr="00AB2D8B">
        <w:rPr>
          <w:rFonts w:hint="cs"/>
          <w:rtl/>
        </w:rPr>
        <w:t>.</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7</w:t>
      </w:r>
      <w:r>
        <w:rPr>
          <w:rFonts w:hint="cs"/>
          <w:b/>
          <w:bCs/>
          <w:sz w:val="40"/>
          <w:szCs w:val="40"/>
          <w:rtl/>
        </w:rPr>
        <w:t xml:space="preserve"> من جدول الأعمال: </w:t>
      </w:r>
      <w:r w:rsidR="00D42A23">
        <w:rPr>
          <w:rFonts w:hint="cs"/>
          <w:b/>
          <w:bCs/>
          <w:sz w:val="40"/>
          <w:szCs w:val="40"/>
          <w:rtl/>
        </w:rPr>
        <w:t>ال</w:t>
      </w:r>
      <w:r>
        <w:rPr>
          <w:rFonts w:hint="cs"/>
          <w:b/>
          <w:bCs/>
          <w:sz w:val="40"/>
          <w:szCs w:val="40"/>
          <w:rtl/>
        </w:rPr>
        <w:t>تقييدات و</w:t>
      </w:r>
      <w:r w:rsidR="00D42A23">
        <w:rPr>
          <w:rFonts w:hint="cs"/>
          <w:b/>
          <w:bCs/>
          <w:sz w:val="40"/>
          <w:szCs w:val="40"/>
          <w:rtl/>
        </w:rPr>
        <w:t>ال</w:t>
      </w:r>
      <w:r>
        <w:rPr>
          <w:rFonts w:hint="cs"/>
          <w:b/>
          <w:bCs/>
          <w:sz w:val="40"/>
          <w:szCs w:val="40"/>
          <w:rtl/>
        </w:rPr>
        <w:t>استثناءات لفائدة مؤسسات التعليم والبحث ولفائدة الأشخاص ذوي إعاقات أخرى</w:t>
      </w:r>
    </w:p>
    <w:p w:rsidR="00E23688" w:rsidRDefault="00E23688" w:rsidP="00E23688">
      <w:pPr>
        <w:pStyle w:val="NumberedParaAR"/>
      </w:pPr>
      <w:r w:rsidRPr="00E23688">
        <w:rPr>
          <w:rFonts w:hint="cs"/>
          <w:rtl/>
        </w:rPr>
        <w:t xml:space="preserve">قبل افتتاح البند </w:t>
      </w:r>
      <w:r>
        <w:rPr>
          <w:rFonts w:hint="cs"/>
          <w:rtl/>
        </w:rPr>
        <w:t xml:space="preserve">6 </w:t>
      </w:r>
      <w:r w:rsidRPr="00E23688">
        <w:rPr>
          <w:rFonts w:hint="cs"/>
          <w:rtl/>
        </w:rPr>
        <w:t xml:space="preserve">من جدول الأعمال، اقترحت الأمانة مشروع خطط عمل فيما يتعلق بالبند </w:t>
      </w:r>
      <w:r>
        <w:rPr>
          <w:rFonts w:hint="cs"/>
          <w:rtl/>
        </w:rPr>
        <w:t>7</w:t>
      </w:r>
      <w:r w:rsidRPr="00E23688">
        <w:rPr>
          <w:rFonts w:hint="cs"/>
          <w:rtl/>
        </w:rPr>
        <w:t xml:space="preserve"> من جدول الأعمال كما التُمس في الدورة الرابعة والثلاثين للجنة حق المؤلف، وقدمت عرضا عاما عن النهج المُستخدم لإعداد </w:t>
      </w:r>
      <w:r w:rsidRPr="00E23688">
        <w:rPr>
          <w:rFonts w:hint="cs"/>
          <w:i/>
          <w:iCs/>
          <w:rtl/>
        </w:rPr>
        <w:t>مشروع خطط العمل بشأن التقييدات والاستثناءات للثنائية 2018-19</w:t>
      </w:r>
      <w:r w:rsidRPr="00E23688">
        <w:rPr>
          <w:rFonts w:hint="cs"/>
          <w:rtl/>
        </w:rPr>
        <w:t xml:space="preserve"> (الوثيقة</w:t>
      </w:r>
      <w:r w:rsidRPr="00E23688">
        <w:rPr>
          <w:rFonts w:hint="eastAsia"/>
          <w:rtl/>
        </w:rPr>
        <w:t> </w:t>
      </w:r>
      <w:r w:rsidRPr="00E23688">
        <w:t>SCCR/35/9</w:t>
      </w:r>
      <w:r w:rsidRPr="00E23688">
        <w:rPr>
          <w:rFonts w:hint="cs"/>
          <w:rtl/>
        </w:rPr>
        <w:t>)، على أن تُجرى المناقشات حول مشروع خطط العمل بعد العروض المزمع تقديمها ضمن البندين 6 و7 من جدول الأعمال.</w:t>
      </w:r>
    </w:p>
    <w:p w:rsidR="00AB2D8B" w:rsidRDefault="00683750" w:rsidP="003401C1">
      <w:pPr>
        <w:pStyle w:val="NumberedParaAR"/>
      </w:pPr>
      <w:r>
        <w:rPr>
          <w:rFonts w:hint="cs"/>
          <w:rtl/>
        </w:rPr>
        <w:t>و</w:t>
      </w:r>
      <w:r w:rsidR="00EB429C" w:rsidRPr="00AB2D8B">
        <w:rPr>
          <w:rFonts w:hint="cs"/>
          <w:rtl/>
        </w:rPr>
        <w:t>الوثائق المتعلقة بهذا البند من جدول الأعمال هي </w:t>
      </w:r>
      <w:r w:rsidR="00EB429C" w:rsidRPr="00AB2D8B">
        <w:t>SCCR/26/4 PROV.</w:t>
      </w:r>
      <w:r w:rsidR="00EB429C" w:rsidRPr="00AB2D8B">
        <w:rPr>
          <w:rFonts w:hint="cs"/>
          <w:rtl/>
        </w:rPr>
        <w:t xml:space="preserve"> و</w:t>
      </w:r>
      <w:r w:rsidR="00EB429C" w:rsidRPr="00AB2D8B">
        <w:t>SCCR/27/8</w:t>
      </w:r>
      <w:r w:rsidR="00EB429C" w:rsidRPr="00AB2D8B">
        <w:rPr>
          <w:rFonts w:hint="cs"/>
          <w:rtl/>
        </w:rPr>
        <w:t xml:space="preserve"> و</w:t>
      </w:r>
      <w:r w:rsidR="00EB429C" w:rsidRPr="00AB2D8B">
        <w:t>SCCR 32/4</w:t>
      </w:r>
      <w:r w:rsidR="00EB429C" w:rsidRPr="00AB2D8B">
        <w:rPr>
          <w:rFonts w:hint="cs"/>
          <w:rtl/>
        </w:rPr>
        <w:t xml:space="preserve"> و</w:t>
      </w:r>
      <w:r w:rsidR="00EB429C" w:rsidRPr="00AB2D8B">
        <w:t>SCCR 33/4</w:t>
      </w:r>
      <w:r w:rsidR="00EB429C" w:rsidRPr="00AB2D8B">
        <w:rPr>
          <w:rFonts w:hint="cs"/>
          <w:rtl/>
        </w:rPr>
        <w:t xml:space="preserve"> و</w:t>
      </w:r>
      <w:r w:rsidR="00EB429C" w:rsidRPr="00AB2D8B">
        <w:t>SCCR 33/6</w:t>
      </w:r>
      <w:r w:rsidR="00AB2D8B" w:rsidRPr="00AB2D8B">
        <w:rPr>
          <w:rFonts w:hint="cs"/>
          <w:rtl/>
        </w:rPr>
        <w:t xml:space="preserve"> و</w:t>
      </w:r>
      <w:r w:rsidR="00AB2D8B" w:rsidRPr="00AB2D8B">
        <w:t>SCCR 34/6</w:t>
      </w:r>
      <w:r w:rsidR="00AB2D8B" w:rsidRPr="00AB2D8B">
        <w:rPr>
          <w:rFonts w:hint="cs"/>
          <w:rtl/>
        </w:rPr>
        <w:t xml:space="preserve"> </w:t>
      </w:r>
      <w:r w:rsidR="003401C1">
        <w:rPr>
          <w:rFonts w:hint="cs"/>
          <w:rtl/>
        </w:rPr>
        <w:t>و</w:t>
      </w:r>
      <w:r w:rsidR="003401C1" w:rsidRPr="003401C1">
        <w:t>SCCR 35/3</w:t>
      </w:r>
      <w:r w:rsidR="003401C1">
        <w:rPr>
          <w:rFonts w:hint="cs"/>
          <w:rtl/>
        </w:rPr>
        <w:t xml:space="preserve"> </w:t>
      </w:r>
      <w:r w:rsidR="00AB2D8B" w:rsidRPr="00AB2D8B">
        <w:rPr>
          <w:rFonts w:hint="cs"/>
          <w:rtl/>
        </w:rPr>
        <w:t>و</w:t>
      </w:r>
      <w:r w:rsidR="00AB2D8B" w:rsidRPr="00AB2D8B">
        <w:t>SCCR/35/</w:t>
      </w:r>
      <w:r w:rsidR="003401C1">
        <w:t>5</w:t>
      </w:r>
      <w:r w:rsidR="00AB2D8B" w:rsidRPr="00AB2D8B">
        <w:t xml:space="preserve"> Rev.</w:t>
      </w:r>
      <w:r w:rsidR="00AB2D8B" w:rsidRPr="00AB2D8B">
        <w:rPr>
          <w:rFonts w:hint="cs"/>
          <w:rtl/>
        </w:rPr>
        <w:t>.</w:t>
      </w:r>
    </w:p>
    <w:p w:rsidR="009709DC" w:rsidRPr="009709DC" w:rsidRDefault="00EB429C" w:rsidP="009709DC">
      <w:pPr>
        <w:pStyle w:val="NumberedParaAR"/>
      </w:pPr>
      <w:r w:rsidRPr="009709DC">
        <w:rPr>
          <w:rFonts w:hint="cs"/>
          <w:rtl/>
        </w:rPr>
        <w:t xml:space="preserve">واستمعت اللجنة إلى عرض قدمه الأستاذ دانييل سينغ </w:t>
      </w:r>
      <w:r w:rsidR="00BE1E94" w:rsidRPr="009709DC">
        <w:rPr>
          <w:rFonts w:hint="cs"/>
          <w:rtl/>
        </w:rPr>
        <w:t>عن</w:t>
      </w:r>
      <w:r w:rsidRPr="009709DC">
        <w:rPr>
          <w:rFonts w:hint="cs"/>
          <w:rtl/>
        </w:rPr>
        <w:t xml:space="preserve"> </w:t>
      </w:r>
      <w:r w:rsidR="00BE1E94" w:rsidRPr="009709DC">
        <w:rPr>
          <w:rFonts w:hint="cs"/>
          <w:i/>
          <w:iCs/>
          <w:rtl/>
        </w:rPr>
        <w:t>الدراسة المحدثة والتحليل الإضافي بشأن التقييدات والاستثناءات على حق المؤلف لأغراض الأنشطة التعليمية</w:t>
      </w:r>
      <w:r w:rsidR="00BE1E94" w:rsidRPr="009709DC">
        <w:rPr>
          <w:rFonts w:hint="cs"/>
          <w:rtl/>
        </w:rPr>
        <w:t xml:space="preserve">، </w:t>
      </w:r>
      <w:r w:rsidRPr="009709DC">
        <w:rPr>
          <w:rFonts w:hint="cs"/>
          <w:rtl/>
        </w:rPr>
        <w:t>الواردة في الوثيقة </w:t>
      </w:r>
      <w:r w:rsidR="00BE1E94" w:rsidRPr="009709DC">
        <w:t>SCCR/35/5 Rev.</w:t>
      </w:r>
      <w:r w:rsidRPr="009709DC">
        <w:rPr>
          <w:rFonts w:hint="cs"/>
          <w:rtl/>
        </w:rPr>
        <w:t>، ورح</w:t>
      </w:r>
      <w:r w:rsidR="00BE1E94" w:rsidRPr="009709DC">
        <w:rPr>
          <w:rFonts w:hint="cs"/>
          <w:rtl/>
        </w:rPr>
        <w:t>ّ</w:t>
      </w:r>
      <w:r w:rsidRPr="009709DC">
        <w:rPr>
          <w:rFonts w:hint="cs"/>
          <w:rtl/>
        </w:rPr>
        <w:t xml:space="preserve">بت بذلك. </w:t>
      </w:r>
      <w:r w:rsidR="00BE1E94" w:rsidRPr="009709DC">
        <w:rPr>
          <w:rFonts w:hint="cs"/>
          <w:rtl/>
        </w:rPr>
        <w:t>وشارك</w:t>
      </w:r>
      <w:r w:rsidR="009709DC" w:rsidRPr="009709DC">
        <w:rPr>
          <w:rFonts w:hint="cs"/>
          <w:rtl/>
        </w:rPr>
        <w:t>ت</w:t>
      </w:r>
      <w:r w:rsidR="00BE1E94" w:rsidRPr="009709DC">
        <w:rPr>
          <w:rFonts w:hint="cs"/>
          <w:rtl/>
        </w:rPr>
        <w:t xml:space="preserve"> الوفود والجهات المراقبة في جلسة للأسئلة والأجوبة مع </w:t>
      </w:r>
      <w:r w:rsidR="009709DC" w:rsidRPr="009709DC">
        <w:rPr>
          <w:rFonts w:hint="cs"/>
          <w:rtl/>
        </w:rPr>
        <w:t>الأستاذ</w:t>
      </w:r>
      <w:r w:rsidR="00BE1E94" w:rsidRPr="009709DC">
        <w:rPr>
          <w:rFonts w:hint="cs"/>
          <w:rtl/>
        </w:rPr>
        <w:t xml:space="preserve"> </w:t>
      </w:r>
      <w:r w:rsidR="009709DC" w:rsidRPr="009709DC">
        <w:rPr>
          <w:rFonts w:hint="cs"/>
          <w:rtl/>
        </w:rPr>
        <w:t>سينغ</w:t>
      </w:r>
      <w:r w:rsidR="00BE1E94" w:rsidRPr="009709DC">
        <w:rPr>
          <w:rFonts w:hint="cs"/>
          <w:rtl/>
        </w:rPr>
        <w:t>.</w:t>
      </w:r>
    </w:p>
    <w:p w:rsidR="00EB429C" w:rsidRPr="009709DC" w:rsidRDefault="00EB429C" w:rsidP="00C26374">
      <w:pPr>
        <w:pStyle w:val="NumberedParaAR"/>
      </w:pPr>
      <w:r w:rsidRPr="009709DC">
        <w:rPr>
          <w:rFonts w:hint="cs"/>
          <w:rtl/>
        </w:rPr>
        <w:t>كما</w:t>
      </w:r>
      <w:r w:rsidR="009709DC">
        <w:rPr>
          <w:rFonts w:hint="cs"/>
          <w:rtl/>
        </w:rPr>
        <w:t xml:space="preserve"> </w:t>
      </w:r>
      <w:r w:rsidRPr="009709DC">
        <w:rPr>
          <w:rFonts w:hint="cs"/>
          <w:rtl/>
        </w:rPr>
        <w:t xml:space="preserve">استعمت اللجنة إلى عرض </w:t>
      </w:r>
      <w:r w:rsidR="009709DC" w:rsidRPr="009709DC">
        <w:rPr>
          <w:rFonts w:hint="cs"/>
          <w:rtl/>
        </w:rPr>
        <w:t>قدمه كل من الأستاذة كارولين نكوبي والأستاذ بليك ريد ومحاميان متدربان من جامعة كولورادو عن</w:t>
      </w:r>
      <w:r w:rsidRPr="009709DC">
        <w:rPr>
          <w:rFonts w:hint="cs"/>
          <w:rtl/>
        </w:rPr>
        <w:t xml:space="preserve"> </w:t>
      </w:r>
      <w:r w:rsidR="009709DC" w:rsidRPr="009709DC">
        <w:rPr>
          <w:i/>
          <w:iCs/>
          <w:rtl/>
        </w:rPr>
        <w:t xml:space="preserve">دارسة </w:t>
      </w:r>
      <w:r w:rsidR="009709DC" w:rsidRPr="009709DC">
        <w:rPr>
          <w:rFonts w:hint="cs"/>
          <w:i/>
          <w:iCs/>
          <w:rtl/>
        </w:rPr>
        <w:t>ال</w:t>
      </w:r>
      <w:r w:rsidR="009709DC" w:rsidRPr="009709DC">
        <w:rPr>
          <w:i/>
          <w:iCs/>
          <w:rtl/>
        </w:rPr>
        <w:t>نطاق بشأن نفاذ الأشخاص ذوي الإعاقات إلى المصنفات المحمية بحق المؤلف</w:t>
      </w:r>
      <w:r w:rsidRPr="009709DC">
        <w:rPr>
          <w:rFonts w:hint="cs"/>
          <w:rtl/>
        </w:rPr>
        <w:t xml:space="preserve">، </w:t>
      </w:r>
      <w:r w:rsidR="009709DC" w:rsidRPr="009709DC">
        <w:rPr>
          <w:rFonts w:hint="cs"/>
          <w:rtl/>
        </w:rPr>
        <w:t>الواردة في الوثيقة</w:t>
      </w:r>
      <w:r w:rsidR="00C26374">
        <w:rPr>
          <w:rFonts w:hint="eastAsia"/>
          <w:rtl/>
        </w:rPr>
        <w:t> </w:t>
      </w:r>
      <w:r w:rsidR="009709DC" w:rsidRPr="009709DC">
        <w:t>SCCR/35/3</w:t>
      </w:r>
      <w:r w:rsidR="009709DC" w:rsidRPr="009709DC">
        <w:rPr>
          <w:rFonts w:hint="cs"/>
          <w:rtl/>
        </w:rPr>
        <w:t>، ورحّب</w:t>
      </w:r>
      <w:r w:rsidR="00460774">
        <w:rPr>
          <w:rFonts w:hint="cs"/>
          <w:rtl/>
        </w:rPr>
        <w:t>ت</w:t>
      </w:r>
      <w:r w:rsidR="009709DC" w:rsidRPr="009709DC">
        <w:rPr>
          <w:rFonts w:hint="cs"/>
          <w:rtl/>
        </w:rPr>
        <w:t xml:space="preserve"> بذلك. وشاركت الوفود والجهات المراقبة في جلسة للأسئلة والأجوبة مع الأستاذين ريد</w:t>
      </w:r>
      <w:r w:rsidR="009709DC" w:rsidRPr="009709DC">
        <w:rPr>
          <w:rFonts w:hint="eastAsia"/>
          <w:rtl/>
        </w:rPr>
        <w:t> </w:t>
      </w:r>
      <w:r w:rsidR="009709DC" w:rsidRPr="009709DC">
        <w:rPr>
          <w:rFonts w:hint="cs"/>
          <w:rtl/>
        </w:rPr>
        <w:t>ونكوبي</w:t>
      </w:r>
      <w:r w:rsidRPr="009709DC">
        <w:rPr>
          <w:rFonts w:hint="cs"/>
          <w:rtl/>
        </w:rPr>
        <w:t>.</w:t>
      </w:r>
    </w:p>
    <w:p w:rsidR="009709DC" w:rsidRDefault="009709DC" w:rsidP="00983ED1">
      <w:pPr>
        <w:pStyle w:val="NumberedParaAR"/>
      </w:pPr>
      <w:r>
        <w:rPr>
          <w:rFonts w:hint="cs"/>
          <w:rtl/>
        </w:rPr>
        <w:t xml:space="preserve">وناقشت اللجنة </w:t>
      </w:r>
      <w:r w:rsidR="00983ED1">
        <w:rPr>
          <w:rFonts w:hint="cs"/>
          <w:rtl/>
        </w:rPr>
        <w:t>مشروع خطط العمل الذي</w:t>
      </w:r>
      <w:r w:rsidR="005B3089">
        <w:rPr>
          <w:rFonts w:hint="cs"/>
          <w:rtl/>
        </w:rPr>
        <w:t xml:space="preserve"> أعدته الأمانة </w:t>
      </w:r>
      <w:r w:rsidR="00E23688">
        <w:rPr>
          <w:rFonts w:hint="cs"/>
          <w:rtl/>
        </w:rPr>
        <w:t>فيما يتعلق بالبند</w:t>
      </w:r>
      <w:r w:rsidR="00983ED1">
        <w:rPr>
          <w:rFonts w:hint="eastAsia"/>
          <w:rtl/>
        </w:rPr>
        <w:t> </w:t>
      </w:r>
      <w:r w:rsidR="00983ED1">
        <w:rPr>
          <w:rFonts w:hint="cs"/>
          <w:rtl/>
        </w:rPr>
        <w:t xml:space="preserve">7 </w:t>
      </w:r>
      <w:r w:rsidR="005B3089">
        <w:rPr>
          <w:rFonts w:hint="cs"/>
          <w:rtl/>
        </w:rPr>
        <w:t>والوارد في الوثيقة</w:t>
      </w:r>
      <w:r w:rsidR="00754FE9">
        <w:rPr>
          <w:rFonts w:hint="eastAsia"/>
          <w:rtl/>
        </w:rPr>
        <w:t> </w:t>
      </w:r>
      <w:r w:rsidR="005B3089" w:rsidRPr="005B3089">
        <w:t>SCCR/35/9</w:t>
      </w:r>
      <w:r w:rsidR="005B3089">
        <w:rPr>
          <w:rFonts w:hint="cs"/>
          <w:rtl/>
        </w:rPr>
        <w:t>. وفي حين لم تتمكّن اللجنة من الموافقة على خطط العمل أثناء هذا الاجتماع، فإنها اتفقت على أن تلك</w:t>
      </w:r>
      <w:r w:rsidR="00754FE9">
        <w:rPr>
          <w:rFonts w:hint="cs"/>
          <w:rtl/>
        </w:rPr>
        <w:t xml:space="preserve"> الخطط تشكّل أساسا جيدا لإجراء </w:t>
      </w:r>
      <w:r w:rsidR="005B3089">
        <w:rPr>
          <w:rFonts w:hint="cs"/>
          <w:rtl/>
        </w:rPr>
        <w:t>مزيد من المناقشات. وناقش</w:t>
      </w:r>
      <w:r w:rsidR="00754FE9">
        <w:rPr>
          <w:rFonts w:hint="cs"/>
          <w:rtl/>
        </w:rPr>
        <w:t>ت</w:t>
      </w:r>
      <w:r w:rsidR="005B3089">
        <w:rPr>
          <w:rFonts w:hint="cs"/>
          <w:rtl/>
        </w:rPr>
        <w:t xml:space="preserve"> </w:t>
      </w:r>
      <w:r w:rsidR="00754FE9">
        <w:rPr>
          <w:rFonts w:hint="cs"/>
          <w:rtl/>
        </w:rPr>
        <w:t>الأعضاء العناصر التي تودّ</w:t>
      </w:r>
      <w:r w:rsidR="005B3089">
        <w:rPr>
          <w:rFonts w:hint="cs"/>
          <w:rtl/>
        </w:rPr>
        <w:t xml:space="preserve"> رؤيتها في مشروع خطط العمل الذي سيعده الرئيس لمناقشته في</w:t>
      </w:r>
      <w:r w:rsidR="00754FE9">
        <w:rPr>
          <w:rFonts w:hint="eastAsia"/>
          <w:rtl/>
        </w:rPr>
        <w:t> </w:t>
      </w:r>
      <w:r w:rsidR="005B3089">
        <w:rPr>
          <w:rFonts w:hint="cs"/>
          <w:rtl/>
        </w:rPr>
        <w:t>الدورة السادسة والثلاثين للجنة</w:t>
      </w:r>
      <w:r w:rsidR="00653BE4">
        <w:rPr>
          <w:rFonts w:hint="cs"/>
          <w:rtl/>
        </w:rPr>
        <w:t xml:space="preserve"> حق المؤلف</w:t>
      </w:r>
      <w:r w:rsidR="005B3089">
        <w:rPr>
          <w:rFonts w:hint="cs"/>
          <w:rtl/>
        </w:rPr>
        <w:t xml:space="preserve">. </w:t>
      </w:r>
      <w:r w:rsidR="00754FE9">
        <w:rPr>
          <w:rFonts w:hint="cs"/>
          <w:rtl/>
        </w:rPr>
        <w:t xml:space="preserve">والتمست الأعضاء أن يُرسل ذلك المشروع إليها قبل شهر </w:t>
      </w:r>
      <w:r w:rsidR="003448DE">
        <w:rPr>
          <w:rFonts w:hint="cs"/>
          <w:rtl/>
        </w:rPr>
        <w:t xml:space="preserve">على الأقل </w:t>
      </w:r>
      <w:r w:rsidR="00754FE9">
        <w:rPr>
          <w:rFonts w:hint="cs"/>
          <w:rtl/>
        </w:rPr>
        <w:t>من انعقاد الدورة السادسة والثلاثين للجنة</w:t>
      </w:r>
      <w:r w:rsidR="003448DE">
        <w:rPr>
          <w:rFonts w:hint="cs"/>
          <w:rtl/>
        </w:rPr>
        <w:t xml:space="preserve"> حق المؤلف</w:t>
      </w:r>
      <w:r w:rsidR="00754FE9">
        <w:rPr>
          <w:rFonts w:hint="cs"/>
          <w:rtl/>
        </w:rPr>
        <w:t>.</w:t>
      </w:r>
    </w:p>
    <w:p w:rsidR="00E23688" w:rsidRDefault="00E23688" w:rsidP="00E23688">
      <w:pPr>
        <w:pStyle w:val="NumberedParaAR"/>
      </w:pPr>
      <w:r w:rsidRPr="00E23688">
        <w:rPr>
          <w:rFonts w:hint="cs"/>
          <w:rtl/>
        </w:rPr>
        <w:t>وسيظل هذا البند مدرجا في جدول أعمال الدورة السادسة والثلاثين للجنة حق المؤلف.</w:t>
      </w:r>
    </w:p>
    <w:p w:rsidR="00EB429C" w:rsidRDefault="00EB429C" w:rsidP="00D42A23">
      <w:pPr>
        <w:pStyle w:val="NormalParaAR"/>
        <w:keepNext/>
        <w:rPr>
          <w:b/>
          <w:bCs/>
          <w:sz w:val="40"/>
          <w:szCs w:val="40"/>
        </w:rPr>
      </w:pPr>
      <w:r>
        <w:rPr>
          <w:rFonts w:hint="cs"/>
          <w:b/>
          <w:bCs/>
          <w:sz w:val="40"/>
          <w:szCs w:val="40"/>
          <w:rtl/>
        </w:rPr>
        <w:t xml:space="preserve">البند </w:t>
      </w:r>
      <w:r w:rsidR="00D42A23">
        <w:rPr>
          <w:rFonts w:hint="cs"/>
          <w:b/>
          <w:bCs/>
          <w:sz w:val="40"/>
          <w:szCs w:val="40"/>
          <w:rtl/>
        </w:rPr>
        <w:t>8</w:t>
      </w:r>
      <w:r>
        <w:rPr>
          <w:rFonts w:hint="cs"/>
          <w:b/>
          <w:bCs/>
          <w:sz w:val="40"/>
          <w:szCs w:val="40"/>
          <w:rtl/>
        </w:rPr>
        <w:t xml:space="preserve"> من جدول الأعمال: مسائل أخرى</w:t>
      </w:r>
    </w:p>
    <w:p w:rsidR="00EB429C" w:rsidRDefault="00161B67" w:rsidP="00C26374">
      <w:pPr>
        <w:pStyle w:val="NumberedParaAR"/>
      </w:pPr>
      <w:r w:rsidRPr="00157346">
        <w:rPr>
          <w:rFonts w:hint="cs"/>
          <w:rtl/>
        </w:rPr>
        <w:t>الوثائق المتعلقة</w:t>
      </w:r>
      <w:r w:rsidR="00EB429C" w:rsidRPr="00157346">
        <w:rPr>
          <w:rFonts w:hint="cs"/>
          <w:rtl/>
        </w:rPr>
        <w:t xml:space="preserve"> بهذا البند من جدول الأعمال </w:t>
      </w:r>
      <w:r w:rsidRPr="00157346">
        <w:rPr>
          <w:rFonts w:hint="cs"/>
          <w:rtl/>
        </w:rPr>
        <w:t>هي</w:t>
      </w:r>
      <w:r w:rsidR="00EB429C" w:rsidRPr="00157346">
        <w:rPr>
          <w:rFonts w:hint="cs"/>
          <w:rtl/>
        </w:rPr>
        <w:t> </w:t>
      </w:r>
      <w:r w:rsidR="00EB429C" w:rsidRPr="00157346">
        <w:t>SCCR/31/4</w:t>
      </w:r>
      <w:r w:rsidR="00EB429C" w:rsidRPr="00157346">
        <w:rPr>
          <w:rFonts w:hint="cs"/>
          <w:rtl/>
        </w:rPr>
        <w:t xml:space="preserve"> و</w:t>
      </w:r>
      <w:r w:rsidR="00EB429C" w:rsidRPr="00157346">
        <w:t>SCCR/31/5</w:t>
      </w:r>
      <w:r>
        <w:rPr>
          <w:rFonts w:hint="cs"/>
          <w:rtl/>
        </w:rPr>
        <w:t xml:space="preserve"> و</w:t>
      </w:r>
      <w:r w:rsidRPr="00161B67">
        <w:t>SCCR/35/4</w:t>
      </w:r>
      <w:r>
        <w:rPr>
          <w:rFonts w:hint="cs"/>
          <w:rtl/>
        </w:rPr>
        <w:t xml:space="preserve"> و</w:t>
      </w:r>
      <w:r>
        <w:t>SCCR/35/7</w:t>
      </w:r>
      <w:r>
        <w:rPr>
          <w:rFonts w:hint="cs"/>
          <w:rtl/>
        </w:rPr>
        <w:t xml:space="preserve"> و</w:t>
      </w:r>
      <w:r w:rsidRPr="00161B67">
        <w:t>SCCR/35/8</w:t>
      </w:r>
      <w:r w:rsidR="00983ED1">
        <w:rPr>
          <w:rFonts w:hint="cs"/>
          <w:rtl/>
        </w:rPr>
        <w:t xml:space="preserve"> و</w:t>
      </w:r>
      <w:r w:rsidR="00983ED1" w:rsidRPr="00983ED1">
        <w:t>SCCR/35/Summary</w:t>
      </w:r>
      <w:r w:rsidR="00C26374">
        <w:t> </w:t>
      </w:r>
      <w:r w:rsidR="00983ED1" w:rsidRPr="00983ED1">
        <w:t>Presentation</w:t>
      </w:r>
      <w:r w:rsidR="00C26374">
        <w:t> </w:t>
      </w:r>
      <w:r w:rsidR="00983ED1" w:rsidRPr="00983ED1">
        <w:t>Rev.</w:t>
      </w:r>
      <w:r w:rsidR="00983ED1">
        <w:rPr>
          <w:rFonts w:hint="cs"/>
          <w:rtl/>
        </w:rPr>
        <w:t>.</w:t>
      </w:r>
    </w:p>
    <w:p w:rsidR="00F71347" w:rsidRDefault="00F71347" w:rsidP="00E23688">
      <w:pPr>
        <w:pStyle w:val="NumberedParaAR"/>
      </w:pPr>
      <w:r w:rsidRPr="00F71347">
        <w:rPr>
          <w:rFonts w:hint="cs"/>
          <w:rtl/>
        </w:rPr>
        <w:t>وفيما يخص تحليل حق المؤلف المتعلق بالبيئة الرقمية</w:t>
      </w:r>
      <w:r w:rsidR="00754FE9">
        <w:rPr>
          <w:rFonts w:hint="cs"/>
          <w:rtl/>
        </w:rPr>
        <w:t>، استمعت اللجنة إلى عرض قدمته</w:t>
      </w:r>
      <w:r w:rsidR="00754FE9" w:rsidRPr="00754FE9">
        <w:rPr>
          <w:rFonts w:hint="cs"/>
          <w:rtl/>
        </w:rPr>
        <w:t xml:space="preserve"> الدكتورة غيلدا روستاما </w:t>
      </w:r>
      <w:r w:rsidR="00754FE9">
        <w:rPr>
          <w:rFonts w:hint="cs"/>
          <w:rtl/>
        </w:rPr>
        <w:t>عن</w:t>
      </w:r>
      <w:r w:rsidR="00983ED1">
        <w:rPr>
          <w:rFonts w:hint="cs"/>
          <w:rtl/>
        </w:rPr>
        <w:t xml:space="preserve"> </w:t>
      </w:r>
      <w:r w:rsidR="00983ED1" w:rsidRPr="00983ED1">
        <w:rPr>
          <w:rFonts w:hint="cs"/>
          <w:i/>
          <w:iCs/>
          <w:rtl/>
        </w:rPr>
        <w:t xml:space="preserve">دراسة النطاق </w:t>
      </w:r>
      <w:r w:rsidR="00983ED1" w:rsidRPr="00983ED1">
        <w:rPr>
          <w:i/>
          <w:iCs/>
          <w:rtl/>
        </w:rPr>
        <w:t>بشأن أثر البيئة الرقمية على قوانين حق المؤلف التي اعتمدت في الفترة من 2006 إلى 2016</w:t>
      </w:r>
      <w:r w:rsidR="00754FE9">
        <w:rPr>
          <w:rFonts w:hint="cs"/>
          <w:rtl/>
        </w:rPr>
        <w:t xml:space="preserve">، </w:t>
      </w:r>
      <w:r w:rsidR="00983ED1">
        <w:rPr>
          <w:rFonts w:hint="cs"/>
          <w:rtl/>
        </w:rPr>
        <w:t>الواردة في الوثيقة</w:t>
      </w:r>
      <w:r w:rsidR="00C26374">
        <w:rPr>
          <w:rFonts w:hint="eastAsia"/>
          <w:rtl/>
        </w:rPr>
        <w:t> </w:t>
      </w:r>
      <w:r w:rsidR="00983ED1" w:rsidRPr="00983ED1">
        <w:t>SCCR/35/4</w:t>
      </w:r>
      <w:r w:rsidR="00983ED1">
        <w:rPr>
          <w:rFonts w:hint="cs"/>
          <w:rtl/>
        </w:rPr>
        <w:t xml:space="preserve">، </w:t>
      </w:r>
      <w:r w:rsidR="00754FE9">
        <w:rPr>
          <w:rFonts w:hint="cs"/>
          <w:rtl/>
        </w:rPr>
        <w:t>ورحّبت بذلك. و</w:t>
      </w:r>
      <w:r w:rsidR="00754FE9" w:rsidRPr="00754FE9">
        <w:rPr>
          <w:rFonts w:hint="cs"/>
          <w:rtl/>
        </w:rPr>
        <w:t>شاركت الوفود والجهات المراقبة في جلسة للأسئلة والأجوبة مع</w:t>
      </w:r>
      <w:r w:rsidR="00754FE9">
        <w:rPr>
          <w:rFonts w:hint="cs"/>
          <w:rtl/>
        </w:rPr>
        <w:t xml:space="preserve"> الدكتورة</w:t>
      </w:r>
      <w:r w:rsidR="00983ED1">
        <w:rPr>
          <w:rFonts w:hint="eastAsia"/>
          <w:rtl/>
        </w:rPr>
        <w:t> </w:t>
      </w:r>
      <w:r w:rsidR="00754FE9">
        <w:rPr>
          <w:rFonts w:hint="cs"/>
          <w:rtl/>
        </w:rPr>
        <w:t>روستاما.</w:t>
      </w:r>
      <w:r w:rsidR="00983ED1">
        <w:rPr>
          <w:rFonts w:hint="cs"/>
          <w:rtl/>
        </w:rPr>
        <w:t xml:space="preserve"> ورحّبت اللجنة بالأستاذة جين غينسبرغ وأجرت جلسة للأسئلة والأجوبة معها بشأن </w:t>
      </w:r>
      <w:r w:rsidR="00983ED1" w:rsidRPr="00460774">
        <w:rPr>
          <w:rFonts w:hint="cs"/>
          <w:i/>
          <w:iCs/>
          <w:rtl/>
        </w:rPr>
        <w:t xml:space="preserve">العرض الموجز لعملية استثارة الأفكار التي دعت الويبو إلى عقدتها يومي 6 و7 أبريل 2017 </w:t>
      </w:r>
      <w:r w:rsidR="00983ED1">
        <w:rPr>
          <w:rFonts w:hint="cs"/>
          <w:rtl/>
        </w:rPr>
        <w:t>والواردة في الوثيقة</w:t>
      </w:r>
      <w:r w:rsidR="00460774">
        <w:rPr>
          <w:rFonts w:hint="eastAsia"/>
          <w:rtl/>
        </w:rPr>
        <w:t> </w:t>
      </w:r>
      <w:r w:rsidR="00C26374" w:rsidRPr="00C26374">
        <w:t>SCCR/35/Summary Presentation Rev.</w:t>
      </w:r>
      <w:r w:rsidR="00983ED1">
        <w:rPr>
          <w:rFonts w:hint="cs"/>
          <w:rtl/>
        </w:rPr>
        <w:t>.</w:t>
      </w:r>
    </w:p>
    <w:p w:rsidR="00F71347" w:rsidRDefault="00754FE9" w:rsidP="00460774">
      <w:pPr>
        <w:pStyle w:val="NumberedParaAR"/>
      </w:pPr>
      <w:r>
        <w:rPr>
          <w:rFonts w:hint="cs"/>
          <w:rtl/>
        </w:rPr>
        <w:t>وفيما يخص موضوع حق التتبع، استمعت اللجنة إلى عرض قدمته الأستاذة جويل فارشي عن</w:t>
      </w:r>
      <w:r w:rsidR="00460774">
        <w:rPr>
          <w:rFonts w:hint="cs"/>
          <w:rtl/>
        </w:rPr>
        <w:t xml:space="preserve"> دراسة اشتركت في إعدادها مع الأستاذة غرادي بشأن </w:t>
      </w:r>
      <w:r w:rsidR="00460774" w:rsidRPr="00460774">
        <w:rPr>
          <w:rFonts w:hint="cs"/>
          <w:i/>
          <w:iCs/>
          <w:rtl/>
        </w:rPr>
        <w:t>الآثار الاقتصادية لحق التتبع</w:t>
      </w:r>
      <w:r w:rsidR="00460774">
        <w:rPr>
          <w:rFonts w:hint="cs"/>
          <w:rtl/>
        </w:rPr>
        <w:t xml:space="preserve"> ترد في الوثيقة</w:t>
      </w:r>
      <w:r w:rsidR="00460774">
        <w:rPr>
          <w:rFonts w:hint="eastAsia"/>
          <w:rtl/>
        </w:rPr>
        <w:t> </w:t>
      </w:r>
      <w:r w:rsidR="00460774" w:rsidRPr="00460774">
        <w:t>SCCR/35/7</w:t>
      </w:r>
      <w:r w:rsidRPr="00460774">
        <w:rPr>
          <w:rFonts w:hint="cs"/>
          <w:rtl/>
        </w:rPr>
        <w:t>،</w:t>
      </w:r>
      <w:r>
        <w:rPr>
          <w:rFonts w:hint="cs"/>
          <w:rtl/>
        </w:rPr>
        <w:t xml:space="preserve"> ورحّب</w:t>
      </w:r>
      <w:r w:rsidR="00460774">
        <w:rPr>
          <w:rFonts w:hint="cs"/>
          <w:rtl/>
        </w:rPr>
        <w:t>ت</w:t>
      </w:r>
      <w:r>
        <w:rPr>
          <w:rFonts w:hint="cs"/>
          <w:rtl/>
        </w:rPr>
        <w:t xml:space="preserve"> بذلك. </w:t>
      </w:r>
      <w:r w:rsidRPr="00754FE9">
        <w:rPr>
          <w:rFonts w:hint="cs"/>
          <w:rtl/>
        </w:rPr>
        <w:t xml:space="preserve">وشاركت الوفود والجهات المراقبة في جلسة للأسئلة والأجوبة مع </w:t>
      </w:r>
      <w:r>
        <w:rPr>
          <w:rFonts w:hint="cs"/>
          <w:rtl/>
        </w:rPr>
        <w:t>الأستاذة فارشي.</w:t>
      </w:r>
    </w:p>
    <w:p w:rsidR="00460774" w:rsidRDefault="00460774" w:rsidP="00460774">
      <w:pPr>
        <w:pStyle w:val="NumberedParaAR"/>
      </w:pPr>
      <w:r>
        <w:rPr>
          <w:rFonts w:hint="cs"/>
          <w:rtl/>
        </w:rPr>
        <w:t xml:space="preserve">وعرض وفد الاتحاد الروسي </w:t>
      </w:r>
      <w:r w:rsidRPr="00460774">
        <w:rPr>
          <w:rFonts w:hint="cs"/>
          <w:i/>
          <w:iCs/>
          <w:rtl/>
        </w:rPr>
        <w:t>ال</w:t>
      </w:r>
      <w:r w:rsidRPr="00460774">
        <w:rPr>
          <w:i/>
          <w:iCs/>
          <w:rtl/>
        </w:rPr>
        <w:t xml:space="preserve">اقتراح </w:t>
      </w:r>
      <w:r w:rsidRPr="00460774">
        <w:rPr>
          <w:rFonts w:hint="cs"/>
          <w:i/>
          <w:iCs/>
          <w:rtl/>
        </w:rPr>
        <w:t>ال</w:t>
      </w:r>
      <w:r w:rsidRPr="00460774">
        <w:rPr>
          <w:i/>
          <w:iCs/>
          <w:rtl/>
        </w:rPr>
        <w:t>مقدم من الاتحاد الروسي بشأن تعزيز حماية حقوق مخرجي المسرح على الصعيد الدولي</w:t>
      </w:r>
      <w:r>
        <w:rPr>
          <w:rFonts w:hint="cs"/>
          <w:rtl/>
        </w:rPr>
        <w:t xml:space="preserve">، </w:t>
      </w:r>
      <w:r w:rsidR="00EC6C39">
        <w:rPr>
          <w:rFonts w:hint="cs"/>
          <w:rtl/>
        </w:rPr>
        <w:t>و</w:t>
      </w:r>
      <w:r>
        <w:rPr>
          <w:rFonts w:hint="cs"/>
          <w:rtl/>
        </w:rPr>
        <w:t>الوارد في الوثيقة</w:t>
      </w:r>
      <w:r>
        <w:rPr>
          <w:rFonts w:hint="eastAsia"/>
          <w:rtl/>
        </w:rPr>
        <w:t> </w:t>
      </w:r>
      <w:r w:rsidRPr="00460774">
        <w:t>SCCR/35/8</w:t>
      </w:r>
      <w:r>
        <w:rPr>
          <w:rFonts w:hint="cs"/>
          <w:rtl/>
        </w:rPr>
        <w:t>، وقدمت الوفود بعض التعليقات الأولية على الاقتراح.</w:t>
      </w:r>
    </w:p>
    <w:p w:rsidR="00E23688" w:rsidRPr="00F71347" w:rsidRDefault="00E23688" w:rsidP="002E7AE5">
      <w:pPr>
        <w:pStyle w:val="NumberedParaAR"/>
      </w:pPr>
      <w:r>
        <w:rPr>
          <w:rFonts w:hint="cs"/>
          <w:rtl/>
        </w:rPr>
        <w:t xml:space="preserve">وطلبت اللجنة من الرئيس تقديم مقترح </w:t>
      </w:r>
      <w:r w:rsidR="002E7AE5">
        <w:rPr>
          <w:rFonts w:hint="cs"/>
          <w:rtl/>
        </w:rPr>
        <w:t>ب</w:t>
      </w:r>
      <w:r>
        <w:rPr>
          <w:rFonts w:hint="cs"/>
          <w:rtl/>
        </w:rPr>
        <w:t>الأنشط</w:t>
      </w:r>
      <w:r w:rsidR="002E7AE5">
        <w:rPr>
          <w:rFonts w:hint="cs"/>
          <w:rtl/>
        </w:rPr>
        <w:t>ة المقترحة في إطار متابعة ا</w:t>
      </w:r>
      <w:r>
        <w:rPr>
          <w:rFonts w:hint="cs"/>
          <w:rtl/>
        </w:rPr>
        <w:t xml:space="preserve">لمناقشات المتعلقة بمختلف الموضوعات المدرجة ضمن </w:t>
      </w:r>
      <w:r w:rsidR="002E7AE5">
        <w:rPr>
          <w:rFonts w:hint="cs"/>
          <w:rtl/>
        </w:rPr>
        <w:t xml:space="preserve">هذا البند من جدول الأعمال، وتقديم ذلك المقترح كي تنظر فيه لجنة حق المؤلف في دورتها السادسة والثلاثين. </w:t>
      </w:r>
      <w:r w:rsidR="002E7AE5" w:rsidRPr="002E7AE5">
        <w:rPr>
          <w:rFonts w:hint="cs"/>
          <w:rtl/>
        </w:rPr>
        <w:t xml:space="preserve">والتمست الأعضاء أن يُرسل ذلك </w:t>
      </w:r>
      <w:r w:rsidR="002E7AE5">
        <w:rPr>
          <w:rFonts w:hint="cs"/>
          <w:rtl/>
        </w:rPr>
        <w:t>المقترح</w:t>
      </w:r>
      <w:r w:rsidR="002E7AE5" w:rsidRPr="002E7AE5">
        <w:rPr>
          <w:rFonts w:hint="cs"/>
          <w:rtl/>
        </w:rPr>
        <w:t xml:space="preserve"> إليها قبل شهر على الأقل من انعقاد الدورة السادسة والثلاثين للجنة حق المؤلف</w:t>
      </w:r>
      <w:r w:rsidR="002E7AE5">
        <w:rPr>
          <w:rFonts w:hint="cs"/>
          <w:rtl/>
        </w:rPr>
        <w:t>.</w:t>
      </w:r>
    </w:p>
    <w:p w:rsidR="00EB429C" w:rsidRPr="00157346" w:rsidRDefault="00460774" w:rsidP="002E7AE5">
      <w:pPr>
        <w:pStyle w:val="NumberedParaAR"/>
      </w:pPr>
      <w:r>
        <w:rPr>
          <w:rFonts w:hint="cs"/>
          <w:rtl/>
        </w:rPr>
        <w:t>وست</w:t>
      </w:r>
      <w:r w:rsidR="00EB429C" w:rsidRPr="008B78FC">
        <w:rPr>
          <w:rFonts w:hint="cs"/>
          <w:rtl/>
        </w:rPr>
        <w:t xml:space="preserve">ظل </w:t>
      </w:r>
      <w:r>
        <w:rPr>
          <w:rFonts w:hint="cs"/>
          <w:rtl/>
        </w:rPr>
        <w:t>هذه</w:t>
      </w:r>
      <w:r w:rsidR="00EB429C" w:rsidRPr="008B78FC">
        <w:rPr>
          <w:rFonts w:hint="cs"/>
          <w:rtl/>
        </w:rPr>
        <w:t xml:space="preserve"> </w:t>
      </w:r>
      <w:r>
        <w:rPr>
          <w:rFonts w:hint="cs"/>
          <w:rtl/>
        </w:rPr>
        <w:t>الموضوعات</w:t>
      </w:r>
      <w:r w:rsidR="00EB429C" w:rsidRPr="008B78FC">
        <w:rPr>
          <w:rFonts w:hint="cs"/>
          <w:rtl/>
        </w:rPr>
        <w:t xml:space="preserve"> </w:t>
      </w:r>
      <w:r w:rsidR="002E7AE5">
        <w:rPr>
          <w:rFonts w:hint="cs"/>
          <w:rtl/>
        </w:rPr>
        <w:t xml:space="preserve">الثلاثة </w:t>
      </w:r>
      <w:r>
        <w:rPr>
          <w:rFonts w:hint="cs"/>
          <w:rtl/>
        </w:rPr>
        <w:t>مدرجة</w:t>
      </w:r>
      <w:r w:rsidR="00EB429C" w:rsidRPr="008B78FC">
        <w:rPr>
          <w:rFonts w:hint="cs"/>
          <w:rtl/>
        </w:rPr>
        <w:t xml:space="preserve"> في </w:t>
      </w:r>
      <w:r w:rsidR="00F71347" w:rsidRPr="008B78FC">
        <w:rPr>
          <w:rFonts w:hint="cs"/>
          <w:rtl/>
        </w:rPr>
        <w:t xml:space="preserve">هذا البند من </w:t>
      </w:r>
      <w:r w:rsidR="00EB429C" w:rsidRPr="008B78FC">
        <w:rPr>
          <w:rFonts w:hint="cs"/>
          <w:rtl/>
        </w:rPr>
        <w:t xml:space="preserve">جدول أعمال الدورة </w:t>
      </w:r>
      <w:r w:rsidR="00F71347" w:rsidRPr="008B78FC">
        <w:rPr>
          <w:rFonts w:hint="cs"/>
          <w:rtl/>
        </w:rPr>
        <w:t>السادسة</w:t>
      </w:r>
      <w:r w:rsidR="00EB429C" w:rsidRPr="008B78FC">
        <w:rPr>
          <w:rFonts w:hint="cs"/>
          <w:rtl/>
        </w:rPr>
        <w:t xml:space="preserve"> والثلاثين للجنة</w:t>
      </w:r>
      <w:r w:rsidR="00F71347" w:rsidRPr="008B78FC">
        <w:rPr>
          <w:rFonts w:hint="cs"/>
          <w:rtl/>
        </w:rPr>
        <w:t xml:space="preserve"> حق</w:t>
      </w:r>
      <w:r w:rsidR="002E7AE5">
        <w:rPr>
          <w:rFonts w:hint="eastAsia"/>
          <w:rtl/>
        </w:rPr>
        <w:t> </w:t>
      </w:r>
      <w:r w:rsidR="00F71347" w:rsidRPr="008B78FC">
        <w:rPr>
          <w:rFonts w:hint="cs"/>
          <w:rtl/>
        </w:rPr>
        <w:t>المؤلف</w:t>
      </w:r>
      <w:r w:rsidR="00EB429C" w:rsidRPr="008B78FC">
        <w:rPr>
          <w:rFonts w:hint="cs"/>
          <w:rtl/>
        </w:rPr>
        <w:t>.</w:t>
      </w:r>
    </w:p>
    <w:p w:rsidR="00EB429C" w:rsidRDefault="00EB429C" w:rsidP="00EB429C">
      <w:pPr>
        <w:pStyle w:val="NormalParaAR"/>
        <w:keepNext/>
        <w:rPr>
          <w:b/>
          <w:bCs/>
          <w:sz w:val="40"/>
          <w:szCs w:val="40"/>
        </w:rPr>
      </w:pPr>
      <w:r>
        <w:rPr>
          <w:rFonts w:hint="cs"/>
          <w:b/>
          <w:bCs/>
          <w:sz w:val="40"/>
          <w:szCs w:val="40"/>
          <w:rtl/>
        </w:rPr>
        <w:t>ملخص الرئيس</w:t>
      </w:r>
    </w:p>
    <w:p w:rsidR="00EB429C" w:rsidRPr="000760EE" w:rsidRDefault="00EB429C" w:rsidP="00F71347">
      <w:pPr>
        <w:pStyle w:val="NumberedParaAR"/>
        <w:rPr>
          <w:rtl/>
        </w:rPr>
      </w:pPr>
      <w:r w:rsidRPr="005F4E7C">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F71347" w:rsidRPr="005F4E7C">
        <w:rPr>
          <w:rFonts w:hint="cs"/>
          <w:rtl/>
        </w:rPr>
        <w:t>الخامسة</w:t>
      </w:r>
      <w:r w:rsidRPr="005F4E7C">
        <w:rPr>
          <w:rFonts w:hint="cs"/>
          <w:rtl/>
        </w:rPr>
        <w:t xml:space="preserve"> والثلاثين للجنة </w:t>
      </w:r>
      <w:r w:rsidR="00F71347" w:rsidRPr="005F4E7C">
        <w:rPr>
          <w:rFonts w:hint="cs"/>
          <w:rtl/>
        </w:rPr>
        <w:t xml:space="preserve">حق المؤلف </w:t>
      </w:r>
      <w:r w:rsidRPr="005F4E7C">
        <w:rPr>
          <w:rFonts w:hint="cs"/>
          <w:rtl/>
        </w:rPr>
        <w:t>وأنه لا يخضع بالتالي لموافقة اللجنة.</w:t>
      </w:r>
    </w:p>
    <w:p w:rsidR="00EB429C" w:rsidRDefault="00EB429C" w:rsidP="00F91829">
      <w:pPr>
        <w:pStyle w:val="NormalParaAR"/>
        <w:keepNext/>
        <w:rPr>
          <w:b/>
          <w:bCs/>
          <w:sz w:val="40"/>
          <w:szCs w:val="40"/>
        </w:rPr>
      </w:pPr>
      <w:r>
        <w:rPr>
          <w:rFonts w:hint="cs"/>
          <w:b/>
          <w:bCs/>
          <w:sz w:val="40"/>
          <w:szCs w:val="40"/>
          <w:rtl/>
        </w:rPr>
        <w:t xml:space="preserve">البند </w:t>
      </w:r>
      <w:r w:rsidR="00F91829">
        <w:rPr>
          <w:rFonts w:hint="cs"/>
          <w:b/>
          <w:bCs/>
          <w:sz w:val="40"/>
          <w:szCs w:val="40"/>
          <w:rtl/>
        </w:rPr>
        <w:t>9</w:t>
      </w:r>
      <w:r>
        <w:rPr>
          <w:rFonts w:hint="cs"/>
          <w:b/>
          <w:bCs/>
          <w:sz w:val="40"/>
          <w:szCs w:val="40"/>
          <w:rtl/>
        </w:rPr>
        <w:t xml:space="preserve"> من جدول الأعمال: اختتام الدورة</w:t>
      </w:r>
    </w:p>
    <w:p w:rsidR="00EB429C" w:rsidRPr="005F4E7C" w:rsidRDefault="00EB429C" w:rsidP="00F71347">
      <w:pPr>
        <w:pStyle w:val="NumberedParaAR"/>
        <w:spacing w:after="480"/>
        <w:rPr>
          <w:rtl/>
        </w:rPr>
      </w:pPr>
      <w:r w:rsidRPr="005F4E7C">
        <w:rPr>
          <w:rFonts w:hint="cs"/>
          <w:rtl/>
        </w:rPr>
        <w:t xml:space="preserve">ستعقد اللجنة دورتها القادمة في الفترة من </w:t>
      </w:r>
      <w:r w:rsidR="00F71347" w:rsidRPr="005F4E7C">
        <w:rPr>
          <w:rFonts w:hint="cs"/>
          <w:rtl/>
        </w:rPr>
        <w:t>28 مايو</w:t>
      </w:r>
      <w:r w:rsidRPr="005F4E7C">
        <w:rPr>
          <w:rFonts w:hint="cs"/>
          <w:rtl/>
        </w:rPr>
        <w:t xml:space="preserve"> إلى </w:t>
      </w:r>
      <w:r w:rsidR="00F71347" w:rsidRPr="005F4E7C">
        <w:rPr>
          <w:rFonts w:hint="cs"/>
          <w:rtl/>
        </w:rPr>
        <w:t>1</w:t>
      </w:r>
      <w:r w:rsidRPr="005F4E7C">
        <w:rPr>
          <w:rFonts w:hint="eastAsia"/>
          <w:rtl/>
        </w:rPr>
        <w:t> </w:t>
      </w:r>
      <w:r w:rsidR="00F71347" w:rsidRPr="005F4E7C">
        <w:rPr>
          <w:rFonts w:hint="cs"/>
          <w:rtl/>
        </w:rPr>
        <w:t>يونيو</w:t>
      </w:r>
      <w:r w:rsidRPr="005F4E7C">
        <w:rPr>
          <w:rFonts w:hint="eastAsia"/>
          <w:rtl/>
        </w:rPr>
        <w:t> </w:t>
      </w:r>
      <w:r w:rsidR="00F71347" w:rsidRPr="005F4E7C">
        <w:rPr>
          <w:rFonts w:hint="cs"/>
          <w:rtl/>
        </w:rPr>
        <w:t>2018</w:t>
      </w:r>
      <w:r w:rsidRPr="005F4E7C">
        <w:rPr>
          <w:rFonts w:hint="cs"/>
          <w:rtl/>
        </w:rPr>
        <w:t>.</w:t>
      </w:r>
    </w:p>
    <w:p w:rsidR="00FF3616" w:rsidRPr="007F38D1" w:rsidRDefault="00EB429C" w:rsidP="00F91829">
      <w:pPr>
        <w:pStyle w:val="EndofDocumentAR"/>
      </w:pPr>
      <w:r>
        <w:rPr>
          <w:rFonts w:hint="cs"/>
          <w:rtl/>
        </w:rPr>
        <w:t>[نهاية الوثيقة]</w:t>
      </w:r>
    </w:p>
    <w:sectPr w:rsidR="00FF3616" w:rsidRPr="007F38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9C" w:rsidRDefault="00EB429C">
      <w:r>
        <w:separator/>
      </w:r>
    </w:p>
  </w:endnote>
  <w:endnote w:type="continuationSeparator" w:id="0">
    <w:p w:rsidR="00EB429C" w:rsidRDefault="00E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9C" w:rsidRDefault="00EB429C" w:rsidP="009622BF">
      <w:pPr>
        <w:bidi/>
      </w:pPr>
      <w:bookmarkStart w:id="0" w:name="OLE_LINK1"/>
      <w:bookmarkStart w:id="1" w:name="OLE_LINK2"/>
      <w:r>
        <w:separator/>
      </w:r>
      <w:bookmarkEnd w:id="0"/>
      <w:bookmarkEnd w:id="1"/>
    </w:p>
  </w:footnote>
  <w:footnote w:type="continuationSeparator" w:id="0">
    <w:p w:rsidR="00EB429C" w:rsidRDefault="00EB42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1D15E0">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3DEA53E"/>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9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820"/>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3BB"/>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346"/>
    <w:rsid w:val="001603F7"/>
    <w:rsid w:val="00160C95"/>
    <w:rsid w:val="00161B67"/>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5E0"/>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AE5"/>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1C1"/>
    <w:rsid w:val="003433E5"/>
    <w:rsid w:val="00344082"/>
    <w:rsid w:val="003448DE"/>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774"/>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089"/>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7C"/>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B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75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2A"/>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FE9"/>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4DF"/>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87A54"/>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8FC"/>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4D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9DC"/>
    <w:rsid w:val="00971568"/>
    <w:rsid w:val="009728F2"/>
    <w:rsid w:val="00972BEF"/>
    <w:rsid w:val="00973BCF"/>
    <w:rsid w:val="009744BC"/>
    <w:rsid w:val="00974E60"/>
    <w:rsid w:val="00975896"/>
    <w:rsid w:val="00975DF1"/>
    <w:rsid w:val="00976AFE"/>
    <w:rsid w:val="00983CEA"/>
    <w:rsid w:val="00983ED1"/>
    <w:rsid w:val="00984198"/>
    <w:rsid w:val="00984E04"/>
    <w:rsid w:val="00986194"/>
    <w:rsid w:val="009861D2"/>
    <w:rsid w:val="00986E53"/>
    <w:rsid w:val="00987CE5"/>
    <w:rsid w:val="00993640"/>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F0"/>
    <w:rsid w:val="00A06D32"/>
    <w:rsid w:val="00A07545"/>
    <w:rsid w:val="00A13947"/>
    <w:rsid w:val="00A13E2B"/>
    <w:rsid w:val="00A1562A"/>
    <w:rsid w:val="00A15901"/>
    <w:rsid w:val="00A1618E"/>
    <w:rsid w:val="00A161A1"/>
    <w:rsid w:val="00A20562"/>
    <w:rsid w:val="00A20F75"/>
    <w:rsid w:val="00A212B1"/>
    <w:rsid w:val="00A21EA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D8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E94"/>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3F2"/>
    <w:rsid w:val="00C14741"/>
    <w:rsid w:val="00C1544B"/>
    <w:rsid w:val="00C1665A"/>
    <w:rsid w:val="00C1739F"/>
    <w:rsid w:val="00C177FF"/>
    <w:rsid w:val="00C222FF"/>
    <w:rsid w:val="00C2338E"/>
    <w:rsid w:val="00C23FB0"/>
    <w:rsid w:val="00C24021"/>
    <w:rsid w:val="00C248AF"/>
    <w:rsid w:val="00C24B09"/>
    <w:rsid w:val="00C24BDE"/>
    <w:rsid w:val="00C24E9F"/>
    <w:rsid w:val="00C2637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B1A"/>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A21"/>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A23"/>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5F6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2316"/>
    <w:rsid w:val="00E23688"/>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404"/>
    <w:rsid w:val="00EB2857"/>
    <w:rsid w:val="00EB30B7"/>
    <w:rsid w:val="00EB3F8A"/>
    <w:rsid w:val="00EB416F"/>
    <w:rsid w:val="00EB429C"/>
    <w:rsid w:val="00EB43B9"/>
    <w:rsid w:val="00EB4482"/>
    <w:rsid w:val="00EB4C01"/>
    <w:rsid w:val="00EB4D59"/>
    <w:rsid w:val="00EB4E58"/>
    <w:rsid w:val="00EB573D"/>
    <w:rsid w:val="00EB583A"/>
    <w:rsid w:val="00EB7752"/>
    <w:rsid w:val="00EC0725"/>
    <w:rsid w:val="00EC0889"/>
    <w:rsid w:val="00EC0A0B"/>
    <w:rsid w:val="00EC0C13"/>
    <w:rsid w:val="00EC148C"/>
    <w:rsid w:val="00EC2D7D"/>
    <w:rsid w:val="00EC36AD"/>
    <w:rsid w:val="00EC3BCF"/>
    <w:rsid w:val="00EC56B1"/>
    <w:rsid w:val="00EC664F"/>
    <w:rsid w:val="00EC6749"/>
    <w:rsid w:val="00EC6C3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F30"/>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5F8E"/>
    <w:rsid w:val="00F67E6A"/>
    <w:rsid w:val="00F70472"/>
    <w:rsid w:val="00F71347"/>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829"/>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styleId="Hyperlink">
    <w:name w:val="Hyperlink"/>
    <w:basedOn w:val="DefaultParagraphFont"/>
    <w:unhideWhenUsed/>
    <w:rsid w:val="00EB42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styleId="Hyperlink">
    <w:name w:val="Hyperlink"/>
    <w:basedOn w:val="DefaultParagraphFont"/>
    <w:unhideWhenUsed/>
    <w:rsid w:val="00EB4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3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1185</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SCCR/35/-- (Arabic)</vt:lpstr>
    </vt:vector>
  </TitlesOfParts>
  <Company>World Intellectual Property Organization</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 (Arabic)</dc:title>
  <dc:creator>MERZOUK Fawzi</dc:creator>
  <cp:lastModifiedBy>Rafael Ferraz Vazquez</cp:lastModifiedBy>
  <cp:revision>25</cp:revision>
  <cp:lastPrinted>2017-11-22T09:41:00Z</cp:lastPrinted>
  <dcterms:created xsi:type="dcterms:W3CDTF">2017-11-15T13:22:00Z</dcterms:created>
  <dcterms:modified xsi:type="dcterms:W3CDTF">2018-06-11T07:56:00Z</dcterms:modified>
</cp:coreProperties>
</file>