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5F3369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FF3616">
              <w:t>5</w:t>
            </w:r>
            <w:r w:rsidR="00B6101C" w:rsidRPr="00B6101C">
              <w:t>/</w:t>
            </w:r>
            <w:r w:rsidR="005F3369">
              <w:t>2</w:t>
            </w:r>
            <w:r w:rsidR="005B09A8">
              <w:t xml:space="preserve"> REV</w:t>
            </w:r>
            <w:r w:rsidR="007B7D71">
              <w:t>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F336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5F336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B09A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B09A8">
              <w:t>26</w:t>
            </w:r>
            <w:r w:rsidR="005F3369">
              <w:rPr>
                <w:rFonts w:hint="cs"/>
                <w:rtl/>
              </w:rPr>
              <w:t xml:space="preserve"> 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A902C4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FF3616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FF3616">
        <w:rPr>
          <w:rFonts w:ascii="Cambria Math" w:hAnsi="Cambria Math" w:hint="cs"/>
          <w:rtl/>
        </w:rPr>
        <w:t>الخامسة</w:t>
      </w:r>
      <w:r w:rsidR="00F40476" w:rsidRPr="00F40476">
        <w:rPr>
          <w:rFonts w:ascii="Cambria Math" w:hAnsi="Cambria Math"/>
          <w:rtl/>
        </w:rPr>
        <w:t xml:space="preserve"> والثلاثون</w:t>
      </w:r>
    </w:p>
    <w:p w:rsidR="00D61541" w:rsidRPr="00D61541" w:rsidRDefault="00F40476" w:rsidP="00FF3616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FF3616">
        <w:rPr>
          <w:rFonts w:hint="cs"/>
          <w:rtl/>
        </w:rPr>
        <w:t>13</w:t>
      </w:r>
      <w:r w:rsidRPr="00F40476">
        <w:rPr>
          <w:rtl/>
        </w:rPr>
        <w:t xml:space="preserve"> إلى </w:t>
      </w:r>
      <w:r w:rsidR="00FF3616">
        <w:rPr>
          <w:rFonts w:hint="cs"/>
          <w:rtl/>
        </w:rPr>
        <w:t>17</w:t>
      </w:r>
      <w:r w:rsidRPr="00F40476">
        <w:rPr>
          <w:rtl/>
        </w:rPr>
        <w:t xml:space="preserve"> </w:t>
      </w:r>
      <w:r w:rsidR="00FF3616">
        <w:rPr>
          <w:rFonts w:hint="cs"/>
          <w:rtl/>
        </w:rPr>
        <w:t>نوفمبر</w:t>
      </w:r>
      <w:r w:rsidR="00A902C4">
        <w:rPr>
          <w:rFonts w:hint="cs"/>
          <w:rtl/>
        </w:rPr>
        <w:t xml:space="preserve"> </w:t>
      </w:r>
      <w:r w:rsidRPr="00F40476">
        <w:rPr>
          <w:rtl/>
        </w:rPr>
        <w:t>201</w:t>
      </w:r>
      <w:r w:rsidR="00A902C4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F3369" w:rsidRPr="00D61541" w:rsidRDefault="005B09A8" w:rsidP="005F3369">
      <w:pPr>
        <w:pStyle w:val="DocumentTitleAR"/>
        <w:bidi/>
        <w:rPr>
          <w:rtl/>
        </w:rPr>
      </w:pPr>
      <w:r>
        <w:rPr>
          <w:rtl/>
        </w:rPr>
        <w:t>اعتماد منظم</w:t>
      </w:r>
      <w:r>
        <w:rPr>
          <w:rFonts w:hint="cs"/>
          <w:rtl/>
        </w:rPr>
        <w:t>ت</w:t>
      </w:r>
      <w:r w:rsidR="00FD656A">
        <w:rPr>
          <w:rFonts w:hint="cs"/>
          <w:rtl/>
        </w:rPr>
        <w:t>ين</w:t>
      </w:r>
      <w:r w:rsidR="00FD656A">
        <w:rPr>
          <w:rtl/>
        </w:rPr>
        <w:t xml:space="preserve"> غير حكومي</w:t>
      </w:r>
      <w:r w:rsidR="00FD656A">
        <w:rPr>
          <w:rFonts w:hint="cs"/>
          <w:rtl/>
        </w:rPr>
        <w:t>تين</w:t>
      </w:r>
    </w:p>
    <w:p w:rsid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5F3369">
        <w:rPr>
          <w:rFonts w:hint="cs"/>
          <w:rtl/>
        </w:rPr>
        <w:t xml:space="preserve"> الأمانة</w:t>
      </w:r>
    </w:p>
    <w:p w:rsidR="005F3369" w:rsidRDefault="005F3369" w:rsidP="00693E9B">
      <w:pPr>
        <w:pStyle w:val="NumberedParaAR"/>
        <w:rPr>
          <w:rtl/>
        </w:rPr>
      </w:pPr>
      <w:r>
        <w:rPr>
          <w:rFonts w:hint="cs"/>
          <w:rtl/>
        </w:rPr>
        <w:t>ت</w:t>
      </w:r>
      <w:r>
        <w:rPr>
          <w:rtl/>
        </w:rPr>
        <w:t>رد في مرفق</w:t>
      </w:r>
      <w:r w:rsidR="00FD656A">
        <w:rPr>
          <w:rFonts w:hint="cs"/>
          <w:rtl/>
        </w:rPr>
        <w:t>ي</w:t>
      </w:r>
      <w:r>
        <w:rPr>
          <w:rtl/>
        </w:rPr>
        <w:t xml:space="preserve"> هذه الوثيقة </w:t>
      </w:r>
      <w:r>
        <w:rPr>
          <w:rFonts w:hint="cs"/>
          <w:rtl/>
        </w:rPr>
        <w:t xml:space="preserve">معلومات عن </w:t>
      </w:r>
      <w:r w:rsidR="005B09A8">
        <w:rPr>
          <w:rtl/>
        </w:rPr>
        <w:t>منظم</w:t>
      </w:r>
      <w:r w:rsidR="005B09A8">
        <w:rPr>
          <w:rFonts w:hint="cs"/>
          <w:rtl/>
        </w:rPr>
        <w:t>ت</w:t>
      </w:r>
      <w:r w:rsidR="00FD656A">
        <w:rPr>
          <w:rFonts w:hint="cs"/>
          <w:rtl/>
        </w:rPr>
        <w:t>ين</w:t>
      </w:r>
      <w:r w:rsidR="00FD656A">
        <w:rPr>
          <w:rtl/>
        </w:rPr>
        <w:t xml:space="preserve"> غير حكومي</w:t>
      </w:r>
      <w:r w:rsidR="00FD656A">
        <w:rPr>
          <w:rFonts w:hint="cs"/>
          <w:rtl/>
        </w:rPr>
        <w:t>تين</w:t>
      </w:r>
      <w:r w:rsidR="00720238">
        <w:rPr>
          <w:rtl/>
        </w:rPr>
        <w:t xml:space="preserve"> التمست</w:t>
      </w:r>
      <w:r w:rsidR="00FD656A">
        <w:rPr>
          <w:rFonts w:hint="cs"/>
          <w:rtl/>
        </w:rPr>
        <w:t>ا</w:t>
      </w:r>
      <w:r w:rsidR="00720238">
        <w:rPr>
          <w:rtl/>
        </w:rPr>
        <w:t xml:space="preserve"> صفة </w:t>
      </w:r>
      <w:r>
        <w:rPr>
          <w:rtl/>
        </w:rPr>
        <w:t>مراقب في دورات اللجنة الدائمة المعنية بحق المؤلف والحقوق المجاورة</w:t>
      </w:r>
      <w:r w:rsidR="00693E9B">
        <w:rPr>
          <w:rFonts w:hint="cs"/>
          <w:rtl/>
        </w:rPr>
        <w:t xml:space="preserve"> (لجنة حق المؤلف)</w:t>
      </w:r>
      <w:r>
        <w:rPr>
          <w:rtl/>
        </w:rPr>
        <w:t xml:space="preserve">، عملا بالنظام الداخلي للجنة </w:t>
      </w:r>
      <w:r w:rsidR="00693E9B">
        <w:rPr>
          <w:rFonts w:hint="cs"/>
          <w:rtl/>
        </w:rPr>
        <w:t xml:space="preserve">حق المؤلف </w:t>
      </w:r>
      <w:r>
        <w:rPr>
          <w:rtl/>
        </w:rPr>
        <w:t xml:space="preserve">(انظر </w:t>
      </w:r>
      <w:r w:rsidR="00693E9B">
        <w:rPr>
          <w:rFonts w:hint="cs"/>
          <w:rtl/>
        </w:rPr>
        <w:t xml:space="preserve">الفقرة 10 من </w:t>
      </w:r>
      <w:r>
        <w:rPr>
          <w:rtl/>
        </w:rPr>
        <w:t>الوثيقة</w:t>
      </w:r>
      <w:r w:rsidR="00693E9B">
        <w:rPr>
          <w:rFonts w:hint="cs"/>
          <w:rtl/>
        </w:rPr>
        <w:t> </w:t>
      </w:r>
      <w:r>
        <w:t>SCCR/1/2</w:t>
      </w:r>
      <w:r>
        <w:rPr>
          <w:rtl/>
        </w:rPr>
        <w:t>)</w:t>
      </w:r>
      <w:r>
        <w:rPr>
          <w:rFonts w:hint="cs"/>
          <w:rtl/>
        </w:rPr>
        <w:t>.</w:t>
      </w:r>
    </w:p>
    <w:p w:rsidR="005F3369" w:rsidRDefault="005F3369" w:rsidP="00693E9B">
      <w:pPr>
        <w:pStyle w:val="DecisionParaAR"/>
        <w:rPr>
          <w:rtl/>
        </w:rPr>
      </w:pPr>
      <w:r>
        <w:rPr>
          <w:rFonts w:hint="cs"/>
          <w:rtl/>
        </w:rPr>
        <w:t>إ</w:t>
      </w:r>
      <w:r w:rsidR="00693E9B">
        <w:rPr>
          <w:rtl/>
        </w:rPr>
        <w:t xml:space="preserve">ن </w:t>
      </w:r>
      <w:r>
        <w:rPr>
          <w:rtl/>
        </w:rPr>
        <w:t>لجنة</w:t>
      </w:r>
      <w:r w:rsidR="00693E9B">
        <w:rPr>
          <w:rFonts w:hint="cs"/>
          <w:rtl/>
        </w:rPr>
        <w:t xml:space="preserve"> حق المؤلف</w:t>
      </w:r>
      <w:r>
        <w:rPr>
          <w:rtl/>
        </w:rPr>
        <w:t xml:space="preserve"> مدعوة </w:t>
      </w:r>
      <w:r w:rsidR="005B09A8">
        <w:rPr>
          <w:rtl/>
        </w:rPr>
        <w:t>إلى الموافقة على أن تكون المنظم</w:t>
      </w:r>
      <w:r w:rsidR="005B09A8">
        <w:rPr>
          <w:rFonts w:hint="cs"/>
          <w:rtl/>
        </w:rPr>
        <w:t>ت</w:t>
      </w:r>
      <w:r w:rsidR="00FD656A"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المشار إليه</w:t>
      </w:r>
      <w:r w:rsidR="00FD656A">
        <w:rPr>
          <w:rFonts w:hint="cs"/>
          <w:rtl/>
        </w:rPr>
        <w:t>م</w:t>
      </w:r>
      <w:r>
        <w:rPr>
          <w:rFonts w:hint="cs"/>
          <w:rtl/>
        </w:rPr>
        <w:t xml:space="preserve">ا </w:t>
      </w:r>
      <w:r>
        <w:rPr>
          <w:rtl/>
        </w:rPr>
        <w:t>في مرفق</w:t>
      </w:r>
      <w:r w:rsidR="00FD656A">
        <w:rPr>
          <w:rFonts w:hint="cs"/>
          <w:rtl/>
        </w:rPr>
        <w:t>ي</w:t>
      </w:r>
      <w:r>
        <w:rPr>
          <w:rtl/>
        </w:rPr>
        <w:t xml:space="preserve"> هذه</w:t>
      </w:r>
      <w:r w:rsidR="00693E9B">
        <w:rPr>
          <w:rFonts w:hint="cs"/>
          <w:rtl/>
        </w:rPr>
        <w:t> </w:t>
      </w:r>
      <w:r w:rsidR="00FD656A">
        <w:rPr>
          <w:rtl/>
        </w:rPr>
        <w:t>الوثيقة ممثل</w:t>
      </w:r>
      <w:r w:rsidR="00FD656A">
        <w:rPr>
          <w:rFonts w:hint="cs"/>
          <w:rtl/>
        </w:rPr>
        <w:t>تين</w:t>
      </w:r>
      <w:r>
        <w:rPr>
          <w:rtl/>
        </w:rPr>
        <w:t xml:space="preserve"> في دورات </w:t>
      </w:r>
      <w:r>
        <w:rPr>
          <w:rFonts w:hint="cs"/>
          <w:rtl/>
        </w:rPr>
        <w:t>ال</w:t>
      </w:r>
      <w:r>
        <w:rPr>
          <w:rtl/>
        </w:rPr>
        <w:t>لجنة.</w:t>
      </w:r>
    </w:p>
    <w:p w:rsidR="00203486" w:rsidRPr="00FD656A" w:rsidRDefault="005B09A8" w:rsidP="00FD656A">
      <w:pPr>
        <w:pStyle w:val="EndofDocumentAR"/>
        <w:rPr>
          <w:rtl/>
        </w:rPr>
        <w:sectPr w:rsidR="00203486" w:rsidRPr="00FD656A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FD656A">
        <w:rPr>
          <w:rtl/>
        </w:rPr>
        <w:t>[</w:t>
      </w:r>
      <w:r w:rsidR="00FD656A" w:rsidRPr="00FD656A">
        <w:rPr>
          <w:rFonts w:hint="cs"/>
          <w:rtl/>
        </w:rPr>
        <w:t>ي</w:t>
      </w:r>
      <w:r w:rsidR="005F3369" w:rsidRPr="00FD656A">
        <w:rPr>
          <w:rtl/>
        </w:rPr>
        <w:t>لي ذلك المرفق</w:t>
      </w:r>
      <w:r w:rsidR="00FD656A" w:rsidRPr="00FD656A">
        <w:rPr>
          <w:rFonts w:hint="cs"/>
          <w:rtl/>
        </w:rPr>
        <w:t>ان</w:t>
      </w:r>
      <w:r w:rsidR="005F3369" w:rsidRPr="00FD656A">
        <w:rPr>
          <w:rtl/>
        </w:rPr>
        <w:t>]</w:t>
      </w:r>
    </w:p>
    <w:p w:rsidR="005F3369" w:rsidRPr="00693E9B" w:rsidRDefault="00FD656A" w:rsidP="009857E0">
      <w:pPr>
        <w:pStyle w:val="Heading1AR"/>
        <w:keepNext w:val="0"/>
        <w:spacing w:after="240" w:line="360" w:lineRule="exact"/>
        <w:rPr>
          <w:b/>
          <w:bCs w:val="0"/>
        </w:rPr>
      </w:pPr>
      <w:r>
        <w:rPr>
          <w:rFonts w:hint="cs"/>
          <w:b/>
          <w:bCs w:val="0"/>
          <w:rtl/>
          <w:lang w:val="fr-CH" w:bidi="ar-LB"/>
        </w:rPr>
        <w:lastRenderedPageBreak/>
        <w:t>منظم</w:t>
      </w:r>
      <w:r w:rsidR="005B09A8">
        <w:rPr>
          <w:rFonts w:hint="cs"/>
          <w:b/>
          <w:bCs w:val="0"/>
          <w:rtl/>
          <w:lang w:val="fr-CH" w:bidi="ar-LB"/>
        </w:rPr>
        <w:t>ت</w:t>
      </w:r>
      <w:r w:rsidR="002F57A1">
        <w:rPr>
          <w:rFonts w:hint="cs"/>
          <w:b/>
          <w:bCs w:val="0"/>
          <w:rtl/>
          <w:lang w:val="fr-CH" w:bidi="ar-LB"/>
        </w:rPr>
        <w:t>ان غير حكوميتي</w:t>
      </w:r>
      <w:r>
        <w:rPr>
          <w:rFonts w:hint="cs"/>
          <w:b/>
          <w:bCs w:val="0"/>
          <w:rtl/>
          <w:lang w:val="fr-CH" w:bidi="ar-LB"/>
        </w:rPr>
        <w:t>ن</w:t>
      </w:r>
      <w:r w:rsidR="005F3369" w:rsidRPr="00693E9B">
        <w:rPr>
          <w:rFonts w:hint="cs"/>
          <w:b/>
          <w:bCs w:val="0"/>
          <w:rtl/>
          <w:lang w:val="fr-CH" w:bidi="ar-LB"/>
        </w:rPr>
        <w:t xml:space="preserve"> التمست</w:t>
      </w:r>
      <w:r w:rsidR="002F57A1">
        <w:rPr>
          <w:rFonts w:hint="cs"/>
          <w:b/>
          <w:bCs w:val="0"/>
          <w:rtl/>
          <w:lang w:val="fr-CH" w:bidi="ar-LB"/>
        </w:rPr>
        <w:t>ا</w:t>
      </w:r>
      <w:r w:rsidR="005F3369" w:rsidRPr="00693E9B">
        <w:rPr>
          <w:rFonts w:hint="cs"/>
          <w:b/>
          <w:bCs w:val="0"/>
          <w:rtl/>
          <w:lang w:val="fr-CH" w:bidi="ar-LB"/>
        </w:rPr>
        <w:t xml:space="preserve"> أن تكون</w:t>
      </w:r>
      <w:r w:rsidR="002F57A1">
        <w:rPr>
          <w:rFonts w:hint="cs"/>
          <w:b/>
          <w:bCs w:val="0"/>
          <w:rtl/>
          <w:lang w:val="fr-CH" w:bidi="ar-LB"/>
        </w:rPr>
        <w:t>ا ممثَّلتين</w:t>
      </w:r>
      <w:r w:rsidR="005F3369" w:rsidRPr="00693E9B">
        <w:rPr>
          <w:rFonts w:hint="cs"/>
          <w:b/>
          <w:bCs w:val="0"/>
          <w:rtl/>
          <w:lang w:val="fr-CH" w:bidi="ar-LB"/>
        </w:rPr>
        <w:t xml:space="preserve"> بصفة مراقب في دورات </w:t>
      </w:r>
      <w:r w:rsidR="005F3369" w:rsidRPr="00693E9B">
        <w:rPr>
          <w:b/>
          <w:bCs w:val="0"/>
          <w:rtl/>
          <w:lang w:val="fr-CH" w:bidi="ar-LB"/>
        </w:rPr>
        <w:t>اللجنة الدائمة المعنية بحق المؤلف والحقوق</w:t>
      </w:r>
      <w:r w:rsidR="005F3369" w:rsidRPr="00693E9B">
        <w:rPr>
          <w:rFonts w:hint="cs"/>
          <w:b/>
          <w:bCs w:val="0"/>
          <w:rtl/>
          <w:lang w:val="fr-CH" w:bidi="ar-LB"/>
        </w:rPr>
        <w:t> </w:t>
      </w:r>
      <w:r w:rsidR="005F3369" w:rsidRPr="00693E9B">
        <w:rPr>
          <w:b/>
          <w:bCs w:val="0"/>
          <w:rtl/>
          <w:lang w:val="fr-CH" w:bidi="ar-LB"/>
        </w:rPr>
        <w:t>المجاورة</w:t>
      </w:r>
      <w:r w:rsidR="00693E9B" w:rsidRPr="00693E9B">
        <w:rPr>
          <w:rFonts w:hint="cs"/>
          <w:b/>
          <w:bCs w:val="0"/>
          <w:rtl/>
          <w:lang w:val="fr-CH" w:bidi="ar-LB"/>
        </w:rPr>
        <w:t xml:space="preserve"> </w:t>
      </w:r>
      <w:r w:rsidR="00693E9B" w:rsidRPr="00693E9B">
        <w:rPr>
          <w:rFonts w:hint="cs"/>
          <w:b/>
          <w:bCs w:val="0"/>
          <w:rtl/>
        </w:rPr>
        <w:t>(لجنة حق المؤلف)</w:t>
      </w:r>
    </w:p>
    <w:p w:rsidR="005F3369" w:rsidRDefault="009857E0" w:rsidP="009857E0">
      <w:pPr>
        <w:pStyle w:val="NumberedParaAR"/>
        <w:numPr>
          <w:ilvl w:val="0"/>
          <w:numId w:val="0"/>
        </w:numPr>
        <w:rPr>
          <w:bCs/>
          <w:i/>
          <w:szCs w:val="28"/>
          <w:rtl/>
        </w:rPr>
      </w:pPr>
      <w:r w:rsidRPr="009857E0">
        <w:rPr>
          <w:i/>
          <w:iCs/>
          <w:rtl/>
        </w:rPr>
        <w:t>مركز بحوث السياسات الإعلامية</w:t>
      </w:r>
      <w:r>
        <w:rPr>
          <w:rFonts w:hint="cs"/>
          <w:i/>
          <w:iCs/>
          <w:rtl/>
        </w:rPr>
        <w:t xml:space="preserve"> </w:t>
      </w:r>
      <w:r w:rsidRPr="0057347A">
        <w:rPr>
          <w:bCs/>
          <w:i/>
          <w:szCs w:val="28"/>
        </w:rPr>
        <w:t>(CIPR)</w:t>
      </w:r>
    </w:p>
    <w:p w:rsidR="009857E0" w:rsidRPr="008E1A08" w:rsidRDefault="009857E0" w:rsidP="00693E9B">
      <w:pPr>
        <w:pStyle w:val="NumberedParaAR"/>
        <w:numPr>
          <w:ilvl w:val="0"/>
          <w:numId w:val="0"/>
        </w:numPr>
      </w:pPr>
      <w:r w:rsidRPr="008E1A08">
        <w:rPr>
          <w:rtl/>
        </w:rPr>
        <w:t>مركز بحوث السياسات الإعلامية</w:t>
      </w:r>
      <w:r w:rsidRPr="008E1A08">
        <w:rPr>
          <w:rFonts w:hint="cs"/>
          <w:rtl/>
        </w:rPr>
        <w:t xml:space="preserve"> هو مركز بح</w:t>
      </w:r>
      <w:r w:rsidR="00604CAA" w:rsidRPr="008E1A08">
        <w:rPr>
          <w:rFonts w:hint="cs"/>
          <w:rtl/>
        </w:rPr>
        <w:t>و</w:t>
      </w:r>
      <w:r w:rsidRPr="008E1A08">
        <w:rPr>
          <w:rFonts w:hint="cs"/>
          <w:rtl/>
        </w:rPr>
        <w:t>ث متعدد الاختصاصات يرك</w:t>
      </w:r>
      <w:r w:rsidR="00604CAA" w:rsidRPr="008E1A08">
        <w:rPr>
          <w:rFonts w:hint="cs"/>
          <w:rtl/>
        </w:rPr>
        <w:t>ّ</w:t>
      </w:r>
      <w:r w:rsidRPr="008E1A08">
        <w:rPr>
          <w:rFonts w:hint="cs"/>
          <w:rtl/>
        </w:rPr>
        <w:t xml:space="preserve">ز على المسائل المتعلقة </w:t>
      </w:r>
      <w:r w:rsidR="008E1A08">
        <w:rPr>
          <w:rFonts w:hint="cs"/>
          <w:rtl/>
        </w:rPr>
        <w:t>ب</w:t>
      </w:r>
      <w:r w:rsidR="008E1A08" w:rsidRPr="008E1A08">
        <w:rPr>
          <w:rtl/>
        </w:rPr>
        <w:t>السياسات الإعلامية</w:t>
      </w:r>
      <w:r w:rsidR="00693E9B">
        <w:rPr>
          <w:rFonts w:hint="cs"/>
          <w:rtl/>
        </w:rPr>
        <w:t>،</w:t>
      </w:r>
      <w:r w:rsidR="008E1A08" w:rsidRPr="008E1A08">
        <w:rPr>
          <w:rFonts w:hint="cs"/>
          <w:rtl/>
        </w:rPr>
        <w:t xml:space="preserve"> </w:t>
      </w:r>
      <w:r w:rsidRPr="008E1A08">
        <w:rPr>
          <w:rFonts w:hint="cs"/>
          <w:rtl/>
        </w:rPr>
        <w:t>مثل تكنولوجيا الاتصالات والملكية الفكرية وحق المؤلف</w:t>
      </w:r>
      <w:r w:rsidR="00693E9B">
        <w:rPr>
          <w:rFonts w:hint="cs"/>
          <w:rtl/>
        </w:rPr>
        <w:t xml:space="preserve"> والتر</w:t>
      </w:r>
      <w:r w:rsidRPr="008E1A08">
        <w:rPr>
          <w:rFonts w:hint="cs"/>
          <w:rtl/>
        </w:rPr>
        <w:t xml:space="preserve">خيص. وأنشئ المركز في عام 1998 </w:t>
      </w:r>
      <w:r w:rsidR="00693E9B">
        <w:rPr>
          <w:rFonts w:hint="cs"/>
          <w:rtl/>
        </w:rPr>
        <w:t>ضمن</w:t>
      </w:r>
      <w:r w:rsidRPr="008E1A08">
        <w:rPr>
          <w:rFonts w:hint="cs"/>
          <w:rtl/>
        </w:rPr>
        <w:t xml:space="preserve"> </w:t>
      </w:r>
      <w:r w:rsidRPr="008E1A08">
        <w:rPr>
          <w:rtl/>
        </w:rPr>
        <w:t xml:space="preserve">كليّة </w:t>
      </w:r>
      <w:r w:rsidR="00693E9B">
        <w:rPr>
          <w:rFonts w:hint="cs"/>
          <w:rtl/>
        </w:rPr>
        <w:t>ميلووكي لل</w:t>
      </w:r>
      <w:r w:rsidRPr="008E1A08">
        <w:rPr>
          <w:rtl/>
        </w:rPr>
        <w:t>دراسات الإعلامية (</w:t>
      </w:r>
      <w:r w:rsidRPr="008E1A08">
        <w:t>SOIS</w:t>
      </w:r>
      <w:r w:rsidRPr="008E1A08">
        <w:rPr>
          <w:rtl/>
        </w:rPr>
        <w:t>)</w:t>
      </w:r>
      <w:r w:rsidRPr="008E1A08">
        <w:rPr>
          <w:rFonts w:hint="cs"/>
          <w:rtl/>
        </w:rPr>
        <w:t xml:space="preserve"> التابعة</w:t>
      </w:r>
      <w:r w:rsidRPr="008E1A08">
        <w:rPr>
          <w:rtl/>
        </w:rPr>
        <w:t xml:space="preserve"> </w:t>
      </w:r>
      <w:r w:rsidRPr="008E1A08">
        <w:rPr>
          <w:rFonts w:hint="cs"/>
          <w:rtl/>
        </w:rPr>
        <w:t>ل</w:t>
      </w:r>
      <w:r w:rsidRPr="008E1A08">
        <w:rPr>
          <w:rtl/>
        </w:rPr>
        <w:t>جامعة ويسكونسن</w:t>
      </w:r>
      <w:r w:rsidRPr="008E1A08">
        <w:rPr>
          <w:rFonts w:hint="cs"/>
          <w:rtl/>
        </w:rPr>
        <w:t>. ويسّهل المركز البح</w:t>
      </w:r>
      <w:r w:rsidR="00693E9B">
        <w:rPr>
          <w:rFonts w:hint="cs"/>
          <w:rtl/>
        </w:rPr>
        <w:t>و</w:t>
      </w:r>
      <w:r w:rsidRPr="008E1A08">
        <w:rPr>
          <w:rFonts w:hint="cs"/>
          <w:rtl/>
        </w:rPr>
        <w:t xml:space="preserve">ث بشأن </w:t>
      </w:r>
      <w:r w:rsidR="008E1A08" w:rsidRPr="008E1A08">
        <w:rPr>
          <w:rtl/>
        </w:rPr>
        <w:t>السياسات الإعلامية</w:t>
      </w:r>
      <w:r w:rsidR="008E1A08" w:rsidRPr="008E1A08">
        <w:rPr>
          <w:rFonts w:hint="cs"/>
          <w:rtl/>
        </w:rPr>
        <w:t xml:space="preserve"> </w:t>
      </w:r>
      <w:r w:rsidRPr="008E1A08">
        <w:rPr>
          <w:rFonts w:hint="cs"/>
          <w:rtl/>
        </w:rPr>
        <w:t>ويعز</w:t>
      </w:r>
      <w:r w:rsidR="00693E9B">
        <w:rPr>
          <w:rFonts w:hint="cs"/>
          <w:rtl/>
        </w:rPr>
        <w:t>ّ</w:t>
      </w:r>
      <w:r w:rsidRPr="008E1A08">
        <w:rPr>
          <w:rFonts w:hint="cs"/>
          <w:rtl/>
        </w:rPr>
        <w:t xml:space="preserve">ز </w:t>
      </w:r>
      <w:r w:rsidR="00693E9B">
        <w:rPr>
          <w:rFonts w:hint="cs"/>
          <w:rtl/>
        </w:rPr>
        <w:t>ال</w:t>
      </w:r>
      <w:r w:rsidRPr="008E1A08">
        <w:rPr>
          <w:rFonts w:hint="cs"/>
          <w:rtl/>
        </w:rPr>
        <w:t xml:space="preserve">وعي </w:t>
      </w:r>
      <w:r w:rsidR="00693E9B">
        <w:rPr>
          <w:rFonts w:hint="cs"/>
          <w:rtl/>
        </w:rPr>
        <w:t>العام</w:t>
      </w:r>
      <w:r w:rsidRPr="008E1A08">
        <w:rPr>
          <w:rFonts w:hint="cs"/>
          <w:rtl/>
        </w:rPr>
        <w:t xml:space="preserve"> </w:t>
      </w:r>
      <w:r w:rsidR="0012340E" w:rsidRPr="008E1A08">
        <w:rPr>
          <w:rFonts w:hint="cs"/>
          <w:rtl/>
        </w:rPr>
        <w:t xml:space="preserve">بالمسائل المتعلقة </w:t>
      </w:r>
      <w:r w:rsidR="00693E9B">
        <w:rPr>
          <w:rFonts w:hint="cs"/>
          <w:rtl/>
        </w:rPr>
        <w:t>بتلك السياسات</w:t>
      </w:r>
      <w:r w:rsidR="0012340E" w:rsidRPr="008E1A08">
        <w:rPr>
          <w:rFonts w:hint="cs"/>
          <w:rtl/>
        </w:rPr>
        <w:t xml:space="preserve"> من خلال </w:t>
      </w:r>
      <w:r w:rsidR="00693E9B">
        <w:rPr>
          <w:rFonts w:hint="cs"/>
          <w:rtl/>
        </w:rPr>
        <w:t>تنفيذ</w:t>
      </w:r>
      <w:r w:rsidR="0012340E" w:rsidRPr="008E1A08">
        <w:rPr>
          <w:rFonts w:hint="cs"/>
          <w:rtl/>
        </w:rPr>
        <w:t xml:space="preserve"> مشروعات بحثية وتنظيم مؤتمرات.</w:t>
      </w:r>
    </w:p>
    <w:p w:rsidR="008E4A62" w:rsidRDefault="008E4A62" w:rsidP="005F3369">
      <w:pPr>
        <w:pStyle w:val="NumberedParaAR"/>
        <w:numPr>
          <w:ilvl w:val="0"/>
          <w:numId w:val="0"/>
        </w:numPr>
        <w:rPr>
          <w:i/>
          <w:iCs/>
          <w:rtl/>
          <w:lang w:val="fr-CH"/>
        </w:rPr>
      </w:pPr>
      <w:r w:rsidRPr="006C2C5B">
        <w:rPr>
          <w:rFonts w:hint="cs"/>
          <w:i/>
          <w:iCs/>
          <w:rtl/>
          <w:lang w:val="fr-CH"/>
        </w:rPr>
        <w:t>معلومات للاتصال:</w:t>
      </w:r>
    </w:p>
    <w:p w:rsidR="0012340E" w:rsidRPr="00B7362D" w:rsidRDefault="0012340E" w:rsidP="0012340E">
      <w:pPr>
        <w:ind w:left="4536"/>
        <w:rPr>
          <w:szCs w:val="22"/>
        </w:rPr>
      </w:pPr>
      <w:r>
        <w:rPr>
          <w:szCs w:val="22"/>
        </w:rPr>
        <w:t>Tomas A. Lipinski</w:t>
      </w:r>
    </w:p>
    <w:p w:rsidR="0012340E" w:rsidRPr="00B7362D" w:rsidRDefault="0012340E" w:rsidP="0012340E">
      <w:pPr>
        <w:ind w:left="4536"/>
        <w:rPr>
          <w:szCs w:val="22"/>
        </w:rPr>
      </w:pPr>
      <w:r>
        <w:rPr>
          <w:szCs w:val="22"/>
        </w:rPr>
        <w:t>Founder</w:t>
      </w:r>
    </w:p>
    <w:p w:rsidR="0012340E" w:rsidRPr="00B7362D" w:rsidRDefault="0012340E" w:rsidP="0012340E">
      <w:pPr>
        <w:ind w:left="4536"/>
        <w:rPr>
          <w:szCs w:val="22"/>
        </w:rPr>
      </w:pPr>
      <w:r w:rsidRPr="00B7362D">
        <w:rPr>
          <w:szCs w:val="22"/>
        </w:rPr>
        <w:t>School of Information Studies</w:t>
      </w:r>
    </w:p>
    <w:p w:rsidR="0012340E" w:rsidRPr="00B7362D" w:rsidRDefault="0012340E" w:rsidP="0012340E">
      <w:pPr>
        <w:ind w:left="4536"/>
        <w:rPr>
          <w:szCs w:val="22"/>
        </w:rPr>
      </w:pPr>
      <w:r w:rsidRPr="00B7362D">
        <w:rPr>
          <w:szCs w:val="22"/>
        </w:rPr>
        <w:t>University of Wisconsin--Milwaukee</w:t>
      </w:r>
    </w:p>
    <w:p w:rsidR="0012340E" w:rsidRPr="00B7362D" w:rsidRDefault="0012340E" w:rsidP="0012340E">
      <w:pPr>
        <w:ind w:left="4536"/>
        <w:rPr>
          <w:szCs w:val="22"/>
        </w:rPr>
      </w:pPr>
      <w:r w:rsidRPr="00B7362D">
        <w:rPr>
          <w:szCs w:val="22"/>
        </w:rPr>
        <w:t>P.O. Box 413</w:t>
      </w:r>
    </w:p>
    <w:p w:rsidR="0012340E" w:rsidRPr="00D87A6A" w:rsidRDefault="0012340E" w:rsidP="0012340E">
      <w:pPr>
        <w:ind w:left="4536"/>
        <w:rPr>
          <w:szCs w:val="22"/>
        </w:rPr>
      </w:pPr>
      <w:r w:rsidRPr="00B7362D">
        <w:rPr>
          <w:szCs w:val="22"/>
        </w:rPr>
        <w:t>Milwaukee, Wisconsin, USA 53201</w:t>
      </w:r>
    </w:p>
    <w:p w:rsidR="0012340E" w:rsidRPr="007D4488" w:rsidRDefault="0012340E" w:rsidP="0012340E">
      <w:pPr>
        <w:ind w:left="4536"/>
      </w:pPr>
    </w:p>
    <w:p w:rsidR="0012340E" w:rsidRDefault="0012340E" w:rsidP="0012340E">
      <w:pPr>
        <w:ind w:left="4536"/>
      </w:pPr>
      <w:r>
        <w:t xml:space="preserve">Phone:  </w:t>
      </w:r>
      <w:r w:rsidRPr="008044BE">
        <w:rPr>
          <w:szCs w:val="22"/>
        </w:rPr>
        <w:t>+1414-229-2896 (office), +1414-514-6393 (cell)</w:t>
      </w:r>
    </w:p>
    <w:p w:rsidR="0012340E" w:rsidRDefault="0012340E" w:rsidP="0012340E">
      <w:pPr>
        <w:ind w:left="4536"/>
      </w:pPr>
      <w:r>
        <w:t xml:space="preserve">Email address: </w:t>
      </w:r>
      <w:hyperlink r:id="rId10" w:history="1">
        <w:r w:rsidRPr="000A5DA3">
          <w:rPr>
            <w:rStyle w:val="Hyperlink"/>
            <w:szCs w:val="22"/>
          </w:rPr>
          <w:t>tlipinsk@uwm.edu</w:t>
        </w:r>
      </w:hyperlink>
      <w:r>
        <w:rPr>
          <w:rFonts w:hint="cs"/>
          <w:szCs w:val="22"/>
          <w:rtl/>
        </w:rPr>
        <w:t xml:space="preserve"> </w:t>
      </w:r>
    </w:p>
    <w:p w:rsidR="005B09A8" w:rsidRDefault="0012340E" w:rsidP="0012340E">
      <w:pPr>
        <w:ind w:left="4536"/>
        <w:rPr>
          <w:rtl/>
        </w:rPr>
        <w:sectPr w:rsidR="005B09A8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t xml:space="preserve">Web site: </w:t>
      </w:r>
      <w:hyperlink r:id="rId12" w:history="1">
        <w:r w:rsidRPr="000A5DA3">
          <w:rPr>
            <w:rStyle w:val="Hyperlink"/>
          </w:rPr>
          <w:t>https://cipr.uwm.edu</w:t>
        </w:r>
      </w:hyperlink>
      <w:r>
        <w:rPr>
          <w:rFonts w:hint="cs"/>
          <w:rtl/>
        </w:rPr>
        <w:t xml:space="preserve"> </w:t>
      </w:r>
    </w:p>
    <w:p w:rsidR="0012340E" w:rsidRDefault="005B09A8" w:rsidP="00FD656A">
      <w:pPr>
        <w:pStyle w:val="NumberedParaAR"/>
        <w:numPr>
          <w:ilvl w:val="0"/>
          <w:numId w:val="0"/>
        </w:numPr>
        <w:rPr>
          <w:rtl/>
        </w:rPr>
      </w:pPr>
      <w:r w:rsidRPr="00FD656A">
        <w:rPr>
          <w:rFonts w:hint="cs"/>
          <w:i/>
          <w:iCs/>
          <w:rtl/>
        </w:rPr>
        <w:lastRenderedPageBreak/>
        <w:t>جمعية المتاحف الكندية (</w:t>
      </w:r>
      <w:r w:rsidRPr="00FD656A">
        <w:rPr>
          <w:i/>
          <w:iCs/>
        </w:rPr>
        <w:t>CMA</w:t>
      </w:r>
      <w:r w:rsidRPr="00FD656A">
        <w:rPr>
          <w:rFonts w:hint="cs"/>
          <w:i/>
          <w:iCs/>
          <w:rtl/>
        </w:rPr>
        <w:t>)</w:t>
      </w:r>
    </w:p>
    <w:p w:rsidR="00FD656A" w:rsidRDefault="00FD656A" w:rsidP="00FD656A">
      <w:pPr>
        <w:pStyle w:val="NumberedParaAR"/>
        <w:numPr>
          <w:ilvl w:val="0"/>
          <w:numId w:val="0"/>
        </w:numPr>
        <w:rPr>
          <w:rtl/>
        </w:rPr>
      </w:pPr>
      <w:r>
        <w:rPr>
          <w:rtl/>
        </w:rPr>
        <w:t>جمعية المتاحف الكندية هي منظمة</w:t>
      </w:r>
      <w:r w:rsidRPr="00FD656A">
        <w:rPr>
          <w:rFonts w:hint="cs"/>
          <w:rtl/>
        </w:rPr>
        <w:t xml:space="preserve"> </w:t>
      </w:r>
      <w:r>
        <w:rPr>
          <w:rtl/>
        </w:rPr>
        <w:t xml:space="preserve">أسست عام 1947 </w:t>
      </w:r>
      <w:r>
        <w:rPr>
          <w:rFonts w:hint="cs"/>
          <w:rtl/>
        </w:rPr>
        <w:t>و</w:t>
      </w:r>
      <w:r>
        <w:rPr>
          <w:rtl/>
        </w:rPr>
        <w:t xml:space="preserve">تضم حوالي 2000 عضو </w:t>
      </w:r>
      <w:r>
        <w:rPr>
          <w:rFonts w:hint="cs"/>
          <w:rtl/>
        </w:rPr>
        <w:t>يعملون ل</w:t>
      </w:r>
      <w:r>
        <w:rPr>
          <w:rtl/>
        </w:rPr>
        <w:t>لنهوض بالمتاحف والمؤسسات غير الربحية ذات الصلة. وتشارك ال</w:t>
      </w:r>
      <w:r>
        <w:rPr>
          <w:rFonts w:hint="cs"/>
          <w:rtl/>
        </w:rPr>
        <w:t>جمعي</w:t>
      </w:r>
      <w:r>
        <w:rPr>
          <w:rtl/>
        </w:rPr>
        <w:t>ة في تطوير سياسات حق ال</w:t>
      </w:r>
      <w:r>
        <w:rPr>
          <w:rFonts w:hint="cs"/>
          <w:rtl/>
        </w:rPr>
        <w:t>مؤ</w:t>
      </w:r>
      <w:r>
        <w:rPr>
          <w:rtl/>
        </w:rPr>
        <w:t xml:space="preserve">لف </w:t>
      </w:r>
      <w:r>
        <w:rPr>
          <w:rFonts w:hint="cs"/>
          <w:rtl/>
        </w:rPr>
        <w:t xml:space="preserve">بغية إيجاد </w:t>
      </w:r>
      <w:r>
        <w:rPr>
          <w:rtl/>
        </w:rPr>
        <w:t>حقوق متوازنة و</w:t>
      </w:r>
      <w:r>
        <w:rPr>
          <w:rFonts w:hint="cs"/>
          <w:rtl/>
        </w:rPr>
        <w:t xml:space="preserve">تحقيق </w:t>
      </w:r>
      <w:r>
        <w:rPr>
          <w:rtl/>
        </w:rPr>
        <w:t>المصلحة العامة. وتثق</w:t>
      </w:r>
      <w:r>
        <w:rPr>
          <w:rFonts w:hint="cs"/>
          <w:rtl/>
        </w:rPr>
        <w:t>ّ</w:t>
      </w:r>
      <w:r>
        <w:rPr>
          <w:rtl/>
        </w:rPr>
        <w:t xml:space="preserve">ف </w:t>
      </w:r>
      <w:r>
        <w:rPr>
          <w:rFonts w:hint="cs"/>
          <w:rtl/>
        </w:rPr>
        <w:t xml:space="preserve">الجمعية </w:t>
      </w:r>
      <w:r>
        <w:rPr>
          <w:rtl/>
        </w:rPr>
        <w:t xml:space="preserve">أعضائها بشأن قضايا حق المؤلف من خلال نشر الكتب والأدلة وتنظيم الحلقات الدراسية والمشاريع التدريبية. وتتفاوض مع منظمات الإدارة الجماعية </w:t>
      </w:r>
      <w:r>
        <w:rPr>
          <w:rFonts w:hint="cs"/>
          <w:rtl/>
        </w:rPr>
        <w:t xml:space="preserve">بشأن </w:t>
      </w:r>
      <w:r>
        <w:rPr>
          <w:rtl/>
        </w:rPr>
        <w:t>رسوم</w:t>
      </w:r>
      <w:r>
        <w:rPr>
          <w:rFonts w:hint="cs"/>
          <w:rtl/>
        </w:rPr>
        <w:t xml:space="preserve"> </w:t>
      </w:r>
      <w:r>
        <w:rPr>
          <w:rtl/>
        </w:rPr>
        <w:t>الأجور الموصى بها.</w:t>
      </w:r>
    </w:p>
    <w:p w:rsidR="00FD656A" w:rsidRDefault="00FD656A" w:rsidP="00FD656A">
      <w:pPr>
        <w:pStyle w:val="NumberedParaAR"/>
        <w:numPr>
          <w:ilvl w:val="0"/>
          <w:numId w:val="0"/>
        </w:numPr>
        <w:rPr>
          <w:i/>
          <w:iCs/>
          <w:rtl/>
          <w:lang w:val="fr-CH"/>
        </w:rPr>
      </w:pPr>
      <w:r w:rsidRPr="006C2C5B">
        <w:rPr>
          <w:rFonts w:hint="cs"/>
          <w:i/>
          <w:iCs/>
          <w:rtl/>
          <w:lang w:val="fr-CH"/>
        </w:rPr>
        <w:t>معلومات للاتصال: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rFonts w:eastAsia="SimSun"/>
          <w:szCs w:val="22"/>
          <w:lang w:eastAsia="zh-CN"/>
        </w:rPr>
        <w:t>John G. McAvity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Executive Director &amp; CEO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CMA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280 Metcalfe Street, Suite 400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Ottawa, ON, Canada, K2P 1R7</w:t>
      </w:r>
    </w:p>
    <w:p w:rsidR="00FD656A" w:rsidRPr="00FD656A" w:rsidRDefault="00FD656A" w:rsidP="00FD656A">
      <w:pPr>
        <w:ind w:left="4536"/>
        <w:rPr>
          <w:szCs w:val="22"/>
        </w:rPr>
      </w:pP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Telephone number:  +1-613-567-0099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Fax number:  +1-613-233-5438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Email address: jmcavity@museums.ca</w:t>
      </w:r>
    </w:p>
    <w:p w:rsidR="00FD656A" w:rsidRPr="00FD656A" w:rsidRDefault="00FD656A" w:rsidP="00FD656A">
      <w:pPr>
        <w:ind w:left="4536"/>
        <w:rPr>
          <w:szCs w:val="22"/>
        </w:rPr>
      </w:pPr>
      <w:r w:rsidRPr="00FD656A">
        <w:rPr>
          <w:szCs w:val="22"/>
        </w:rPr>
        <w:t>Web site: www.museums.ca</w:t>
      </w:r>
    </w:p>
    <w:p w:rsidR="008E4A62" w:rsidRDefault="008E4A62" w:rsidP="0012340E">
      <w:pPr>
        <w:pStyle w:val="EndofDocumentAR"/>
        <w:spacing w:before="480"/>
      </w:pPr>
      <w:r>
        <w:rPr>
          <w:rFonts w:hint="cs"/>
          <w:rtl/>
        </w:rPr>
        <w:t>[نهاية المرفق</w:t>
      </w:r>
      <w:r w:rsidR="00FD656A">
        <w:rPr>
          <w:rFonts w:hint="cs"/>
          <w:rtl/>
        </w:rPr>
        <w:t>ين</w:t>
      </w:r>
      <w:r>
        <w:rPr>
          <w:rFonts w:hint="cs"/>
          <w:rtl/>
        </w:rPr>
        <w:t xml:space="preserve"> والوثيقة]</w:t>
      </w:r>
    </w:p>
    <w:sectPr w:rsidR="008E4A62" w:rsidSect="00EB7752">
      <w:head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22" w:rsidRDefault="009A5322">
      <w:r>
        <w:separator/>
      </w:r>
    </w:p>
  </w:endnote>
  <w:endnote w:type="continuationSeparator" w:id="0">
    <w:p w:rsidR="009A5322" w:rsidRDefault="009A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22" w:rsidRDefault="009A532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A5322" w:rsidRDefault="009A532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5F3369">
    <w:r>
      <w:t>S</w:t>
    </w:r>
    <w:r w:rsidR="00F40476">
      <w:t>CCR</w:t>
    </w:r>
    <w:r w:rsidR="002F77FC">
      <w:t>/</w:t>
    </w:r>
    <w:r w:rsidR="00FF3616">
      <w:t>35</w:t>
    </w:r>
    <w:r w:rsidR="002F77FC">
      <w:t>/</w:t>
    </w:r>
    <w:r w:rsidR="005F3369" w:rsidRPr="005F3369">
      <w:rPr>
        <w:rFonts w:hint="cs"/>
        <w:sz w:val="24"/>
        <w:szCs w:val="22"/>
        <w:rtl/>
      </w:rPr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87ECA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6" w:rsidRDefault="00203486" w:rsidP="00203486">
    <w:r>
      <w:t>SCCR/35/</w:t>
    </w:r>
    <w:r w:rsidRPr="005F3369">
      <w:rPr>
        <w:rFonts w:hint="cs"/>
        <w:sz w:val="24"/>
        <w:szCs w:val="22"/>
        <w:rtl/>
      </w:rPr>
      <w:t>2</w:t>
    </w:r>
    <w:r w:rsidR="005B09A8">
      <w:rPr>
        <w:sz w:val="24"/>
        <w:szCs w:val="22"/>
      </w:rPr>
      <w:t xml:space="preserve"> Rev</w:t>
    </w:r>
    <w:r w:rsidR="007B7D71">
      <w:rPr>
        <w:sz w:val="24"/>
        <w:szCs w:val="22"/>
      </w:rPr>
      <w:t>.</w:t>
    </w:r>
  </w:p>
  <w:p w:rsidR="00203486" w:rsidRPr="005B09A8" w:rsidRDefault="00203486">
    <w:pPr>
      <w:pStyle w:val="Header"/>
      <w:rPr>
        <w:rtl/>
        <w:lang w:val="fr-CH"/>
      </w:rPr>
    </w:pPr>
    <w:r>
      <w:t>ANNEX</w:t>
    </w:r>
    <w:r w:rsidR="005B09A8">
      <w:t xml:space="preserve"> I</w:t>
    </w:r>
  </w:p>
  <w:p w:rsidR="00203486" w:rsidRPr="005B09A8" w:rsidRDefault="00203486" w:rsidP="005B09A8">
    <w:pPr>
      <w:pStyle w:val="Header"/>
      <w:rPr>
        <w:rFonts w:ascii="Arabic Typesetting" w:hAnsi="Arabic Typesetting" w:cs="Arabic Typesetting"/>
        <w:sz w:val="36"/>
        <w:szCs w:val="36"/>
        <w:rtl/>
        <w:lang w:val="fr-CH"/>
      </w:rPr>
    </w:pPr>
    <w:r w:rsidRPr="00203486">
      <w:rPr>
        <w:rFonts w:ascii="Arabic Typesetting" w:hAnsi="Arabic Typesetting" w:cs="Arabic Typesetting"/>
        <w:sz w:val="36"/>
        <w:szCs w:val="36"/>
        <w:rtl/>
        <w:lang w:val="fr-FR" w:bidi="ar-EG"/>
      </w:rPr>
      <w:t>المرفق</w:t>
    </w:r>
    <w:r w:rsidR="005B09A8">
      <w:rPr>
        <w:rFonts w:ascii="Arabic Typesetting" w:hAnsi="Arabic Typesetting" w:cs="Arabic Typesetting" w:hint="cs"/>
        <w:sz w:val="36"/>
        <w:szCs w:val="36"/>
        <w:rtl/>
        <w:lang w:val="fr-FR" w:bidi="ar-EG"/>
      </w:rPr>
      <w:t xml:space="preserve"> الأول</w:t>
    </w:r>
  </w:p>
  <w:p w:rsidR="00203486" w:rsidRPr="00203486" w:rsidRDefault="00203486" w:rsidP="00203486">
    <w:pPr>
      <w:pStyle w:val="Header"/>
      <w:rPr>
        <w:rFonts w:asciiTheme="minorBidi" w:hAnsiTheme="minorBidi" w:cstheme="minorBidi"/>
        <w:szCs w:val="22"/>
        <w:rtl/>
        <w:lang w:val="fr-FR"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A8" w:rsidRDefault="005B09A8" w:rsidP="00203486">
    <w:r>
      <w:t>SCCR/35/</w:t>
    </w:r>
    <w:r w:rsidRPr="005F3369">
      <w:rPr>
        <w:rFonts w:hint="cs"/>
        <w:sz w:val="24"/>
        <w:szCs w:val="22"/>
        <w:rtl/>
      </w:rPr>
      <w:t>2</w:t>
    </w:r>
    <w:r>
      <w:rPr>
        <w:sz w:val="24"/>
        <w:szCs w:val="22"/>
      </w:rPr>
      <w:t xml:space="preserve"> Rev</w:t>
    </w:r>
    <w:r w:rsidR="007B7D71">
      <w:rPr>
        <w:sz w:val="24"/>
        <w:szCs w:val="22"/>
      </w:rPr>
      <w:t>.</w:t>
    </w:r>
  </w:p>
  <w:p w:rsidR="005B09A8" w:rsidRPr="005B09A8" w:rsidRDefault="005B09A8">
    <w:pPr>
      <w:pStyle w:val="Header"/>
      <w:rPr>
        <w:rtl/>
        <w:lang w:val="fr-CH"/>
      </w:rPr>
    </w:pPr>
    <w:r>
      <w:t>ANNEX II</w:t>
    </w:r>
  </w:p>
  <w:p w:rsidR="005B09A8" w:rsidRPr="005B09A8" w:rsidRDefault="005B09A8" w:rsidP="005B09A8">
    <w:pPr>
      <w:pStyle w:val="Header"/>
      <w:rPr>
        <w:rFonts w:ascii="Arabic Typesetting" w:hAnsi="Arabic Typesetting" w:cs="Arabic Typesetting"/>
        <w:sz w:val="36"/>
        <w:szCs w:val="36"/>
        <w:rtl/>
        <w:lang w:val="fr-CH"/>
      </w:rPr>
    </w:pPr>
    <w:r w:rsidRPr="00203486">
      <w:rPr>
        <w:rFonts w:ascii="Arabic Typesetting" w:hAnsi="Arabic Typesetting" w:cs="Arabic Typesetting"/>
        <w:sz w:val="36"/>
        <w:szCs w:val="36"/>
        <w:rtl/>
        <w:lang w:val="fr-FR" w:bidi="ar-EG"/>
      </w:rPr>
      <w:t>المرفق</w:t>
    </w:r>
    <w:r>
      <w:rPr>
        <w:rFonts w:ascii="Arabic Typesetting" w:hAnsi="Arabic Typesetting" w:cs="Arabic Typesetting" w:hint="cs"/>
        <w:sz w:val="36"/>
        <w:szCs w:val="36"/>
        <w:rtl/>
        <w:lang w:val="fr-FR" w:bidi="ar-EG"/>
      </w:rPr>
      <w:t xml:space="preserve"> الثاني</w:t>
    </w:r>
  </w:p>
  <w:p w:rsidR="005B09A8" w:rsidRPr="00203486" w:rsidRDefault="005B09A8" w:rsidP="00203486">
    <w:pPr>
      <w:pStyle w:val="Header"/>
      <w:rPr>
        <w:rFonts w:asciiTheme="minorBidi" w:hAnsiTheme="minorBidi" w:cstheme="minorBidi"/>
        <w:szCs w:val="22"/>
        <w:rtl/>
        <w:lang w:val="fr-FR"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6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6D06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40E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486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7A1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D45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9A8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369"/>
    <w:rsid w:val="005F34FB"/>
    <w:rsid w:val="005F39A0"/>
    <w:rsid w:val="005F6B68"/>
    <w:rsid w:val="005F6F2E"/>
    <w:rsid w:val="005F7D85"/>
    <w:rsid w:val="00601A1F"/>
    <w:rsid w:val="00602655"/>
    <w:rsid w:val="00603B68"/>
    <w:rsid w:val="00604CAA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E5C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E9B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238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46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D71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1A08"/>
    <w:rsid w:val="008E3E79"/>
    <w:rsid w:val="008E4A62"/>
    <w:rsid w:val="008E5282"/>
    <w:rsid w:val="008E5E2C"/>
    <w:rsid w:val="008E78F1"/>
    <w:rsid w:val="008E78FC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57E0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322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4A1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365B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12F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A84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ECA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3D66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56A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5F3369"/>
    <w:pPr>
      <w:keepNext/>
      <w:spacing w:before="240" w:after="60" w:line="400" w:lineRule="exact"/>
    </w:pPr>
    <w:rPr>
      <w:bCs/>
      <w:sz w:val="40"/>
      <w:szCs w:val="40"/>
    </w:rPr>
  </w:style>
  <w:style w:type="character" w:styleId="Hyperlink">
    <w:name w:val="Hyperlink"/>
    <w:basedOn w:val="DefaultParagraphFont"/>
    <w:rsid w:val="00123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5F3369"/>
    <w:pPr>
      <w:keepNext/>
      <w:spacing w:before="240" w:after="60" w:line="400" w:lineRule="exact"/>
    </w:pPr>
    <w:rPr>
      <w:bCs/>
      <w:sz w:val="40"/>
      <w:szCs w:val="40"/>
    </w:rPr>
  </w:style>
  <w:style w:type="character" w:styleId="Hyperlink">
    <w:name w:val="Hyperlink"/>
    <w:basedOn w:val="DefaultParagraphFont"/>
    <w:rsid w:val="00123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ipr.uw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lipinsk@uwm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nali\Desktop\42826-En%20cours-\SCCR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SCCR_35_AR</Template>
  <TotalTime>0</TotalTime>
  <Pages>3</Pages>
  <Words>311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SCCR/34/-- (Arabic)</vt:lpstr>
    </vt:vector>
  </TitlesOfParts>
  <Company>World Intellectual Property Organization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SCCR/34/-- (Arabic)</dc:title>
  <dc:creator>BEN ALI Lassad</dc:creator>
  <cp:lastModifiedBy>CAPOBIANCO Stefania</cp:lastModifiedBy>
  <cp:revision>2</cp:revision>
  <cp:lastPrinted>2017-09-28T09:08:00Z</cp:lastPrinted>
  <dcterms:created xsi:type="dcterms:W3CDTF">2017-09-28T14:25:00Z</dcterms:created>
  <dcterms:modified xsi:type="dcterms:W3CDTF">2017-09-28T14:25:00Z</dcterms:modified>
</cp:coreProperties>
</file>