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4F24AC">
            <w:pPr>
              <w:pStyle w:val="DocumentCodeAR"/>
              <w:bidi/>
              <w:rPr>
                <w:rtl/>
              </w:rPr>
            </w:pPr>
          </w:p>
        </w:tc>
      </w:tr>
      <w:tr w:rsidR="001667B6" w:rsidTr="00BF164F">
        <w:tc>
          <w:tcPr>
            <w:tcW w:w="9571" w:type="dxa"/>
            <w:gridSpan w:val="3"/>
          </w:tcPr>
          <w:p w:rsidR="001667B6" w:rsidRPr="00B6101C" w:rsidRDefault="00B6101C" w:rsidP="00365EE2">
            <w:pPr>
              <w:pStyle w:val="DocumentLanguageAR"/>
              <w:bidi/>
              <w:rPr>
                <w:rtl/>
              </w:rPr>
            </w:pPr>
            <w:r w:rsidRPr="00B6101C">
              <w:rPr>
                <w:rFonts w:hint="cs"/>
                <w:rtl/>
              </w:rPr>
              <w:t xml:space="preserve">الأصل: </w:t>
            </w:r>
            <w:r w:rsidR="00365EE2">
              <w:rPr>
                <w:rFonts w:hint="cs"/>
                <w:rtl/>
              </w:rPr>
              <w:t>بالإنكليزية</w:t>
            </w:r>
          </w:p>
        </w:tc>
      </w:tr>
      <w:tr w:rsidR="001667B6" w:rsidTr="00BF164F">
        <w:tc>
          <w:tcPr>
            <w:tcW w:w="9571" w:type="dxa"/>
            <w:gridSpan w:val="3"/>
          </w:tcPr>
          <w:p w:rsidR="001667B6" w:rsidRPr="00B6101C" w:rsidRDefault="00B6101C" w:rsidP="003C2A5E">
            <w:pPr>
              <w:pStyle w:val="DocumentDateAR"/>
              <w:bidi/>
              <w:rPr>
                <w:rtl/>
              </w:rPr>
            </w:pPr>
            <w:r w:rsidRPr="00B6101C">
              <w:rPr>
                <w:rFonts w:hint="cs"/>
                <w:rtl/>
              </w:rPr>
              <w:t xml:space="preserve">التاريخ: </w:t>
            </w:r>
            <w:r w:rsidR="0044720B">
              <w:rPr>
                <w:rFonts w:hint="cs"/>
                <w:rtl/>
              </w:rPr>
              <w:t xml:space="preserve">18 </w:t>
            </w:r>
            <w:r w:rsidR="00365EE2">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895F32">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4F24AC">
      <w:pPr>
        <w:pStyle w:val="MeetingSessionAR"/>
        <w:bidi/>
        <w:rPr>
          <w:rFonts w:ascii="Cambria Math" w:hAnsi="Cambria Math"/>
          <w:rtl/>
        </w:rPr>
      </w:pPr>
      <w:r>
        <w:rPr>
          <w:rFonts w:ascii="Cambria Math" w:hAnsi="Cambria Math"/>
          <w:rtl/>
        </w:rPr>
        <w:t>الدورة الثا</w:t>
      </w:r>
      <w:r>
        <w:rPr>
          <w:rFonts w:ascii="Cambria Math" w:hAnsi="Cambria Math" w:hint="cs"/>
          <w:rtl/>
        </w:rPr>
        <w:t>لثة</w:t>
      </w:r>
      <w:r w:rsidR="00F40476" w:rsidRPr="00F40476">
        <w:rPr>
          <w:rFonts w:ascii="Cambria Math" w:hAnsi="Cambria Math"/>
          <w:rtl/>
        </w:rPr>
        <w:t xml:space="preserve"> والثلاثون</w:t>
      </w:r>
    </w:p>
    <w:p w:rsidR="00D61541" w:rsidRPr="00D61541" w:rsidRDefault="00F40476" w:rsidP="004F24AC">
      <w:pPr>
        <w:pStyle w:val="MeetingDatesAR"/>
        <w:bidi/>
        <w:rPr>
          <w:rtl/>
        </w:rPr>
      </w:pPr>
      <w:r w:rsidRPr="00F40476">
        <w:rPr>
          <w:rtl/>
        </w:rPr>
        <w:t xml:space="preserve">جنيف، من </w:t>
      </w:r>
      <w:r w:rsidR="004F24AC">
        <w:rPr>
          <w:rFonts w:hint="cs"/>
          <w:rtl/>
        </w:rPr>
        <w:t>14</w:t>
      </w:r>
      <w:r w:rsidRPr="00F40476">
        <w:rPr>
          <w:rtl/>
        </w:rPr>
        <w:t xml:space="preserve"> إلى </w:t>
      </w:r>
      <w:r w:rsidR="004F24AC">
        <w:rPr>
          <w:rFonts w:hint="cs"/>
          <w:rtl/>
        </w:rPr>
        <w:t>18</w:t>
      </w:r>
      <w:r w:rsidRPr="00F40476">
        <w:rPr>
          <w:rtl/>
        </w:rPr>
        <w:t xml:space="preserve"> </w:t>
      </w:r>
      <w:r w:rsidR="004F24AC">
        <w:rPr>
          <w:rFonts w:hint="cs"/>
          <w:rtl/>
        </w:rPr>
        <w:t>نوفمبر</w:t>
      </w:r>
      <w:r w:rsidRPr="00F40476">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65EE2" w:rsidP="00FB7EC9">
      <w:pPr>
        <w:pStyle w:val="DocumentTitleAR"/>
        <w:bidi/>
        <w:rPr>
          <w:rtl/>
        </w:rPr>
      </w:pPr>
      <w:r>
        <w:rPr>
          <w:rFonts w:hint="cs"/>
          <w:rtl/>
        </w:rPr>
        <w:t>ملخص الرئيس</w:t>
      </w:r>
    </w:p>
    <w:p w:rsidR="00D61541" w:rsidRPr="00D61541" w:rsidRDefault="00D61541" w:rsidP="00931859">
      <w:pPr>
        <w:pStyle w:val="PreparedbyAR"/>
        <w:bidi/>
        <w:rPr>
          <w:rtl/>
        </w:rPr>
      </w:pPr>
    </w:p>
    <w:p w:rsidR="00365EE2" w:rsidRDefault="00365EE2">
      <w:pPr>
        <w:rPr>
          <w:rFonts w:ascii="Arabic Typesetting" w:hAnsi="Arabic Typesetting" w:cs="Arabic Typesetting"/>
          <w:sz w:val="36"/>
          <w:szCs w:val="36"/>
          <w:rtl/>
        </w:rPr>
      </w:pPr>
      <w:r>
        <w:rPr>
          <w:rtl/>
        </w:rPr>
        <w:br w:type="page"/>
      </w:r>
    </w:p>
    <w:p w:rsidR="00365EE2" w:rsidRPr="00CE6F0E" w:rsidRDefault="00365EE2" w:rsidP="00365EE2">
      <w:pPr>
        <w:pStyle w:val="NormalParaAR"/>
        <w:keepNext/>
        <w:rPr>
          <w:b/>
          <w:bCs/>
          <w:sz w:val="40"/>
          <w:szCs w:val="40"/>
          <w:rtl/>
        </w:rPr>
      </w:pPr>
      <w:r w:rsidRPr="00CE6F0E">
        <w:rPr>
          <w:rFonts w:hint="cs"/>
          <w:b/>
          <w:bCs/>
          <w:sz w:val="40"/>
          <w:szCs w:val="40"/>
          <w:rtl/>
        </w:rPr>
        <w:lastRenderedPageBreak/>
        <w:t>البند 1 من جدول الأعمال: افتتاح الدورة</w:t>
      </w:r>
    </w:p>
    <w:p w:rsidR="00365EE2" w:rsidRPr="00231CA3" w:rsidRDefault="00365EE2" w:rsidP="00895F32">
      <w:pPr>
        <w:pStyle w:val="NumberedParaAR"/>
      </w:pPr>
      <w:r w:rsidRPr="00231CA3">
        <w:rPr>
          <w:rFonts w:hint="cs"/>
          <w:rtl/>
        </w:rPr>
        <w:t>افتتح</w:t>
      </w:r>
      <w:r w:rsidR="00895F32">
        <w:rPr>
          <w:rFonts w:hint="cs"/>
          <w:rtl/>
        </w:rPr>
        <w:t>ت</w:t>
      </w:r>
      <w:r w:rsidRPr="00231CA3">
        <w:rPr>
          <w:rFonts w:hint="cs"/>
          <w:rtl/>
        </w:rPr>
        <w:t xml:space="preserve"> السيد</w:t>
      </w:r>
      <w:r w:rsidR="00895F32">
        <w:rPr>
          <w:rFonts w:hint="cs"/>
          <w:rtl/>
        </w:rPr>
        <w:t>ة</w:t>
      </w:r>
      <w:r w:rsidRPr="00231CA3">
        <w:rPr>
          <w:rFonts w:hint="cs"/>
          <w:rtl/>
        </w:rPr>
        <w:t xml:space="preserve"> </w:t>
      </w:r>
      <w:r w:rsidR="00895F32">
        <w:rPr>
          <w:rFonts w:hint="cs"/>
          <w:rtl/>
        </w:rPr>
        <w:t>سيلفي فوربان</w:t>
      </w:r>
      <w:r w:rsidRPr="00231CA3">
        <w:rPr>
          <w:rFonts w:hint="cs"/>
          <w:rtl/>
        </w:rPr>
        <w:t xml:space="preserve">، </w:t>
      </w:r>
      <w:r w:rsidR="00895F32">
        <w:rPr>
          <w:rFonts w:hint="cs"/>
          <w:rtl/>
        </w:rPr>
        <w:t xml:space="preserve">نائبة </w:t>
      </w:r>
      <w:r w:rsidRPr="00231CA3">
        <w:rPr>
          <w:rFonts w:hint="cs"/>
          <w:rtl/>
        </w:rPr>
        <w:t xml:space="preserve">المدير العام، الدورة </w:t>
      </w:r>
      <w:r w:rsidR="00895F32">
        <w:rPr>
          <w:rFonts w:hint="cs"/>
          <w:rtl/>
        </w:rPr>
        <w:t>الثالثة</w:t>
      </w:r>
      <w:r w:rsidRPr="00231CA3">
        <w:rPr>
          <w:rFonts w:hint="cs"/>
          <w:rtl/>
        </w:rPr>
        <w:t xml:space="preserve"> والثلاثين للجنة </w:t>
      </w:r>
      <w:r w:rsidRPr="00231CA3">
        <w:rPr>
          <w:rtl/>
        </w:rPr>
        <w:t>الدائمة المعنية بحق المؤلف والحقوق المجاورة</w:t>
      </w:r>
      <w:r w:rsidRPr="00231CA3">
        <w:rPr>
          <w:rFonts w:hint="cs"/>
          <w:rtl/>
        </w:rPr>
        <w:t xml:space="preserve"> (لجنة حق المؤلف أو اللجنة)، ورحب</w:t>
      </w:r>
      <w:r w:rsidR="00895F32">
        <w:rPr>
          <w:rFonts w:hint="cs"/>
          <w:rtl/>
        </w:rPr>
        <w:t>ت</w:t>
      </w:r>
      <w:r w:rsidRPr="00231CA3">
        <w:rPr>
          <w:rFonts w:hint="cs"/>
          <w:rtl/>
        </w:rPr>
        <w:t xml:space="preserve"> بالمشاركين. وتولت السيد ميشيل </w:t>
      </w:r>
      <w:proofErr w:type="spellStart"/>
      <w:r w:rsidRPr="00231CA3">
        <w:rPr>
          <w:rFonts w:hint="cs"/>
          <w:rtl/>
        </w:rPr>
        <w:t>وودز</w:t>
      </w:r>
      <w:proofErr w:type="spellEnd"/>
      <w:r w:rsidRPr="00231CA3">
        <w:rPr>
          <w:rFonts w:hint="cs"/>
          <w:rtl/>
        </w:rPr>
        <w:t xml:space="preserve"> (الويبو) مهمة أمين اللجنة.</w:t>
      </w:r>
    </w:p>
    <w:p w:rsidR="00365EE2" w:rsidRPr="0038159C" w:rsidRDefault="00365EE2" w:rsidP="00895F32">
      <w:pPr>
        <w:pStyle w:val="NormalParaAR"/>
        <w:keepNext/>
        <w:rPr>
          <w:b/>
          <w:bCs/>
          <w:sz w:val="40"/>
          <w:szCs w:val="40"/>
        </w:rPr>
      </w:pPr>
      <w:r w:rsidRPr="0038159C">
        <w:rPr>
          <w:rFonts w:hint="cs"/>
          <w:b/>
          <w:bCs/>
          <w:sz w:val="40"/>
          <w:szCs w:val="40"/>
          <w:rtl/>
        </w:rPr>
        <w:t xml:space="preserve">البند 2 من جدول الأعمال: اعتماد جدول أعمال الدورة </w:t>
      </w:r>
      <w:r w:rsidR="00895F32">
        <w:rPr>
          <w:rFonts w:hint="cs"/>
          <w:b/>
          <w:bCs/>
          <w:sz w:val="40"/>
          <w:szCs w:val="40"/>
          <w:rtl/>
        </w:rPr>
        <w:t>الثالثة</w:t>
      </w:r>
      <w:r w:rsidRPr="0038159C">
        <w:rPr>
          <w:rFonts w:hint="cs"/>
          <w:b/>
          <w:bCs/>
          <w:sz w:val="40"/>
          <w:szCs w:val="40"/>
          <w:rtl/>
        </w:rPr>
        <w:t xml:space="preserve"> والثلاثين</w:t>
      </w:r>
    </w:p>
    <w:p w:rsidR="00365EE2" w:rsidRPr="00231CA3" w:rsidRDefault="00365EE2" w:rsidP="00895F32">
      <w:pPr>
        <w:pStyle w:val="NumberedParaAR"/>
      </w:pPr>
      <w:r w:rsidRPr="00231CA3">
        <w:rPr>
          <w:rFonts w:hint="cs"/>
          <w:rtl/>
        </w:rPr>
        <w:t>اعتمدت اللجنة مشروع جدول الأعمال (الوثيقة</w:t>
      </w:r>
      <w:r w:rsidRPr="00231CA3">
        <w:rPr>
          <w:rFonts w:hint="eastAsia"/>
          <w:rtl/>
        </w:rPr>
        <w:t> </w:t>
      </w:r>
      <w:r w:rsidRPr="00231CA3">
        <w:t>SCCR/</w:t>
      </w:r>
      <w:r w:rsidR="00895F32">
        <w:t>33</w:t>
      </w:r>
      <w:r w:rsidRPr="00231CA3">
        <w:t>/1 PROV.</w:t>
      </w:r>
      <w:r w:rsidR="00895F32">
        <w:rPr>
          <w:rFonts w:hint="cs"/>
          <w:rtl/>
        </w:rPr>
        <w:t>).</w:t>
      </w:r>
    </w:p>
    <w:p w:rsidR="00365EE2" w:rsidRPr="0038159C" w:rsidRDefault="00365EE2" w:rsidP="00365EE2">
      <w:pPr>
        <w:pStyle w:val="NormalParaAR"/>
        <w:keepNext/>
        <w:rPr>
          <w:b/>
          <w:bCs/>
          <w:sz w:val="40"/>
          <w:szCs w:val="40"/>
        </w:rPr>
      </w:pPr>
      <w:r w:rsidRPr="0038159C">
        <w:rPr>
          <w:rFonts w:hint="cs"/>
          <w:b/>
          <w:bCs/>
          <w:sz w:val="40"/>
          <w:szCs w:val="40"/>
          <w:rtl/>
        </w:rPr>
        <w:t>البند 3 من جدول الأعمال: اعتماد منظمات غير حكومية جديدة</w:t>
      </w:r>
    </w:p>
    <w:p w:rsidR="00365EE2" w:rsidRPr="00EB053D" w:rsidRDefault="00365EE2" w:rsidP="008B4845">
      <w:pPr>
        <w:pStyle w:val="NumberedParaAR"/>
      </w:pPr>
      <w:r w:rsidRPr="00EB053D">
        <w:rPr>
          <w:rFonts w:hint="cs"/>
          <w:rtl/>
        </w:rPr>
        <w:t>وافقت اللجنة على من</w:t>
      </w:r>
      <w:r w:rsidR="00895F32">
        <w:rPr>
          <w:rFonts w:hint="cs"/>
          <w:rtl/>
        </w:rPr>
        <w:t>ح صفة المراقب في دوراتها للمنظمات</w:t>
      </w:r>
      <w:r w:rsidRPr="00EB053D">
        <w:rPr>
          <w:rFonts w:hint="cs"/>
          <w:rtl/>
        </w:rPr>
        <w:t xml:space="preserve"> غير الحكومية المشار إليها في مرفق</w:t>
      </w:r>
      <w:r w:rsidR="00895F32">
        <w:rPr>
          <w:rFonts w:hint="cs"/>
          <w:rtl/>
        </w:rPr>
        <w:t>ات</w:t>
      </w:r>
      <w:r w:rsidRPr="00EB053D">
        <w:rPr>
          <w:rFonts w:hint="cs"/>
          <w:rtl/>
        </w:rPr>
        <w:t xml:space="preserve"> الوثيقة</w:t>
      </w:r>
      <w:r w:rsidRPr="00EB053D">
        <w:rPr>
          <w:rFonts w:hint="eastAsia"/>
          <w:rtl/>
        </w:rPr>
        <w:t> </w:t>
      </w:r>
      <w:r w:rsidRPr="00EB053D">
        <w:t>SCCR/</w:t>
      </w:r>
      <w:r w:rsidR="00895F32">
        <w:t>33</w:t>
      </w:r>
      <w:r w:rsidRPr="00EB053D">
        <w:t>/2</w:t>
      </w:r>
      <w:r w:rsidRPr="00EB053D">
        <w:rPr>
          <w:rFonts w:hint="cs"/>
          <w:rtl/>
        </w:rPr>
        <w:t>، وهي</w:t>
      </w:r>
      <w:r w:rsidR="00895F32">
        <w:rPr>
          <w:rFonts w:hint="cs"/>
          <w:rtl/>
        </w:rPr>
        <w:t xml:space="preserve"> </w:t>
      </w:r>
      <w:r w:rsidR="00895F32" w:rsidRPr="00895F32">
        <w:rPr>
          <w:rtl/>
        </w:rPr>
        <w:t>الرابطات والمؤسسات الأفريقية للمكتبات ودوائر الإعلام</w:t>
      </w:r>
      <w:r w:rsidR="00895F32">
        <w:rPr>
          <w:rFonts w:hint="cs"/>
          <w:rtl/>
        </w:rPr>
        <w:t xml:space="preserve"> (</w:t>
      </w:r>
      <w:proofErr w:type="spellStart"/>
      <w:r w:rsidR="00895F32" w:rsidRPr="00895F32">
        <w:t>AfLIA</w:t>
      </w:r>
      <w:proofErr w:type="spellEnd"/>
      <w:r w:rsidR="00895F32">
        <w:rPr>
          <w:rFonts w:hint="cs"/>
          <w:rtl/>
        </w:rPr>
        <w:t>)، و</w:t>
      </w:r>
      <w:r w:rsidR="00895F32" w:rsidRPr="00895F32">
        <w:rPr>
          <w:rtl/>
        </w:rPr>
        <w:t>الاتحاد الكندي لرابطات المكتبات</w:t>
      </w:r>
      <w:r w:rsidR="00895F32">
        <w:rPr>
          <w:rFonts w:hint="cs"/>
          <w:rtl/>
        </w:rPr>
        <w:t xml:space="preserve"> (</w:t>
      </w:r>
      <w:r w:rsidR="00895F32" w:rsidRPr="00895F32">
        <w:t>CFLA</w:t>
      </w:r>
      <w:r w:rsidR="00895F32">
        <w:rPr>
          <w:rFonts w:hint="cs"/>
          <w:rtl/>
        </w:rPr>
        <w:t>)، و</w:t>
      </w:r>
      <w:r w:rsidR="00895F32" w:rsidRPr="00895F32">
        <w:rPr>
          <w:rtl/>
        </w:rPr>
        <w:t>رابطة الجامعات الأوروبية</w:t>
      </w:r>
      <w:r w:rsidR="00895F32">
        <w:rPr>
          <w:rFonts w:hint="cs"/>
          <w:rtl/>
        </w:rPr>
        <w:t xml:space="preserve"> (</w:t>
      </w:r>
      <w:r w:rsidR="00895F32" w:rsidRPr="00895F32">
        <w:t>EUA</w:t>
      </w:r>
      <w:r w:rsidR="00895F32">
        <w:rPr>
          <w:rFonts w:hint="cs"/>
          <w:rtl/>
        </w:rPr>
        <w:t>)، و</w:t>
      </w:r>
      <w:r w:rsidR="00895F32" w:rsidRPr="00895F32">
        <w:rPr>
          <w:rtl/>
        </w:rPr>
        <w:t>اتحاد الموسيقيين الشركاء</w:t>
      </w:r>
      <w:r w:rsidR="00895F32">
        <w:rPr>
          <w:rFonts w:hint="cs"/>
          <w:rtl/>
        </w:rPr>
        <w:t xml:space="preserve"> (</w:t>
      </w:r>
      <w:r w:rsidR="00895F32" w:rsidRPr="00895F32">
        <w:t>FEMA</w:t>
      </w:r>
      <w:r w:rsidR="00895F32">
        <w:rPr>
          <w:rFonts w:hint="cs"/>
          <w:rtl/>
        </w:rPr>
        <w:t>)، و</w:t>
      </w:r>
      <w:r w:rsidR="00895F32" w:rsidRPr="00895F32">
        <w:rPr>
          <w:rtl/>
        </w:rPr>
        <w:t>المكتبة الوطنية للسويد</w:t>
      </w:r>
      <w:r w:rsidR="008B4845">
        <w:rPr>
          <w:rFonts w:hint="cs"/>
          <w:rtl/>
        </w:rPr>
        <w:t xml:space="preserve"> (</w:t>
      </w:r>
      <w:r w:rsidR="008B4845" w:rsidRPr="008B4845">
        <w:t>NLS</w:t>
      </w:r>
      <w:r w:rsidR="008B4845">
        <w:rPr>
          <w:rFonts w:hint="cs"/>
          <w:rtl/>
        </w:rPr>
        <w:t>)</w:t>
      </w:r>
      <w:r w:rsidRPr="00EB053D">
        <w:rPr>
          <w:rFonts w:hint="cs"/>
          <w:rtl/>
        </w:rPr>
        <w:t>.</w:t>
      </w:r>
    </w:p>
    <w:p w:rsidR="00365EE2" w:rsidRPr="0038159C" w:rsidRDefault="00365EE2" w:rsidP="008B4845">
      <w:pPr>
        <w:pStyle w:val="NormalParaAR"/>
        <w:keepNext/>
        <w:rPr>
          <w:b/>
          <w:bCs/>
          <w:sz w:val="40"/>
          <w:szCs w:val="40"/>
          <w:rtl/>
        </w:rPr>
      </w:pPr>
      <w:r w:rsidRPr="0038159C">
        <w:rPr>
          <w:rFonts w:hint="cs"/>
          <w:b/>
          <w:bCs/>
          <w:sz w:val="40"/>
          <w:szCs w:val="40"/>
          <w:rtl/>
        </w:rPr>
        <w:t>البند 4 من جدول الأعمال: اعتماد</w:t>
      </w:r>
      <w:r w:rsidR="008B4845">
        <w:rPr>
          <w:rFonts w:hint="cs"/>
          <w:b/>
          <w:bCs/>
          <w:sz w:val="40"/>
          <w:szCs w:val="40"/>
          <w:rtl/>
        </w:rPr>
        <w:t xml:space="preserve"> مشروع</w:t>
      </w:r>
      <w:r w:rsidRPr="0038159C">
        <w:rPr>
          <w:rFonts w:hint="cs"/>
          <w:b/>
          <w:bCs/>
          <w:sz w:val="40"/>
          <w:szCs w:val="40"/>
          <w:rtl/>
        </w:rPr>
        <w:t xml:space="preserve"> </w:t>
      </w:r>
      <w:r>
        <w:rPr>
          <w:rFonts w:hint="cs"/>
          <w:b/>
          <w:bCs/>
          <w:sz w:val="40"/>
          <w:szCs w:val="40"/>
          <w:rtl/>
        </w:rPr>
        <w:t xml:space="preserve">تقرير الدورة </w:t>
      </w:r>
      <w:r w:rsidR="008B4845">
        <w:rPr>
          <w:rFonts w:hint="cs"/>
          <w:b/>
          <w:bCs/>
          <w:sz w:val="40"/>
          <w:szCs w:val="40"/>
          <w:rtl/>
        </w:rPr>
        <w:t>الثانية</w:t>
      </w:r>
      <w:r>
        <w:rPr>
          <w:rFonts w:hint="cs"/>
          <w:b/>
          <w:bCs/>
          <w:sz w:val="40"/>
          <w:szCs w:val="40"/>
          <w:rtl/>
        </w:rPr>
        <w:t xml:space="preserve"> و</w:t>
      </w:r>
      <w:r w:rsidRPr="0038159C">
        <w:rPr>
          <w:rFonts w:hint="cs"/>
          <w:b/>
          <w:bCs/>
          <w:sz w:val="40"/>
          <w:szCs w:val="40"/>
          <w:rtl/>
        </w:rPr>
        <w:t>الثلاثين</w:t>
      </w:r>
    </w:p>
    <w:p w:rsidR="00365EE2" w:rsidRPr="00EB053D" w:rsidRDefault="00365EE2" w:rsidP="008B4845">
      <w:pPr>
        <w:pStyle w:val="NumberedParaAR"/>
      </w:pPr>
      <w:r w:rsidRPr="00EB053D">
        <w:rPr>
          <w:rFonts w:hint="cs"/>
          <w:rtl/>
        </w:rPr>
        <w:t xml:space="preserve">اعتمدت اللجنة مشروع تقرير دورتها </w:t>
      </w:r>
      <w:r w:rsidR="008B4845">
        <w:rPr>
          <w:rFonts w:hint="cs"/>
          <w:rtl/>
        </w:rPr>
        <w:t>الثانية</w:t>
      </w:r>
      <w:r w:rsidRPr="00EB053D">
        <w:rPr>
          <w:rFonts w:hint="cs"/>
          <w:rtl/>
        </w:rPr>
        <w:t xml:space="preserve"> والثلاثين (الوثيقة</w:t>
      </w:r>
      <w:r w:rsidRPr="00EB053D">
        <w:rPr>
          <w:rFonts w:hint="eastAsia"/>
          <w:rtl/>
        </w:rPr>
        <w:t> </w:t>
      </w:r>
      <w:r w:rsidRPr="00EB053D">
        <w:t>SCCR/</w:t>
      </w:r>
      <w:r w:rsidR="008B4845">
        <w:t>32</w:t>
      </w:r>
      <w:r w:rsidRPr="00EB053D">
        <w:t>/</w:t>
      </w:r>
      <w:r w:rsidR="008B4845">
        <w:t>5</w:t>
      </w:r>
      <w:r w:rsidRPr="00EB053D">
        <w:rPr>
          <w:rFonts w:hint="cs"/>
          <w:rtl/>
        </w:rPr>
        <w:t xml:space="preserve">) بالصيغة المقترحة. ودُعيت الوفود والجهات المراقبة إلى إرسال أية تعليقات بشأن بياناتها إلى الأمانة على العنوان الإلكتروني التالي: </w:t>
      </w:r>
      <w:hyperlink r:id="rId9" w:history="1">
        <w:r w:rsidRPr="00EB053D">
          <w:rPr>
            <w:rStyle w:val="Hyperlink"/>
          </w:rPr>
          <w:t>copyright.mail@wipo.int</w:t>
        </w:r>
      </w:hyperlink>
      <w:r w:rsidRPr="00EB053D">
        <w:rPr>
          <w:rFonts w:hint="cs"/>
          <w:rtl/>
        </w:rPr>
        <w:t>، وذلك في موعد أقصاه 15</w:t>
      </w:r>
      <w:r w:rsidRPr="00EB053D">
        <w:rPr>
          <w:rFonts w:hint="eastAsia"/>
          <w:rtl/>
        </w:rPr>
        <w:t> </w:t>
      </w:r>
      <w:r w:rsidR="008B4845">
        <w:rPr>
          <w:rFonts w:hint="cs"/>
          <w:rtl/>
        </w:rPr>
        <w:t>ديسمبر</w:t>
      </w:r>
      <w:r w:rsidRPr="00EB053D">
        <w:rPr>
          <w:rFonts w:hint="eastAsia"/>
          <w:rtl/>
        </w:rPr>
        <w:t> </w:t>
      </w:r>
      <w:r w:rsidRPr="00EB053D">
        <w:rPr>
          <w:rFonts w:hint="cs"/>
          <w:rtl/>
        </w:rPr>
        <w:t>2016.</w:t>
      </w:r>
    </w:p>
    <w:p w:rsidR="00365EE2" w:rsidRPr="0038159C" w:rsidRDefault="00365EE2" w:rsidP="00365EE2">
      <w:pPr>
        <w:pStyle w:val="NormalParaAR"/>
        <w:keepNext/>
        <w:rPr>
          <w:b/>
          <w:bCs/>
          <w:sz w:val="40"/>
          <w:szCs w:val="40"/>
          <w:rtl/>
        </w:rPr>
      </w:pPr>
      <w:r w:rsidRPr="0038159C">
        <w:rPr>
          <w:rFonts w:hint="cs"/>
          <w:b/>
          <w:bCs/>
          <w:sz w:val="40"/>
          <w:szCs w:val="40"/>
          <w:rtl/>
        </w:rPr>
        <w:t>البند 5 من جدول الأعمال: حماية هيئات البث</w:t>
      </w:r>
    </w:p>
    <w:p w:rsidR="00365EE2" w:rsidRPr="000F0A19" w:rsidRDefault="00365EE2" w:rsidP="00B95B60">
      <w:pPr>
        <w:pStyle w:val="NumberedParaAR"/>
      </w:pPr>
      <w:r w:rsidRPr="000F0A19">
        <w:rPr>
          <w:rFonts w:hint="cs"/>
          <w:rtl/>
        </w:rPr>
        <w:t xml:space="preserve">الوثائق المتعلقة بهذا البند من جدول الأعمال هي </w:t>
      </w:r>
      <w:r w:rsidRPr="000F0A19">
        <w:t>SCCR/27/2 REV.</w:t>
      </w:r>
      <w:r w:rsidRPr="000F0A19">
        <w:rPr>
          <w:rFonts w:hint="cs"/>
          <w:rtl/>
        </w:rPr>
        <w:t xml:space="preserve"> و</w:t>
      </w:r>
      <w:r w:rsidRPr="000F0A19">
        <w:t xml:space="preserve"> SCCR/27/6</w:t>
      </w:r>
      <w:r w:rsidRPr="000F0A19">
        <w:rPr>
          <w:rFonts w:hint="cs"/>
          <w:rtl/>
        </w:rPr>
        <w:t>و</w:t>
      </w:r>
      <w:r w:rsidRPr="000F0A19">
        <w:t>SCCR/30/5</w:t>
      </w:r>
      <w:r w:rsidRPr="000F0A19">
        <w:rPr>
          <w:rFonts w:hint="cs"/>
          <w:rtl/>
        </w:rPr>
        <w:t xml:space="preserve"> و</w:t>
      </w:r>
      <w:r w:rsidRPr="000F0A19">
        <w:t>SCCR/31/3</w:t>
      </w:r>
      <w:r>
        <w:rPr>
          <w:rFonts w:hint="cs"/>
          <w:rtl/>
        </w:rPr>
        <w:t xml:space="preserve"> و</w:t>
      </w:r>
      <w:r w:rsidRPr="00F26213">
        <w:t>SCCR/32/3</w:t>
      </w:r>
      <w:r w:rsidR="00B95B60">
        <w:rPr>
          <w:rFonts w:hint="cs"/>
          <w:rtl/>
        </w:rPr>
        <w:t xml:space="preserve"> و</w:t>
      </w:r>
      <w:r w:rsidR="00B95B60" w:rsidRPr="00B95B60">
        <w:t>SCCR/33/3</w:t>
      </w:r>
      <w:r w:rsidR="00B95B60">
        <w:rPr>
          <w:rFonts w:hint="cs"/>
          <w:rtl/>
        </w:rPr>
        <w:t xml:space="preserve"> و</w:t>
      </w:r>
      <w:r w:rsidR="00B95B60" w:rsidRPr="00B95B60">
        <w:t>SCCR/33/5</w:t>
      </w:r>
      <w:r w:rsidRPr="000F0A19">
        <w:rPr>
          <w:rFonts w:hint="cs"/>
          <w:rtl/>
        </w:rPr>
        <w:t>، فضلا عن الرسوم البيانية وورقات العمل غير الرسمية التي أعدها الرئيس.</w:t>
      </w:r>
    </w:p>
    <w:p w:rsidR="00365EE2" w:rsidRDefault="00365EE2" w:rsidP="009A67BD">
      <w:pPr>
        <w:pStyle w:val="NumberedParaAR"/>
      </w:pPr>
      <w:r w:rsidRPr="00305199">
        <w:rPr>
          <w:rFonts w:hint="cs"/>
          <w:rtl/>
        </w:rPr>
        <w:t>ورحبت اللجنة بعرض الوثيقة</w:t>
      </w:r>
      <w:r w:rsidRPr="00305199">
        <w:rPr>
          <w:rFonts w:hint="eastAsia"/>
          <w:rtl/>
        </w:rPr>
        <w:t> </w:t>
      </w:r>
      <w:r w:rsidRPr="00305199">
        <w:t>SCCR/</w:t>
      </w:r>
      <w:r w:rsidR="009A67BD">
        <w:t>33</w:t>
      </w:r>
      <w:r w:rsidRPr="00305199">
        <w:t>/3</w:t>
      </w:r>
      <w:r w:rsidRPr="00305199">
        <w:rPr>
          <w:rFonts w:hint="cs"/>
          <w:rtl/>
        </w:rPr>
        <w:t xml:space="preserve"> التي أعدها الرئيس بعنوان </w:t>
      </w:r>
      <w:r w:rsidR="009A67BD" w:rsidRPr="009A67BD">
        <w:rPr>
          <w:i/>
          <w:iCs/>
          <w:rtl/>
        </w:rPr>
        <w:t>نص موحد ومراجَع بشأن التعاريف وموضوع الحماية والحقوق المزمع منحها</w:t>
      </w:r>
      <w:r w:rsidRPr="00305199">
        <w:rPr>
          <w:rFonts w:hint="cs"/>
          <w:rtl/>
        </w:rPr>
        <w:t>، ونظرت فيها</w:t>
      </w:r>
      <w:r w:rsidR="009A67BD">
        <w:rPr>
          <w:rFonts w:hint="cs"/>
          <w:rtl/>
        </w:rPr>
        <w:t>، و</w:t>
      </w:r>
      <w:r w:rsidR="00D178DD">
        <w:rPr>
          <w:rFonts w:hint="cs"/>
          <w:rtl/>
        </w:rPr>
        <w:t>أحاطت علما ب</w:t>
      </w:r>
      <w:r w:rsidR="009A67BD">
        <w:rPr>
          <w:rFonts w:hint="cs"/>
          <w:rtl/>
        </w:rPr>
        <w:t>الوثيقة</w:t>
      </w:r>
      <w:r w:rsidR="009A67BD">
        <w:rPr>
          <w:rFonts w:hint="eastAsia"/>
          <w:rtl/>
        </w:rPr>
        <w:t> </w:t>
      </w:r>
      <w:r w:rsidR="009A67BD" w:rsidRPr="009A67BD">
        <w:rPr>
          <w:lang w:val="en-GB"/>
        </w:rPr>
        <w:t>SCCR/33/5</w:t>
      </w:r>
      <w:r w:rsidR="009A67BD">
        <w:rPr>
          <w:rFonts w:hint="cs"/>
          <w:rtl/>
          <w:lang w:val="en-GB"/>
        </w:rPr>
        <w:t xml:space="preserve"> </w:t>
      </w:r>
      <w:proofErr w:type="spellStart"/>
      <w:r w:rsidR="009A67BD">
        <w:rPr>
          <w:rFonts w:hint="cs"/>
          <w:rtl/>
          <w:lang w:val="en-GB"/>
        </w:rPr>
        <w:t>المُعنونة</w:t>
      </w:r>
      <w:proofErr w:type="spellEnd"/>
      <w:r w:rsidR="009A67BD">
        <w:rPr>
          <w:rFonts w:hint="cs"/>
          <w:rtl/>
          <w:lang w:val="en-GB"/>
        </w:rPr>
        <w:t xml:space="preserve"> </w:t>
      </w:r>
      <w:r w:rsidR="009A67BD" w:rsidRPr="009A67BD">
        <w:rPr>
          <w:i/>
          <w:iCs/>
          <w:rtl/>
          <w:lang w:val="en-GB"/>
        </w:rPr>
        <w:t>تعليقات على مشروع معاهدة حماية هيئات البث</w:t>
      </w:r>
      <w:r w:rsidR="009A67BD">
        <w:rPr>
          <w:rFonts w:hint="cs"/>
          <w:rtl/>
          <w:lang w:val="en-GB"/>
        </w:rPr>
        <w:t xml:space="preserve"> والمُقدمة من وفود الأرجنتين وكولومبيا والمكسيك</w:t>
      </w:r>
      <w:r w:rsidRPr="00305199">
        <w:rPr>
          <w:rFonts w:hint="cs"/>
          <w:rtl/>
        </w:rPr>
        <w:t>.</w:t>
      </w:r>
    </w:p>
    <w:p w:rsidR="009A67BD" w:rsidRPr="00305199" w:rsidRDefault="00F87820" w:rsidP="00AD1F4D">
      <w:pPr>
        <w:pStyle w:val="NumberedParaAR"/>
      </w:pPr>
      <w:r>
        <w:rPr>
          <w:rFonts w:hint="cs"/>
          <w:rtl/>
        </w:rPr>
        <w:t>وقدم الرئيس إلى اللجنة المواضيع</w:t>
      </w:r>
      <w:r w:rsidR="009A67BD">
        <w:rPr>
          <w:rFonts w:hint="cs"/>
          <w:rtl/>
        </w:rPr>
        <w:t xml:space="preserve"> الواردة في الرسم البياني غير الرسمي بشأن "</w:t>
      </w:r>
      <w:r w:rsidR="00AD1F4D">
        <w:rPr>
          <w:rFonts w:hint="cs"/>
          <w:rtl/>
        </w:rPr>
        <w:t>القضايا ال</w:t>
      </w:r>
      <w:r w:rsidR="009A67BD">
        <w:rPr>
          <w:rFonts w:hint="cs"/>
          <w:rtl/>
        </w:rPr>
        <w:t>أخرى"، لا</w:t>
      </w:r>
      <w:r w:rsidR="00AD1F4D">
        <w:rPr>
          <w:rFonts w:hint="eastAsia"/>
          <w:rtl/>
        </w:rPr>
        <w:t> </w:t>
      </w:r>
      <w:r w:rsidR="00AD1F4D">
        <w:rPr>
          <w:rFonts w:hint="cs"/>
          <w:rtl/>
        </w:rPr>
        <w:t>سيما المستفيد</w:t>
      </w:r>
      <w:r w:rsidR="008B7C8B">
        <w:rPr>
          <w:rFonts w:hint="cs"/>
          <w:rtl/>
        </w:rPr>
        <w:t>ي</w:t>
      </w:r>
      <w:r w:rsidR="009A67BD">
        <w:rPr>
          <w:rFonts w:hint="cs"/>
          <w:rtl/>
        </w:rPr>
        <w:t xml:space="preserve">ن، ومدة الحماية، </w:t>
      </w:r>
      <w:r w:rsidR="00AD1F4D">
        <w:rPr>
          <w:rFonts w:hint="cs"/>
          <w:rtl/>
        </w:rPr>
        <w:t>والتقييدات والاستثناءات، وتدابير الحماية التكنولوجية، و</w:t>
      </w:r>
      <w:r w:rsidR="008B7C8B">
        <w:rPr>
          <w:rFonts w:hint="cs"/>
          <w:rtl/>
        </w:rPr>
        <w:t>ال</w:t>
      </w:r>
      <w:r w:rsidR="00AD1F4D">
        <w:rPr>
          <w:rFonts w:hint="cs"/>
          <w:rtl/>
        </w:rPr>
        <w:t xml:space="preserve">معلومات </w:t>
      </w:r>
      <w:r w:rsidR="008B7C8B">
        <w:rPr>
          <w:rFonts w:hint="cs"/>
          <w:rtl/>
        </w:rPr>
        <w:t>الخاصة ب</w:t>
      </w:r>
      <w:r w:rsidR="00AD1F4D">
        <w:rPr>
          <w:rFonts w:hint="cs"/>
          <w:rtl/>
        </w:rPr>
        <w:t>إدارة الحقوق.</w:t>
      </w:r>
    </w:p>
    <w:p w:rsidR="00365EE2" w:rsidRDefault="00365EE2" w:rsidP="00AD1F4D">
      <w:pPr>
        <w:pStyle w:val="NumberedParaAR"/>
      </w:pPr>
      <w:r w:rsidRPr="006B52C9">
        <w:rPr>
          <w:rFonts w:hint="cs"/>
          <w:rtl/>
        </w:rPr>
        <w:t xml:space="preserve">والتمست بعض الوفود المزيد من التوضيح </w:t>
      </w:r>
      <w:r w:rsidR="00AD1F4D">
        <w:rPr>
          <w:rFonts w:hint="cs"/>
          <w:rtl/>
        </w:rPr>
        <w:t>وتبادلت وجهات نظرها بخصوص الوثيقة</w:t>
      </w:r>
      <w:r w:rsidR="00AD1F4D">
        <w:rPr>
          <w:rFonts w:hint="eastAsia"/>
          <w:rtl/>
        </w:rPr>
        <w:t> </w:t>
      </w:r>
      <w:r w:rsidR="009A67BD" w:rsidRPr="00AD1F4D">
        <w:rPr>
          <w:lang w:val="en-GB"/>
        </w:rPr>
        <w:t>SCCR/33/5</w:t>
      </w:r>
      <w:r w:rsidRPr="006B52C9">
        <w:rPr>
          <w:rFonts w:hint="cs"/>
          <w:rtl/>
        </w:rPr>
        <w:t>.</w:t>
      </w:r>
    </w:p>
    <w:p w:rsidR="00C63B6C" w:rsidRPr="006B52C9" w:rsidRDefault="00C63B6C" w:rsidP="00C63B6C">
      <w:pPr>
        <w:pStyle w:val="NumberedParaAR"/>
      </w:pPr>
      <w:r>
        <w:rPr>
          <w:rFonts w:hint="cs"/>
          <w:rtl/>
        </w:rPr>
        <w:t>وأجريت المناقشات المستندة إلى الوثيقة</w:t>
      </w:r>
      <w:r>
        <w:rPr>
          <w:rFonts w:hint="eastAsia"/>
          <w:rtl/>
        </w:rPr>
        <w:t> </w:t>
      </w:r>
      <w:r w:rsidRPr="00C63B6C">
        <w:t>SCCR/33/3</w:t>
      </w:r>
      <w:r>
        <w:rPr>
          <w:rFonts w:hint="cs"/>
          <w:rtl/>
        </w:rPr>
        <w:t xml:space="preserve"> في جلسات غير رسمية عقدتها اللجنة. وقُدمت اقتراحات نصية أثناء تلك الجلسات ب</w:t>
      </w:r>
      <w:r w:rsidR="00504E96">
        <w:rPr>
          <w:rFonts w:hint="cs"/>
          <w:rtl/>
        </w:rPr>
        <w:t>غرض التوصل إلى فهم مشترك ل</w:t>
      </w:r>
      <w:r>
        <w:rPr>
          <w:rFonts w:hint="cs"/>
          <w:rtl/>
        </w:rPr>
        <w:t>لتعاريف وموضوع الحماية والحقوق المزمع منحها.</w:t>
      </w:r>
    </w:p>
    <w:p w:rsidR="00365EE2" w:rsidRPr="00783E96" w:rsidRDefault="00365EE2" w:rsidP="006C54BD">
      <w:pPr>
        <w:pStyle w:val="NumberedParaAR"/>
      </w:pPr>
      <w:r w:rsidRPr="00783E96">
        <w:rPr>
          <w:rFonts w:hint="cs"/>
          <w:rtl/>
        </w:rPr>
        <w:t xml:space="preserve">وقرّرت اللجنة مواصلة المناقشات حول </w:t>
      </w:r>
      <w:r>
        <w:rPr>
          <w:rFonts w:hint="cs"/>
          <w:rtl/>
        </w:rPr>
        <w:t>نسخة</w:t>
      </w:r>
      <w:r w:rsidRPr="00783E96">
        <w:rPr>
          <w:rFonts w:hint="cs"/>
          <w:rtl/>
        </w:rPr>
        <w:t xml:space="preserve"> مراجَعة </w:t>
      </w:r>
      <w:r>
        <w:rPr>
          <w:rFonts w:hint="cs"/>
          <w:rtl/>
        </w:rPr>
        <w:t xml:space="preserve">من </w:t>
      </w:r>
      <w:r w:rsidR="006C54BD" w:rsidRPr="006C54BD">
        <w:rPr>
          <w:rFonts w:hint="cs"/>
          <w:rtl/>
        </w:rPr>
        <w:t>الوثيقة</w:t>
      </w:r>
      <w:r w:rsidR="006C54BD" w:rsidRPr="006C54BD">
        <w:rPr>
          <w:rFonts w:hint="eastAsia"/>
          <w:rtl/>
        </w:rPr>
        <w:t> </w:t>
      </w:r>
      <w:r w:rsidR="006C54BD" w:rsidRPr="006C54BD">
        <w:t>SCCR/33/3</w:t>
      </w:r>
      <w:r>
        <w:rPr>
          <w:rFonts w:hint="cs"/>
          <w:rtl/>
        </w:rPr>
        <w:t xml:space="preserve"> </w:t>
      </w:r>
      <w:r w:rsidRPr="00783E96">
        <w:rPr>
          <w:rFonts w:hint="cs"/>
          <w:rtl/>
        </w:rPr>
        <w:t>سيعدها الر</w:t>
      </w:r>
      <w:r w:rsidR="006C54BD">
        <w:rPr>
          <w:rFonts w:hint="cs"/>
          <w:rtl/>
        </w:rPr>
        <w:t xml:space="preserve">ئيس لأغراض الدورة القادمة للجنة ويراعي فيها الاقتراحات النصية والتوضيحات المُقدمة خلال الدورة فيما يخص التعاريف وموضوع الحماية والحقوق المزمع منحها، </w:t>
      </w:r>
      <w:r w:rsidR="00163EB6">
        <w:rPr>
          <w:rFonts w:hint="cs"/>
          <w:rtl/>
        </w:rPr>
        <w:t xml:space="preserve">فضلا عن القضايا الأخرى المذكورة في رسم الرئيس البياني، </w:t>
      </w:r>
      <w:r w:rsidR="006C54BD">
        <w:rPr>
          <w:rFonts w:hint="cs"/>
          <w:rtl/>
        </w:rPr>
        <w:t>وذلك بهدف التوصل إلى توافق الآراء اللازم للدعوة إلى عقد مؤتمر دبلوماسي بشأن حماية هيئات البث.</w:t>
      </w:r>
    </w:p>
    <w:p w:rsidR="00365EE2" w:rsidRPr="00783E96" w:rsidRDefault="00365EE2" w:rsidP="006C54BD">
      <w:pPr>
        <w:pStyle w:val="NumberedParaAR"/>
      </w:pPr>
      <w:r w:rsidRPr="00783E96">
        <w:rPr>
          <w:rFonts w:hint="cs"/>
          <w:rtl/>
        </w:rPr>
        <w:t xml:space="preserve">وسيظل هذا البند مدرجا في جدول أعمال الدورة </w:t>
      </w:r>
      <w:r w:rsidR="006C54BD">
        <w:rPr>
          <w:rFonts w:hint="cs"/>
          <w:rtl/>
        </w:rPr>
        <w:t>الرابعة</w:t>
      </w:r>
      <w:r w:rsidRPr="00783E96">
        <w:rPr>
          <w:rFonts w:hint="cs"/>
          <w:rtl/>
        </w:rPr>
        <w:t xml:space="preserve"> والثلاثين للجنة.</w:t>
      </w:r>
    </w:p>
    <w:p w:rsidR="00365EE2" w:rsidRPr="0038159C" w:rsidRDefault="00365EE2" w:rsidP="00365EE2">
      <w:pPr>
        <w:pStyle w:val="NormalParaAR"/>
        <w:keepNext/>
        <w:rPr>
          <w:b/>
          <w:bCs/>
          <w:sz w:val="40"/>
          <w:szCs w:val="40"/>
          <w:rtl/>
        </w:rPr>
      </w:pPr>
      <w:r w:rsidRPr="0038159C">
        <w:rPr>
          <w:rFonts w:hint="cs"/>
          <w:b/>
          <w:bCs/>
          <w:sz w:val="40"/>
          <w:szCs w:val="40"/>
          <w:rtl/>
        </w:rPr>
        <w:t>البند 6 من جدول الأعمال: التقييدات والاستثناءات لفائدة المكتبات ودور المحفوظات</w:t>
      </w:r>
    </w:p>
    <w:p w:rsidR="00365EE2" w:rsidRPr="00882800" w:rsidRDefault="00365EE2" w:rsidP="0038679D">
      <w:pPr>
        <w:pStyle w:val="NumberedParaAR"/>
      </w:pPr>
      <w:r w:rsidRPr="00882800">
        <w:rPr>
          <w:rFonts w:hint="cs"/>
          <w:rtl/>
        </w:rPr>
        <w:t>الوثائق المتعلقة بهذا البند من جدول الأعمال هي</w:t>
      </w:r>
      <w:r w:rsidR="00B503A2">
        <w:rPr>
          <w:rFonts w:hint="eastAsia"/>
          <w:rtl/>
        </w:rPr>
        <w:t> </w:t>
      </w:r>
      <w:r w:rsidRPr="00882800">
        <w:t>SCCR/26/3</w:t>
      </w:r>
      <w:r w:rsidRPr="00882800">
        <w:rPr>
          <w:rFonts w:hint="cs"/>
          <w:rtl/>
        </w:rPr>
        <w:t xml:space="preserve"> و</w:t>
      </w:r>
      <w:r w:rsidRPr="00882800">
        <w:t>SCCR/26/8</w:t>
      </w:r>
      <w:r w:rsidRPr="00882800">
        <w:rPr>
          <w:rFonts w:hint="cs"/>
          <w:rtl/>
        </w:rPr>
        <w:t xml:space="preserve"> و</w:t>
      </w:r>
      <w:r w:rsidRPr="00882800">
        <w:t>SCCR/29/</w:t>
      </w:r>
      <w:r w:rsidR="0038679D">
        <w:t>4</w:t>
      </w:r>
      <w:r w:rsidRPr="00882800">
        <w:rPr>
          <w:rFonts w:hint="cs"/>
          <w:rtl/>
        </w:rPr>
        <w:t xml:space="preserve"> و</w:t>
      </w:r>
      <w:r w:rsidRPr="00882800">
        <w:t>SCCR/30/2</w:t>
      </w:r>
      <w:r w:rsidRPr="00882800">
        <w:rPr>
          <w:rFonts w:hint="cs"/>
          <w:rtl/>
        </w:rPr>
        <w:t xml:space="preserve"> و</w:t>
      </w:r>
      <w:r w:rsidRPr="00882800">
        <w:t>SCCR/30/3</w:t>
      </w:r>
      <w:r w:rsidR="00B503A2">
        <w:rPr>
          <w:rFonts w:hint="cs"/>
          <w:rtl/>
        </w:rPr>
        <w:t xml:space="preserve"> </w:t>
      </w:r>
      <w:r w:rsidR="00B503A2" w:rsidRPr="00882800">
        <w:rPr>
          <w:rFonts w:hint="cs"/>
          <w:rtl/>
        </w:rPr>
        <w:t>و</w:t>
      </w:r>
      <w:r w:rsidR="00B503A2" w:rsidRPr="00882800">
        <w:t>SCCR/</w:t>
      </w:r>
      <w:r w:rsidR="00B503A2">
        <w:t>33</w:t>
      </w:r>
      <w:r w:rsidR="00B503A2" w:rsidRPr="00882800">
        <w:t>/</w:t>
      </w:r>
      <w:r w:rsidR="00B503A2">
        <w:t>4</w:t>
      </w:r>
      <w:r w:rsidRPr="00882800">
        <w:rPr>
          <w:rFonts w:hint="cs"/>
          <w:rtl/>
        </w:rPr>
        <w:t>، فضلا عن رسم بياني غير رسمي أعده الرئيس.</w:t>
      </w:r>
    </w:p>
    <w:p w:rsidR="00365EE2" w:rsidRPr="00322B2A" w:rsidRDefault="00365EE2" w:rsidP="00365EE2">
      <w:pPr>
        <w:pStyle w:val="NumberedParaAR"/>
      </w:pPr>
      <w:r w:rsidRPr="00322B2A">
        <w:rPr>
          <w:rFonts w:hint="cs"/>
          <w:rtl/>
        </w:rPr>
        <w:t xml:space="preserve">واستندت المناقشات إلى الرسم البياني </w:t>
      </w:r>
      <w:r w:rsidR="006C5343">
        <w:rPr>
          <w:rFonts w:hint="cs"/>
          <w:rtl/>
        </w:rPr>
        <w:t xml:space="preserve">غير الرسمي </w:t>
      </w:r>
      <w:r w:rsidRPr="00322B2A">
        <w:rPr>
          <w:rFonts w:hint="cs"/>
          <w:rtl/>
        </w:rPr>
        <w:t>الذي عرضه الرئيس حول "الاستثناءات والتقييدات لفائدة المكتبات ودور المحفوظات". وأعِد ذلك الرسم البياني ليكون أداة مفيدة توفر هيكلا لمناقشة جوهر كل موضوع، بالاستناد إلى ا</w:t>
      </w:r>
      <w:r w:rsidR="002C65F6">
        <w:rPr>
          <w:rFonts w:hint="cs"/>
          <w:rtl/>
        </w:rPr>
        <w:t>لموارد العديدة المتاحة للجنة. و</w:t>
      </w:r>
      <w:r w:rsidRPr="00322B2A">
        <w:rPr>
          <w:rFonts w:hint="cs"/>
          <w:rtl/>
        </w:rPr>
        <w:t>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365EE2" w:rsidRPr="004C2922" w:rsidRDefault="00365EE2" w:rsidP="00E1249E">
      <w:pPr>
        <w:pStyle w:val="NumberedParaAR"/>
      </w:pPr>
      <w:r w:rsidRPr="004C2922">
        <w:rPr>
          <w:rFonts w:hint="cs"/>
          <w:rtl/>
        </w:rPr>
        <w:t xml:space="preserve">وسلّط الرئيس الضوء على بعض العناصر </w:t>
      </w:r>
      <w:proofErr w:type="spellStart"/>
      <w:r w:rsidRPr="004C2922">
        <w:rPr>
          <w:rFonts w:hint="cs"/>
          <w:rtl/>
        </w:rPr>
        <w:t>المستقاة</w:t>
      </w:r>
      <w:proofErr w:type="spellEnd"/>
      <w:r w:rsidRPr="004C2922">
        <w:rPr>
          <w:rFonts w:hint="cs"/>
          <w:rtl/>
        </w:rPr>
        <w:t xml:space="preserve"> من الآراء المعرب عنها في تعليقات وإ</w:t>
      </w:r>
      <w:r w:rsidR="00F87820">
        <w:rPr>
          <w:rFonts w:hint="cs"/>
          <w:rtl/>
        </w:rPr>
        <w:t xml:space="preserve">سهامات أعضاء اللجنة </w:t>
      </w:r>
      <w:r w:rsidR="00E1249E" w:rsidRPr="004C2922">
        <w:rPr>
          <w:rFonts w:hint="cs"/>
          <w:rtl/>
        </w:rPr>
        <w:t>خلال الدورات السابقة للجنة</w:t>
      </w:r>
      <w:r w:rsidR="00E1249E">
        <w:rPr>
          <w:rFonts w:hint="cs"/>
          <w:rtl/>
        </w:rPr>
        <w:t xml:space="preserve"> </w:t>
      </w:r>
      <w:r w:rsidR="00F87820">
        <w:rPr>
          <w:rFonts w:hint="cs"/>
          <w:rtl/>
        </w:rPr>
        <w:t>بشأن مواضيع</w:t>
      </w:r>
      <w:r w:rsidRPr="004C2922">
        <w:rPr>
          <w:rFonts w:hint="cs"/>
          <w:rtl/>
        </w:rPr>
        <w:t xml:space="preserve"> حفظ المصنفات، وحق النسخ والنُسخ الاحتياطية، والإيداع القانوني، والإعارة لدى المكتبات،</w:t>
      </w:r>
      <w:r w:rsidR="00D178DD">
        <w:rPr>
          <w:rFonts w:hint="cs"/>
          <w:rtl/>
        </w:rPr>
        <w:t xml:space="preserve"> و</w:t>
      </w:r>
      <w:r w:rsidR="00D178DD" w:rsidRPr="00D178DD">
        <w:rPr>
          <w:rFonts w:hint="cs"/>
          <w:rtl/>
        </w:rPr>
        <w:t>الاستيراد الموازي، وأوجه الاستخدام عبر الحدود، والمصنفات اليتيمة والمصنفات المسترجعة والمسحوبة والمصنفات غير المتاحة في الأسواق</w:t>
      </w:r>
      <w:r w:rsidRPr="004C2922">
        <w:rPr>
          <w:rFonts w:hint="cs"/>
          <w:rtl/>
        </w:rPr>
        <w:t>.</w:t>
      </w:r>
    </w:p>
    <w:p w:rsidR="00365EE2" w:rsidRDefault="00365EE2" w:rsidP="00D178DD">
      <w:pPr>
        <w:pStyle w:val="NumberedParaAR"/>
      </w:pPr>
      <w:r w:rsidRPr="00B26D92">
        <w:rPr>
          <w:rFonts w:hint="cs"/>
          <w:rtl/>
        </w:rPr>
        <w:t>وتبادل أعضاء اللجنة أيضا وجهات الن</w:t>
      </w:r>
      <w:r w:rsidR="00F87820">
        <w:rPr>
          <w:rFonts w:hint="cs"/>
          <w:rtl/>
        </w:rPr>
        <w:t>ظر بشأن عدة مواضيع</w:t>
      </w:r>
      <w:r w:rsidRPr="00B26D92">
        <w:rPr>
          <w:rFonts w:hint="cs"/>
          <w:rtl/>
        </w:rPr>
        <w:t xml:space="preserve"> مُدرجة في رسم الرئيس البياني، أي</w:t>
      </w:r>
      <w:r w:rsidR="00D178DD">
        <w:rPr>
          <w:rFonts w:hint="cs"/>
          <w:rtl/>
        </w:rPr>
        <w:t xml:space="preserve"> التقييدات على مسؤولية المكتبات ودور المحفوظات، وتدابير الحماية التكنولوجية، والعقود، وحق ترجمة المصنفات</w:t>
      </w:r>
      <w:r w:rsidRPr="00B26D92">
        <w:rPr>
          <w:rFonts w:hint="cs"/>
          <w:rtl/>
        </w:rPr>
        <w:t>. والإضافة إلى ذلك، أثيرت الشواغل التي يمكن أن تظهر عند النظر في التقييدات والاستثناءات المتعلقة بتل</w:t>
      </w:r>
      <w:r w:rsidR="00F87820">
        <w:rPr>
          <w:rFonts w:hint="cs"/>
          <w:rtl/>
        </w:rPr>
        <w:t>ك المواضيع</w:t>
      </w:r>
      <w:r w:rsidRPr="00B26D92">
        <w:rPr>
          <w:rFonts w:hint="cs"/>
          <w:rtl/>
        </w:rPr>
        <w:t xml:space="preserve"> والتدابير الممكن اتخاذها لمواجهة تلك الشواغل. كما قُدمت اقتراحات تدعو إلى اتباع نُهج بديلة.</w:t>
      </w:r>
    </w:p>
    <w:p w:rsidR="00AB313F" w:rsidRPr="00B26D92" w:rsidRDefault="00C373E6" w:rsidP="00C373E6">
      <w:pPr>
        <w:pStyle w:val="NumberedParaAR"/>
      </w:pPr>
      <w:r>
        <w:rPr>
          <w:rFonts w:hint="cs"/>
          <w:rtl/>
        </w:rPr>
        <w:t>وعرض الرئيس نسخة مراجَعة من رسم الرئيس</w:t>
      </w:r>
      <w:r w:rsidR="00AB313F">
        <w:rPr>
          <w:rFonts w:hint="cs"/>
          <w:rtl/>
        </w:rPr>
        <w:t xml:space="preserve"> البياني غير الرسمي </w:t>
      </w:r>
      <w:r>
        <w:rPr>
          <w:rFonts w:hint="cs"/>
          <w:rtl/>
        </w:rPr>
        <w:t>بشأن التقييدات والاستثناءات لفائدة المكتبات ودور المحفوظات، الذي أعِد</w:t>
      </w:r>
      <w:r w:rsidR="00AB313F">
        <w:rPr>
          <w:rFonts w:hint="cs"/>
          <w:rtl/>
        </w:rPr>
        <w:t xml:space="preserve"> استنادا إلى المناقشات التي دارت في اللجنة ودعا الدول الأعضاء والمراقبين إلى التعليق عليها.</w:t>
      </w:r>
      <w:r>
        <w:rPr>
          <w:rFonts w:hint="cs"/>
          <w:rtl/>
        </w:rPr>
        <w:t xml:space="preserve"> وطلبت الدول الأعضاء مزيدا من الوقت واحتفظت بحقها في التعليق عليها في الدورة الرابعة والثلاثين للجنة. وطلب بعض الأعضاء إجراء مزيد من المناقشات بشأن الاقتراحات الواردة في الوثيقتين</w:t>
      </w:r>
      <w:r>
        <w:rPr>
          <w:rFonts w:hint="eastAsia"/>
          <w:rtl/>
        </w:rPr>
        <w:t> </w:t>
      </w:r>
      <w:r w:rsidRPr="00C373E6">
        <w:t>SCCR/29/4</w:t>
      </w:r>
      <w:r>
        <w:rPr>
          <w:rFonts w:hint="cs"/>
          <w:rtl/>
        </w:rPr>
        <w:t xml:space="preserve"> و</w:t>
      </w:r>
      <w:r w:rsidRPr="00C373E6">
        <w:t>SCCR/33/4</w:t>
      </w:r>
      <w:r>
        <w:rPr>
          <w:rFonts w:hint="cs"/>
          <w:rtl/>
        </w:rPr>
        <w:t xml:space="preserve"> في الدورة القادمة للجنة.</w:t>
      </w:r>
    </w:p>
    <w:p w:rsidR="00365EE2" w:rsidRPr="00B26D92" w:rsidRDefault="00365EE2" w:rsidP="00FE59B8">
      <w:pPr>
        <w:pStyle w:val="NumberedParaAR"/>
      </w:pPr>
      <w:r w:rsidRPr="00B26D92">
        <w:rPr>
          <w:rFonts w:hint="cs"/>
          <w:rtl/>
        </w:rPr>
        <w:t xml:space="preserve">وسيظل هذا البند مدرجا في جدول أعمال الدورة </w:t>
      </w:r>
      <w:r w:rsidR="00FE59B8">
        <w:rPr>
          <w:rFonts w:hint="cs"/>
          <w:rtl/>
        </w:rPr>
        <w:t>الرابعة</w:t>
      </w:r>
      <w:r w:rsidRPr="00B26D92">
        <w:rPr>
          <w:rFonts w:hint="cs"/>
          <w:rtl/>
        </w:rPr>
        <w:t xml:space="preserve"> والثلاثين للجنة.</w:t>
      </w:r>
    </w:p>
    <w:p w:rsidR="00365EE2" w:rsidRPr="0038159C" w:rsidRDefault="00365EE2" w:rsidP="00365EE2">
      <w:pPr>
        <w:pStyle w:val="NormalParaAR"/>
        <w:keepNext/>
        <w:rPr>
          <w:b/>
          <w:bCs/>
          <w:sz w:val="40"/>
          <w:szCs w:val="40"/>
          <w:rtl/>
        </w:rPr>
      </w:pPr>
      <w:r w:rsidRPr="0038159C">
        <w:rPr>
          <w:rFonts w:hint="cs"/>
          <w:b/>
          <w:bCs/>
          <w:sz w:val="40"/>
          <w:szCs w:val="40"/>
          <w:rtl/>
        </w:rPr>
        <w:t>البند 7 من جدول الأعمال: التقييدات والاستثناءات لفائدة مؤسسات التعليم والبحث والأشخاص ذوي إعاقات أخرى</w:t>
      </w:r>
    </w:p>
    <w:p w:rsidR="00365EE2" w:rsidRDefault="00365EE2" w:rsidP="004878A6">
      <w:pPr>
        <w:pStyle w:val="NumberedParaAR"/>
      </w:pPr>
      <w:r w:rsidRPr="009A2C43">
        <w:rPr>
          <w:rFonts w:hint="cs"/>
          <w:rtl/>
        </w:rPr>
        <w:t>الوثائق المتعلقة بهذا البند من جدول الأعمال هي</w:t>
      </w:r>
      <w:r w:rsidR="004878A6">
        <w:rPr>
          <w:rFonts w:hint="eastAsia"/>
          <w:rtl/>
        </w:rPr>
        <w:t> </w:t>
      </w:r>
      <w:r w:rsidRPr="009A2C43">
        <w:t>SCCR/26/4 PROV.</w:t>
      </w:r>
      <w:r w:rsidRPr="009A2C43">
        <w:rPr>
          <w:rFonts w:hint="cs"/>
          <w:rtl/>
        </w:rPr>
        <w:t xml:space="preserve"> و</w:t>
      </w:r>
      <w:r w:rsidRPr="009A2C43">
        <w:t>SCCR/27/8</w:t>
      </w:r>
      <w:r w:rsidRPr="009A2C43">
        <w:rPr>
          <w:rFonts w:hint="cs"/>
          <w:rtl/>
        </w:rPr>
        <w:t xml:space="preserve"> و</w:t>
      </w:r>
      <w:r w:rsidRPr="009A2C43">
        <w:t>SCCR 32/4</w:t>
      </w:r>
      <w:r w:rsidR="004878A6">
        <w:rPr>
          <w:rFonts w:hint="cs"/>
          <w:rtl/>
        </w:rPr>
        <w:t xml:space="preserve"> و</w:t>
      </w:r>
      <w:r w:rsidR="004878A6" w:rsidRPr="004878A6">
        <w:t>SCCR 33/4</w:t>
      </w:r>
      <w:r w:rsidR="004878A6">
        <w:rPr>
          <w:rFonts w:hint="cs"/>
          <w:rtl/>
        </w:rPr>
        <w:t xml:space="preserve"> و</w:t>
      </w:r>
      <w:r w:rsidR="004878A6" w:rsidRPr="004878A6">
        <w:t>SCCR 33/6</w:t>
      </w:r>
      <w:r w:rsidR="004878A6">
        <w:rPr>
          <w:rFonts w:hint="cs"/>
          <w:rtl/>
        </w:rPr>
        <w:t xml:space="preserve">، </w:t>
      </w:r>
      <w:r w:rsidR="004878A6" w:rsidRPr="004878A6">
        <w:rPr>
          <w:rFonts w:hint="cs"/>
          <w:rtl/>
        </w:rPr>
        <w:t>فضلا عن رسم بياني غير رسمي أعده الرئيس</w:t>
      </w:r>
      <w:r w:rsidR="004878A6">
        <w:rPr>
          <w:rFonts w:hint="cs"/>
          <w:rtl/>
        </w:rPr>
        <w:t xml:space="preserve"> وموجز غير رسمي أعده </w:t>
      </w:r>
      <w:r w:rsidR="004878A6" w:rsidRPr="004878A6">
        <w:rPr>
          <w:rFonts w:hint="cs"/>
          <w:rtl/>
        </w:rPr>
        <w:t>الأستاذ</w:t>
      </w:r>
      <w:r w:rsidR="004878A6">
        <w:rPr>
          <w:rFonts w:hint="eastAsia"/>
          <w:rtl/>
        </w:rPr>
        <w:t> </w:t>
      </w:r>
      <w:r w:rsidR="004878A6" w:rsidRPr="004878A6">
        <w:rPr>
          <w:rFonts w:hint="cs"/>
          <w:rtl/>
        </w:rPr>
        <w:t>بليك</w:t>
      </w:r>
      <w:r w:rsidR="004878A6">
        <w:rPr>
          <w:rFonts w:hint="eastAsia"/>
          <w:rtl/>
        </w:rPr>
        <w:t> </w:t>
      </w:r>
      <w:r w:rsidR="004878A6" w:rsidRPr="004878A6">
        <w:rPr>
          <w:rFonts w:hint="cs"/>
          <w:rtl/>
        </w:rPr>
        <w:t>ريد</w:t>
      </w:r>
      <w:r w:rsidR="004878A6">
        <w:rPr>
          <w:rFonts w:hint="cs"/>
          <w:rtl/>
        </w:rPr>
        <w:t>.</w:t>
      </w:r>
    </w:p>
    <w:p w:rsidR="00365EE2" w:rsidRPr="00674A92" w:rsidRDefault="00365EE2" w:rsidP="00F40DBC">
      <w:pPr>
        <w:pStyle w:val="NumberedParaAR"/>
      </w:pPr>
      <w:r w:rsidRPr="00674A92">
        <w:rPr>
          <w:rFonts w:hint="cs"/>
          <w:rtl/>
        </w:rPr>
        <w:t>واستمعت اللجنة إلى العرض الم</w:t>
      </w:r>
      <w:r>
        <w:rPr>
          <w:rFonts w:hint="cs"/>
          <w:rtl/>
        </w:rPr>
        <w:t>ُ</w:t>
      </w:r>
      <w:r w:rsidRPr="00674A92">
        <w:rPr>
          <w:rFonts w:hint="cs"/>
          <w:rtl/>
        </w:rPr>
        <w:t>قدم من الأستاذ دانييل سينغ</w:t>
      </w:r>
      <w:r w:rsidRPr="00674A92">
        <w:rPr>
          <w:rtl/>
        </w:rPr>
        <w:t xml:space="preserve"> </w:t>
      </w:r>
      <w:r w:rsidRPr="00674A92">
        <w:rPr>
          <w:rFonts w:hint="cs"/>
          <w:rtl/>
        </w:rPr>
        <w:t xml:space="preserve">حول </w:t>
      </w:r>
      <w:r w:rsidRPr="004878A6">
        <w:rPr>
          <w:rFonts w:hint="cs"/>
          <w:i/>
          <w:iCs/>
          <w:rtl/>
        </w:rPr>
        <w:t>الدراسة المتعلق</w:t>
      </w:r>
      <w:r w:rsidR="004878A6" w:rsidRPr="004878A6">
        <w:rPr>
          <w:rFonts w:hint="cs"/>
          <w:i/>
          <w:iCs/>
          <w:rtl/>
        </w:rPr>
        <w:t>ة</w:t>
      </w:r>
      <w:r w:rsidRPr="004878A6">
        <w:rPr>
          <w:rFonts w:hint="cs"/>
          <w:i/>
          <w:iCs/>
          <w:rtl/>
        </w:rPr>
        <w:t xml:space="preserve"> ب</w:t>
      </w:r>
      <w:r w:rsidRPr="004878A6">
        <w:rPr>
          <w:i/>
          <w:iCs/>
          <w:rtl/>
        </w:rPr>
        <w:t>التقييدات والاستثناءات على حق المؤلف لأغراض الأنشطة التعليمية</w:t>
      </w:r>
      <w:r w:rsidRPr="00674A92">
        <w:rPr>
          <w:rFonts w:hint="cs"/>
          <w:rtl/>
        </w:rPr>
        <w:t>، والوارد</w:t>
      </w:r>
      <w:r w:rsidR="004878A6">
        <w:rPr>
          <w:rFonts w:hint="cs"/>
          <w:rtl/>
        </w:rPr>
        <w:t>ة</w:t>
      </w:r>
      <w:r w:rsidRPr="00674A92">
        <w:rPr>
          <w:rFonts w:hint="cs"/>
          <w:rtl/>
        </w:rPr>
        <w:t xml:space="preserve"> في الوثيقة</w:t>
      </w:r>
      <w:r w:rsidRPr="00674A92">
        <w:rPr>
          <w:rFonts w:hint="eastAsia"/>
          <w:rtl/>
        </w:rPr>
        <w:t> </w:t>
      </w:r>
      <w:r w:rsidRPr="00674A92">
        <w:t>SCCR/</w:t>
      </w:r>
      <w:r w:rsidR="004878A6">
        <w:t>33</w:t>
      </w:r>
      <w:r w:rsidRPr="00674A92">
        <w:t>/</w:t>
      </w:r>
      <w:r w:rsidR="004878A6">
        <w:t>6</w:t>
      </w:r>
      <w:r w:rsidRPr="00674A92">
        <w:rPr>
          <w:rFonts w:hint="cs"/>
          <w:rtl/>
        </w:rPr>
        <w:t>. ورحبت اللج</w:t>
      </w:r>
      <w:r>
        <w:rPr>
          <w:rFonts w:hint="cs"/>
          <w:rtl/>
        </w:rPr>
        <w:t>نة بالعرض وشاركت الوفود والجهات</w:t>
      </w:r>
      <w:r w:rsidRPr="00674A92">
        <w:rPr>
          <w:rFonts w:hint="cs"/>
          <w:rtl/>
        </w:rPr>
        <w:t xml:space="preserve"> المراقبة في جلسة للأسئلة والأجوبة نُظمت مع الأستاذ سينغ. </w:t>
      </w:r>
      <w:r w:rsidR="004878A6" w:rsidRPr="004878A6">
        <w:rPr>
          <w:rFonts w:hint="cs"/>
          <w:rtl/>
        </w:rPr>
        <w:t>وينبغي إرسال التعديلات والتوضيحات إلى الأمانة (</w:t>
      </w:r>
      <w:hyperlink r:id="rId10" w:history="1">
        <w:r w:rsidR="004878A6" w:rsidRPr="004878A6">
          <w:rPr>
            <w:rStyle w:val="Hyperlink"/>
          </w:rPr>
          <w:t>copyright.mail@wipo.int</w:t>
        </w:r>
      </w:hyperlink>
      <w:r w:rsidR="004878A6" w:rsidRPr="004878A6">
        <w:rPr>
          <w:rFonts w:hint="cs"/>
          <w:rtl/>
        </w:rPr>
        <w:t xml:space="preserve">) في موعد أقصاه </w:t>
      </w:r>
      <w:r w:rsidR="00F40DBC">
        <w:rPr>
          <w:rFonts w:hint="cs"/>
          <w:rtl/>
        </w:rPr>
        <w:t>1</w:t>
      </w:r>
      <w:r w:rsidR="004878A6" w:rsidRPr="004878A6">
        <w:rPr>
          <w:rFonts w:hint="eastAsia"/>
          <w:rtl/>
        </w:rPr>
        <w:t> </w:t>
      </w:r>
      <w:r w:rsidR="00F40DBC">
        <w:rPr>
          <w:rFonts w:hint="cs"/>
          <w:rtl/>
        </w:rPr>
        <w:t>فبراير</w:t>
      </w:r>
      <w:r w:rsidR="004878A6" w:rsidRPr="004878A6">
        <w:rPr>
          <w:rFonts w:hint="eastAsia"/>
          <w:rtl/>
        </w:rPr>
        <w:t> </w:t>
      </w:r>
      <w:r w:rsidR="004878A6">
        <w:rPr>
          <w:rFonts w:hint="cs"/>
          <w:rtl/>
        </w:rPr>
        <w:t>2017</w:t>
      </w:r>
      <w:r w:rsidR="004878A6" w:rsidRPr="004878A6">
        <w:rPr>
          <w:rFonts w:hint="cs"/>
          <w:rtl/>
        </w:rPr>
        <w:t>.</w:t>
      </w:r>
      <w:r w:rsidR="004878A6">
        <w:rPr>
          <w:rFonts w:hint="cs"/>
          <w:rtl/>
        </w:rPr>
        <w:t xml:space="preserve"> </w:t>
      </w:r>
      <w:r w:rsidR="000B314F">
        <w:rPr>
          <w:rFonts w:hint="cs"/>
          <w:rtl/>
        </w:rPr>
        <w:t>وقال الأستاذ سينغ إ</w:t>
      </w:r>
      <w:r w:rsidRPr="00674A92">
        <w:rPr>
          <w:rFonts w:hint="cs"/>
          <w:rtl/>
        </w:rPr>
        <w:t>نه يعتزم</w:t>
      </w:r>
      <w:r w:rsidR="00DC28DC">
        <w:rPr>
          <w:rFonts w:hint="cs"/>
          <w:rtl/>
        </w:rPr>
        <w:t>، استجابة للاقتراحات والطلبات الإضافية التي ترد من الدول الأعضاء،</w:t>
      </w:r>
      <w:r w:rsidRPr="00674A92">
        <w:rPr>
          <w:rFonts w:hint="cs"/>
          <w:rtl/>
        </w:rPr>
        <w:t xml:space="preserve"> استكمال </w:t>
      </w:r>
      <w:r w:rsidR="00DC28DC">
        <w:rPr>
          <w:rFonts w:hint="cs"/>
          <w:rtl/>
        </w:rPr>
        <w:t xml:space="preserve">العمل على </w:t>
      </w:r>
      <w:r w:rsidRPr="00674A92">
        <w:rPr>
          <w:rFonts w:hint="cs"/>
          <w:rtl/>
        </w:rPr>
        <w:t>الدراسة</w:t>
      </w:r>
      <w:r w:rsidR="00DC28DC">
        <w:rPr>
          <w:rFonts w:hint="cs"/>
          <w:rtl/>
        </w:rPr>
        <w:t xml:space="preserve"> لأغراض الدورة الرابعة والثلاثين للجنة</w:t>
      </w:r>
      <w:r w:rsidRPr="00674A92">
        <w:rPr>
          <w:rFonts w:hint="cs"/>
          <w:rtl/>
        </w:rPr>
        <w:t>.</w:t>
      </w:r>
      <w:r>
        <w:rPr>
          <w:rFonts w:hint="cs"/>
          <w:rtl/>
        </w:rPr>
        <w:t xml:space="preserve"> والتمست اللجنة تحديث المعلومات الواردة في عرض الأ</w:t>
      </w:r>
      <w:r w:rsidR="00DC28DC">
        <w:rPr>
          <w:rFonts w:hint="cs"/>
          <w:rtl/>
        </w:rPr>
        <w:t>ستاذ سينغ لأغر</w:t>
      </w:r>
      <w:r w:rsidR="000B314F">
        <w:rPr>
          <w:rFonts w:hint="cs"/>
          <w:rtl/>
        </w:rPr>
        <w:t>اض دورتها القادمة</w:t>
      </w:r>
      <w:r w:rsidR="00DC28DC">
        <w:rPr>
          <w:rFonts w:hint="cs"/>
          <w:rtl/>
        </w:rPr>
        <w:t>.</w:t>
      </w:r>
    </w:p>
    <w:p w:rsidR="00365EE2" w:rsidRDefault="00365EE2" w:rsidP="001F4472">
      <w:pPr>
        <w:pStyle w:val="NumberedParaAR"/>
      </w:pPr>
      <w:r w:rsidRPr="0095128D">
        <w:rPr>
          <w:rFonts w:hint="cs"/>
          <w:rtl/>
        </w:rPr>
        <w:t xml:space="preserve">وأجرت اللجنة مناقشات حول موضوع التقييدات والاستثناءات لفائدة مؤسسات التعليم والتدريس والبحث وعلاقتها بالدور الأساسي الذي يؤديه التعليم في المجتمع، </w:t>
      </w:r>
      <w:r>
        <w:rPr>
          <w:rFonts w:hint="cs"/>
          <w:rtl/>
        </w:rPr>
        <w:t xml:space="preserve">مع الإشارة إلى الوثائق الموجودة، بما في ذلك </w:t>
      </w:r>
      <w:r w:rsidR="00596B95">
        <w:rPr>
          <w:rFonts w:hint="cs"/>
          <w:rtl/>
        </w:rPr>
        <w:t>الدراسة الت</w:t>
      </w:r>
      <w:r>
        <w:rPr>
          <w:rFonts w:hint="cs"/>
          <w:rtl/>
        </w:rPr>
        <w:t>ي أعده</w:t>
      </w:r>
      <w:r w:rsidR="00596B95">
        <w:rPr>
          <w:rFonts w:hint="cs"/>
          <w:rtl/>
        </w:rPr>
        <w:t>ا الأستاذ سينغ، والوثيقة</w:t>
      </w:r>
      <w:r w:rsidR="00596B95">
        <w:rPr>
          <w:rFonts w:hint="eastAsia"/>
          <w:rtl/>
        </w:rPr>
        <w:t> </w:t>
      </w:r>
      <w:r w:rsidR="00596B95" w:rsidRPr="00596B95">
        <w:t>SCCR/33/4</w:t>
      </w:r>
      <w:r w:rsidR="00596B95">
        <w:rPr>
          <w:rFonts w:hint="cs"/>
          <w:rtl/>
        </w:rPr>
        <w:t xml:space="preserve"> </w:t>
      </w:r>
      <w:proofErr w:type="spellStart"/>
      <w:r w:rsidR="00596B95">
        <w:rPr>
          <w:rFonts w:hint="cs"/>
          <w:rtl/>
        </w:rPr>
        <w:t>المُعنونة</w:t>
      </w:r>
      <w:proofErr w:type="spellEnd"/>
      <w:r w:rsidR="00596B95">
        <w:rPr>
          <w:rFonts w:hint="cs"/>
          <w:rtl/>
        </w:rPr>
        <w:t xml:space="preserve"> </w:t>
      </w:r>
      <w:r w:rsidR="00596B95" w:rsidRPr="00596B95">
        <w:rPr>
          <w:i/>
          <w:iCs/>
          <w:rtl/>
        </w:rPr>
        <w:t>اقتراح عن التقييدات والاستثناءات لفائدة المكتبات ودور المحفوظات والتقييدات والاستثناءات لفائدة مؤسسات التعليم والبحث والأشخاص ذوي إعاقات أخرى</w:t>
      </w:r>
      <w:r w:rsidR="00596B95">
        <w:rPr>
          <w:rFonts w:hint="cs"/>
          <w:rtl/>
        </w:rPr>
        <w:t xml:space="preserve">، </w:t>
      </w:r>
      <w:r w:rsidR="005E042D">
        <w:rPr>
          <w:rFonts w:hint="cs"/>
          <w:rtl/>
        </w:rPr>
        <w:t>والتي قدمها وشرحها</w:t>
      </w:r>
      <w:r w:rsidR="00596B95">
        <w:rPr>
          <w:rFonts w:hint="cs"/>
          <w:rtl/>
        </w:rPr>
        <w:t xml:space="preserve"> وفد الأرجنتين.</w:t>
      </w:r>
      <w:r w:rsidR="001F4472">
        <w:rPr>
          <w:rFonts w:hint="cs"/>
          <w:rtl/>
        </w:rPr>
        <w:t xml:space="preserve"> وأحاطت اللجنة علما با</w:t>
      </w:r>
      <w:r w:rsidR="001F4472" w:rsidRPr="001F4472">
        <w:rPr>
          <w:rFonts w:hint="cs"/>
          <w:rtl/>
        </w:rPr>
        <w:t>لوثيقة</w:t>
      </w:r>
      <w:r w:rsidR="001F4472" w:rsidRPr="001F4472">
        <w:rPr>
          <w:rFonts w:hint="eastAsia"/>
          <w:rtl/>
        </w:rPr>
        <w:t> </w:t>
      </w:r>
      <w:r w:rsidR="001F4472" w:rsidRPr="001F4472">
        <w:t>SCCR/33/4</w:t>
      </w:r>
      <w:r w:rsidR="001F4472">
        <w:rPr>
          <w:rFonts w:hint="cs"/>
          <w:rtl/>
        </w:rPr>
        <w:t>.</w:t>
      </w:r>
    </w:p>
    <w:p w:rsidR="00365EE2" w:rsidRDefault="005E042D" w:rsidP="005E042D">
      <w:pPr>
        <w:pStyle w:val="NumberedParaAR"/>
      </w:pPr>
      <w:r>
        <w:rPr>
          <w:rtl/>
        </w:rPr>
        <w:t>و</w:t>
      </w:r>
      <w:r>
        <w:rPr>
          <w:rFonts w:hint="cs"/>
          <w:rtl/>
        </w:rPr>
        <w:t xml:space="preserve">قدم </w:t>
      </w:r>
      <w:r w:rsidR="00365EE2" w:rsidRPr="0095128D">
        <w:rPr>
          <w:rtl/>
        </w:rPr>
        <w:t xml:space="preserve">الرئيس </w:t>
      </w:r>
      <w:r>
        <w:rPr>
          <w:rFonts w:hint="cs"/>
          <w:rtl/>
        </w:rPr>
        <w:t xml:space="preserve">وشرح </w:t>
      </w:r>
      <w:r w:rsidR="00365EE2" w:rsidRPr="0095128D">
        <w:rPr>
          <w:rtl/>
        </w:rPr>
        <w:t xml:space="preserve">رسما بيانيا </w:t>
      </w:r>
      <w:r>
        <w:rPr>
          <w:rFonts w:hint="cs"/>
          <w:rtl/>
        </w:rPr>
        <w:t xml:space="preserve">عن التقييدات والاستثناءات لفائدة مؤسسات التعليم والبحث، </w:t>
      </w:r>
      <w:r w:rsidR="00365EE2" w:rsidRPr="0095128D">
        <w:rPr>
          <w:rtl/>
        </w:rPr>
        <w:t>على غرار الرسم البياني الخاص بالتقييدات والاستثناءات لفائدة المكتبات ودور المحفوظات كي يُستخدم كأداة تسهم في تركيز المناقشات على هذا الموضوع.</w:t>
      </w:r>
      <w:r>
        <w:rPr>
          <w:rFonts w:hint="cs"/>
          <w:rtl/>
        </w:rPr>
        <w:t xml:space="preserve"> وأوضح </w:t>
      </w:r>
      <w:r w:rsidR="00365EE2">
        <w:rPr>
          <w:rFonts w:hint="cs"/>
          <w:rtl/>
        </w:rPr>
        <w:t xml:space="preserve">الرئيس </w:t>
      </w:r>
      <w:r>
        <w:rPr>
          <w:rFonts w:hint="cs"/>
          <w:rtl/>
        </w:rPr>
        <w:t>أن</w:t>
      </w:r>
      <w:r w:rsidR="00365EE2">
        <w:rPr>
          <w:rFonts w:hint="cs"/>
          <w:rtl/>
        </w:rPr>
        <w:t xml:space="preserve"> ذلك الرسم البياني </w:t>
      </w:r>
      <w:r>
        <w:rPr>
          <w:rFonts w:hint="cs"/>
          <w:rtl/>
        </w:rPr>
        <w:t>يشمل</w:t>
      </w:r>
      <w:r w:rsidR="00365EE2">
        <w:rPr>
          <w:rFonts w:hint="cs"/>
          <w:rtl/>
        </w:rPr>
        <w:t xml:space="preserve"> الفئات المُحدّدة في مشروع الدراسة الذي أعده الأستاذ سينغ والعناصر الوارد</w:t>
      </w:r>
      <w:r>
        <w:rPr>
          <w:rFonts w:hint="cs"/>
          <w:rtl/>
        </w:rPr>
        <w:t>ة في المناقشات والوثائق السابقة</w:t>
      </w:r>
      <w:r w:rsidR="00365EE2">
        <w:rPr>
          <w:rFonts w:hint="cs"/>
          <w:rtl/>
        </w:rPr>
        <w:t xml:space="preserve">. </w:t>
      </w:r>
      <w:r w:rsidR="00365EE2" w:rsidRPr="0095128D">
        <w:rPr>
          <w:rFonts w:hint="cs"/>
          <w:rtl/>
        </w:rPr>
        <w:t xml:space="preserve">وسيمكّن </w:t>
      </w:r>
      <w:r w:rsidR="00365EE2">
        <w:rPr>
          <w:rFonts w:hint="cs"/>
          <w:rtl/>
        </w:rPr>
        <w:t>الرسم البياني</w:t>
      </w:r>
      <w:r w:rsidR="00365EE2" w:rsidRPr="0095128D">
        <w:rPr>
          <w:rFonts w:hint="cs"/>
          <w:rtl/>
        </w:rPr>
        <w:t xml:space="preserve">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w:t>
      </w:r>
      <w:r w:rsidR="00365EE2">
        <w:rPr>
          <w:rFonts w:hint="cs"/>
          <w:rtl/>
        </w:rPr>
        <w:t xml:space="preserve">المتعلقة بهذا البند من جدول الأعمال </w:t>
      </w:r>
      <w:r w:rsidR="00365EE2" w:rsidRPr="0095128D">
        <w:rPr>
          <w:rFonts w:hint="cs"/>
          <w:rtl/>
        </w:rPr>
        <w:t>ووجاهتها الفعلية بالنسبة للمناقشات والنتيجة المتوخاة.</w:t>
      </w:r>
      <w:r w:rsidR="00F87820">
        <w:rPr>
          <w:rFonts w:hint="cs"/>
          <w:rtl/>
        </w:rPr>
        <w:t xml:space="preserve"> وأشادت الدول الأعضاء والجهات المراقبة بالرسم البياني وقدمت اقتراحات بإدراج مواضيع إضافية. وطلبت بعض الدول الأعضاء إدراج مواضيع جديدة في </w:t>
      </w:r>
      <w:r w:rsidR="001A599E">
        <w:rPr>
          <w:rFonts w:hint="cs"/>
          <w:rtl/>
        </w:rPr>
        <w:t>الدراسة التي أعدها الأستاذ سينغ ولم تُبد أية اعتراضات على ذلك. واقترحت مجموعة بلدان أمريكا اللاتينية والكاريبي إجراء دراسة لتقييم آثار التقييدات والاستثناءات المُحدّدة في التشريع الوطني على استخدام المصنفات والنُسخ عبر الحدود في إطار تلبية الاحتياجات التعليمية والبحثية.</w:t>
      </w:r>
    </w:p>
    <w:p w:rsidR="005E042D" w:rsidRDefault="005E042D" w:rsidP="003838A3">
      <w:pPr>
        <w:pStyle w:val="NumberedParaAR"/>
      </w:pPr>
      <w:r>
        <w:rPr>
          <w:rFonts w:hint="cs"/>
          <w:rtl/>
        </w:rPr>
        <w:t>وقدم الأستا</w:t>
      </w:r>
      <w:r w:rsidR="000C6821">
        <w:rPr>
          <w:rFonts w:hint="cs"/>
          <w:rtl/>
        </w:rPr>
        <w:t xml:space="preserve">ذ بليك ريد والمحاميان المتدربان </w:t>
      </w:r>
      <w:r w:rsidR="000C6821" w:rsidRPr="000C6821">
        <w:rPr>
          <w:rFonts w:hint="cs"/>
          <w:rtl/>
        </w:rPr>
        <w:t xml:space="preserve">كيكي </w:t>
      </w:r>
      <w:proofErr w:type="spellStart"/>
      <w:r w:rsidR="000C6821" w:rsidRPr="000C6821">
        <w:rPr>
          <w:rFonts w:hint="cs"/>
          <w:rtl/>
        </w:rPr>
        <w:t>كونسل</w:t>
      </w:r>
      <w:proofErr w:type="spellEnd"/>
      <w:r w:rsidR="000C6821" w:rsidRPr="000C6821">
        <w:rPr>
          <w:rFonts w:hint="cs"/>
          <w:rtl/>
        </w:rPr>
        <w:t xml:space="preserve"> وشان دوران</w:t>
      </w:r>
      <w:r>
        <w:rPr>
          <w:rFonts w:hint="cs"/>
          <w:rtl/>
        </w:rPr>
        <w:t xml:space="preserve"> عرضا </w:t>
      </w:r>
      <w:r w:rsidR="005A13E0">
        <w:rPr>
          <w:rFonts w:hint="cs"/>
          <w:rtl/>
        </w:rPr>
        <w:t xml:space="preserve">أوليا عن دراسة النطاق بشأن التقييدات والاستثناءات لفائدة الأشخاص ذوي إعاقات غير الإعاقات في </w:t>
      </w:r>
      <w:r w:rsidR="00F87820">
        <w:rPr>
          <w:rFonts w:hint="cs"/>
          <w:rtl/>
        </w:rPr>
        <w:t>قراءة المطبوعات، ووصفا للمواضيع</w:t>
      </w:r>
      <w:r w:rsidR="005A13E0">
        <w:rPr>
          <w:rFonts w:hint="cs"/>
          <w:rtl/>
        </w:rPr>
        <w:t xml:space="preserve"> المزمع أن يشملها استبيان. وستُعرض الدراسة الكاملة، التي ستُجرى </w:t>
      </w:r>
      <w:r w:rsidR="000C6821">
        <w:rPr>
          <w:rFonts w:hint="cs"/>
          <w:rtl/>
        </w:rPr>
        <w:t xml:space="preserve">بالتعاون </w:t>
      </w:r>
      <w:r w:rsidR="005A13E0">
        <w:rPr>
          <w:rFonts w:hint="cs"/>
          <w:rtl/>
        </w:rPr>
        <w:t>مع الأستاذة كار</w:t>
      </w:r>
      <w:r w:rsidR="000C6821">
        <w:rPr>
          <w:rFonts w:hint="cs"/>
          <w:rtl/>
        </w:rPr>
        <w:t>ولين نكوبي من جامعة كيب تاون</w:t>
      </w:r>
      <w:r w:rsidR="005A13E0">
        <w:rPr>
          <w:rFonts w:hint="cs"/>
          <w:rtl/>
        </w:rPr>
        <w:t>، في</w:t>
      </w:r>
      <w:r w:rsidR="003838A3">
        <w:rPr>
          <w:rFonts w:hint="eastAsia"/>
          <w:rtl/>
        </w:rPr>
        <w:t> </w:t>
      </w:r>
      <w:r w:rsidR="005A13E0">
        <w:rPr>
          <w:rFonts w:hint="cs"/>
          <w:rtl/>
        </w:rPr>
        <w:t xml:space="preserve">الدورة الرابعة والثلاثين للجنة. </w:t>
      </w:r>
      <w:r w:rsidR="000C6821">
        <w:rPr>
          <w:rFonts w:hint="cs"/>
          <w:rtl/>
        </w:rPr>
        <w:t>وسيُرسل إلى الدول الأعضاء استبيان قصير بشأن المواضيع المتناولة في العرض.</w:t>
      </w:r>
    </w:p>
    <w:p w:rsidR="00365EE2" w:rsidRPr="0095128D" w:rsidRDefault="00365EE2" w:rsidP="00ED661F">
      <w:pPr>
        <w:pStyle w:val="NumberedParaAR"/>
      </w:pPr>
      <w:r w:rsidRPr="00F26213">
        <w:rPr>
          <w:rFonts w:hint="cs"/>
          <w:rtl/>
        </w:rPr>
        <w:t xml:space="preserve">وسيظل هذا البند مدرجا في جدول أعمال الدورة </w:t>
      </w:r>
      <w:r w:rsidR="00ED661F">
        <w:rPr>
          <w:rFonts w:hint="cs"/>
          <w:rtl/>
        </w:rPr>
        <w:t>الرابعة</w:t>
      </w:r>
      <w:r w:rsidRPr="00F26213">
        <w:rPr>
          <w:rFonts w:hint="cs"/>
          <w:rtl/>
        </w:rPr>
        <w:t xml:space="preserve"> والثلاثين للجنة.</w:t>
      </w:r>
    </w:p>
    <w:p w:rsidR="00365EE2" w:rsidRPr="0038159C" w:rsidRDefault="00365EE2" w:rsidP="0099291D">
      <w:pPr>
        <w:pStyle w:val="NormalParaAR"/>
        <w:keepNext/>
        <w:rPr>
          <w:b/>
          <w:bCs/>
          <w:sz w:val="40"/>
          <w:szCs w:val="40"/>
          <w:rtl/>
        </w:rPr>
      </w:pPr>
      <w:r w:rsidRPr="0038159C">
        <w:rPr>
          <w:rFonts w:hint="cs"/>
          <w:b/>
          <w:bCs/>
          <w:sz w:val="40"/>
          <w:szCs w:val="40"/>
          <w:rtl/>
        </w:rPr>
        <w:t xml:space="preserve">البند </w:t>
      </w:r>
      <w:r w:rsidR="0099291D">
        <w:rPr>
          <w:rFonts w:hint="cs"/>
          <w:b/>
          <w:bCs/>
          <w:sz w:val="40"/>
          <w:szCs w:val="40"/>
          <w:rtl/>
        </w:rPr>
        <w:t>8</w:t>
      </w:r>
      <w:r w:rsidRPr="0038159C">
        <w:rPr>
          <w:rFonts w:hint="cs"/>
          <w:b/>
          <w:bCs/>
          <w:sz w:val="40"/>
          <w:szCs w:val="40"/>
          <w:rtl/>
        </w:rPr>
        <w:t xml:space="preserve"> من جدول الأعمال: مسائل أخرى</w:t>
      </w:r>
    </w:p>
    <w:p w:rsidR="00365EE2" w:rsidRPr="007040BF" w:rsidRDefault="00365EE2" w:rsidP="00173245">
      <w:pPr>
        <w:pStyle w:val="NumberedParaAR"/>
      </w:pPr>
      <w:r w:rsidRPr="007040BF">
        <w:rPr>
          <w:rFonts w:hint="cs"/>
          <w:rtl/>
        </w:rPr>
        <w:t>الوثيقتان المتعلقتان بهذا البند من جدول الأعمال هما</w:t>
      </w:r>
      <w:r w:rsidR="00173245">
        <w:rPr>
          <w:rFonts w:hint="eastAsia"/>
          <w:rtl/>
        </w:rPr>
        <w:t> </w:t>
      </w:r>
      <w:r w:rsidRPr="007040BF">
        <w:t>SCCR/31/4</w:t>
      </w:r>
      <w:r w:rsidRPr="007040BF">
        <w:rPr>
          <w:rFonts w:hint="cs"/>
          <w:rtl/>
        </w:rPr>
        <w:t xml:space="preserve"> و</w:t>
      </w:r>
      <w:r w:rsidRPr="007040BF">
        <w:t>SCCR/31/5</w:t>
      </w:r>
      <w:r w:rsidRPr="007040BF">
        <w:rPr>
          <w:rFonts w:hint="cs"/>
          <w:rtl/>
        </w:rPr>
        <w:t>.</w:t>
      </w:r>
    </w:p>
    <w:p w:rsidR="00365EE2" w:rsidRPr="00334535" w:rsidRDefault="00365EE2" w:rsidP="003C4983">
      <w:pPr>
        <w:pStyle w:val="NumberedParaAR"/>
      </w:pPr>
      <w:r w:rsidRPr="00334535">
        <w:rPr>
          <w:rFonts w:hint="cs"/>
          <w:rtl/>
        </w:rPr>
        <w:t>و</w:t>
      </w:r>
      <w:r>
        <w:rPr>
          <w:rFonts w:hint="cs"/>
          <w:rtl/>
        </w:rPr>
        <w:t xml:space="preserve">ناقشت اللجنة </w:t>
      </w:r>
      <w:r w:rsidRPr="00662FFD">
        <w:rPr>
          <w:i/>
          <w:iCs/>
          <w:rtl/>
        </w:rPr>
        <w:t>اقتراح لتحليل حق المؤلف المتعلق بالبيئة الرقمية</w:t>
      </w:r>
      <w:r>
        <w:rPr>
          <w:rFonts w:hint="cs"/>
          <w:rtl/>
        </w:rPr>
        <w:t>، الوارد في ا</w:t>
      </w:r>
      <w:r w:rsidRPr="00334535">
        <w:rPr>
          <w:rFonts w:hint="cs"/>
          <w:rtl/>
        </w:rPr>
        <w:t>لوثيقة</w:t>
      </w:r>
      <w:r w:rsidRPr="00334535">
        <w:rPr>
          <w:rFonts w:hint="eastAsia"/>
          <w:rtl/>
        </w:rPr>
        <w:t> </w:t>
      </w:r>
      <w:r w:rsidRPr="00334535">
        <w:t>SCCR/31/4</w:t>
      </w:r>
      <w:r>
        <w:rPr>
          <w:rFonts w:hint="cs"/>
          <w:rtl/>
        </w:rPr>
        <w:t xml:space="preserve"> والمُقدم من</w:t>
      </w:r>
      <w:r w:rsidRPr="00334535">
        <w:rPr>
          <w:rFonts w:hint="cs"/>
          <w:rtl/>
        </w:rPr>
        <w:t xml:space="preserve"> مجموعة بلد</w:t>
      </w:r>
      <w:r>
        <w:rPr>
          <w:rFonts w:hint="cs"/>
          <w:rtl/>
        </w:rPr>
        <w:t xml:space="preserve">ان أمريكا اللاتينية والكاريبي. وأقرّ </w:t>
      </w:r>
      <w:r w:rsidRPr="00334535">
        <w:rPr>
          <w:rFonts w:hint="cs"/>
          <w:rtl/>
        </w:rPr>
        <w:t xml:space="preserve">أعضاء </w:t>
      </w:r>
      <w:r>
        <w:rPr>
          <w:rFonts w:hint="cs"/>
          <w:rtl/>
        </w:rPr>
        <w:t xml:space="preserve">اللجنة والمراقبون بأهمية الموضوع وقدموا </w:t>
      </w:r>
      <w:r w:rsidR="000C4FCB">
        <w:rPr>
          <w:rFonts w:hint="cs"/>
          <w:rtl/>
        </w:rPr>
        <w:t>مزيدا من ال</w:t>
      </w:r>
      <w:r>
        <w:rPr>
          <w:rFonts w:hint="cs"/>
          <w:rtl/>
        </w:rPr>
        <w:t>تعليقات و</w:t>
      </w:r>
      <w:r w:rsidR="000C4FCB">
        <w:rPr>
          <w:rFonts w:hint="cs"/>
          <w:rtl/>
        </w:rPr>
        <w:t>ال</w:t>
      </w:r>
      <w:r>
        <w:rPr>
          <w:rFonts w:hint="cs"/>
          <w:rtl/>
        </w:rPr>
        <w:t>تعقيبات على الاقتراح. و</w:t>
      </w:r>
      <w:r w:rsidR="000C4FCB">
        <w:rPr>
          <w:rFonts w:hint="cs"/>
          <w:rtl/>
        </w:rPr>
        <w:t xml:space="preserve">أيّدت اللجنة الاقتراحات التي قدمتها بعض الوفود </w:t>
      </w:r>
      <w:r w:rsidR="003C4983">
        <w:rPr>
          <w:rFonts w:hint="cs"/>
          <w:rtl/>
        </w:rPr>
        <w:t>ودعت فيها إلى التكليف بإجراء دراسة نطاق بشأن أثر المستجدات الرقمية على تطور الأطر القانونية الوطنية طيلة السنوات العشر الماضية</w:t>
      </w:r>
      <w:r>
        <w:rPr>
          <w:rFonts w:hint="cs"/>
          <w:rtl/>
        </w:rPr>
        <w:t>. وقُدم اقتراح دعا إلى إضافة الموضوع إلى جدول أعمال اللجنة ليكون بندا دائما على جدول الأعمال.</w:t>
      </w:r>
    </w:p>
    <w:p w:rsidR="00365EE2" w:rsidRPr="00334535" w:rsidRDefault="00365EE2" w:rsidP="00721C3A">
      <w:pPr>
        <w:pStyle w:val="NumberedParaAR"/>
      </w:pPr>
      <w:r>
        <w:rPr>
          <w:rFonts w:hint="cs"/>
          <w:rtl/>
        </w:rPr>
        <w:t>وناقشت اللجنة</w:t>
      </w:r>
      <w:r w:rsidRPr="00334535">
        <w:rPr>
          <w:rFonts w:hint="cs"/>
          <w:rtl/>
        </w:rPr>
        <w:t xml:space="preserve"> </w:t>
      </w:r>
      <w:r w:rsidRPr="00C62645">
        <w:rPr>
          <w:i/>
          <w:iCs/>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Pr>
          <w:rFonts w:hint="cs"/>
          <w:rtl/>
        </w:rPr>
        <w:t xml:space="preserve">، الوارد في </w:t>
      </w:r>
      <w:r w:rsidRPr="00334535">
        <w:rPr>
          <w:rFonts w:hint="cs"/>
          <w:rtl/>
        </w:rPr>
        <w:t>الوثيقة</w:t>
      </w:r>
      <w:r w:rsidRPr="00334535">
        <w:rPr>
          <w:rFonts w:hint="eastAsia"/>
          <w:rtl/>
        </w:rPr>
        <w:t> </w:t>
      </w:r>
      <w:r w:rsidRPr="00334535">
        <w:t>SCCR/31/5</w:t>
      </w:r>
      <w:r w:rsidRPr="00334535">
        <w:rPr>
          <w:rFonts w:hint="cs"/>
          <w:rtl/>
        </w:rPr>
        <w:t xml:space="preserve">. </w:t>
      </w:r>
      <w:r w:rsidR="001F4472">
        <w:rPr>
          <w:rFonts w:hint="cs"/>
          <w:rtl/>
        </w:rPr>
        <w:t>ورحب</w:t>
      </w:r>
      <w:r w:rsidRPr="00C62645">
        <w:rPr>
          <w:rFonts w:hint="cs"/>
          <w:rtl/>
        </w:rPr>
        <w:t xml:space="preserve"> أعضاء اللجنة والمراقبون </w:t>
      </w:r>
      <w:r w:rsidR="001F4472">
        <w:rPr>
          <w:rFonts w:hint="cs"/>
          <w:rtl/>
        </w:rPr>
        <w:t>ب</w:t>
      </w:r>
      <w:r>
        <w:rPr>
          <w:rFonts w:hint="cs"/>
          <w:rtl/>
        </w:rPr>
        <w:t xml:space="preserve">عرض </w:t>
      </w:r>
      <w:r w:rsidR="001F4472">
        <w:rPr>
          <w:rFonts w:hint="cs"/>
          <w:rtl/>
        </w:rPr>
        <w:t>عن حق التتبع قدمه</w:t>
      </w:r>
      <w:r w:rsidR="008533F9">
        <w:rPr>
          <w:rFonts w:hint="cs"/>
          <w:rtl/>
        </w:rPr>
        <w:t xml:space="preserve"> </w:t>
      </w:r>
      <w:r>
        <w:rPr>
          <w:rFonts w:hint="cs"/>
          <w:rtl/>
        </w:rPr>
        <w:t xml:space="preserve">الأستاذ سام </w:t>
      </w:r>
      <w:proofErr w:type="spellStart"/>
      <w:r>
        <w:rPr>
          <w:rFonts w:hint="cs"/>
          <w:rtl/>
        </w:rPr>
        <w:t>ريكيتسون</w:t>
      </w:r>
      <w:proofErr w:type="spellEnd"/>
      <w:r>
        <w:rPr>
          <w:rFonts w:hint="cs"/>
          <w:rtl/>
        </w:rPr>
        <w:t xml:space="preserve"> </w:t>
      </w:r>
      <w:r w:rsidR="001F4472">
        <w:rPr>
          <w:rFonts w:hint="cs"/>
          <w:rtl/>
        </w:rPr>
        <w:t>من جامعة ملبورن</w:t>
      </w:r>
      <w:r w:rsidR="003838A3">
        <w:rPr>
          <w:rFonts w:hint="cs"/>
          <w:rtl/>
        </w:rPr>
        <w:t>.</w:t>
      </w:r>
      <w:r w:rsidR="008533F9" w:rsidRPr="008533F9">
        <w:rPr>
          <w:rFonts w:hint="cs"/>
          <w:rtl/>
        </w:rPr>
        <w:t xml:space="preserve"> </w:t>
      </w:r>
      <w:r w:rsidR="008533F9">
        <w:rPr>
          <w:rFonts w:hint="cs"/>
          <w:rtl/>
        </w:rPr>
        <w:t>عبر الفيديو</w:t>
      </w:r>
      <w:r w:rsidR="008533F9">
        <w:rPr>
          <w:rFonts w:hint="cs"/>
          <w:rtl/>
        </w:rPr>
        <w:t xml:space="preserve">. </w:t>
      </w:r>
      <w:r w:rsidR="008533F9">
        <w:rPr>
          <w:rFonts w:hint="cs"/>
          <w:rtl/>
        </w:rPr>
        <w:t xml:space="preserve">وأقرّ </w:t>
      </w:r>
      <w:r w:rsidR="008533F9" w:rsidRPr="00334535">
        <w:rPr>
          <w:rFonts w:hint="cs"/>
          <w:rtl/>
        </w:rPr>
        <w:t xml:space="preserve">أعضاء </w:t>
      </w:r>
      <w:r w:rsidR="008533F9">
        <w:rPr>
          <w:rFonts w:hint="cs"/>
          <w:rtl/>
        </w:rPr>
        <w:t>اللجنة والمراقبون بأهمية الموضوع وقدموا</w:t>
      </w:r>
      <w:r w:rsidR="008533F9">
        <w:rPr>
          <w:rFonts w:hint="cs"/>
          <w:rtl/>
        </w:rPr>
        <w:t xml:space="preserve"> تعليقات وطرحوا أسئلة بخصوص العرض. </w:t>
      </w:r>
      <w:r w:rsidR="008533F9">
        <w:rPr>
          <w:rFonts w:hint="cs"/>
          <w:rtl/>
        </w:rPr>
        <w:t>وأيّدت اللجنة الاقتراحات التي قدمتها بعض الوفود ودعت فيها إلى</w:t>
      </w:r>
      <w:r w:rsidR="008533F9">
        <w:rPr>
          <w:rFonts w:hint="cs"/>
          <w:rtl/>
        </w:rPr>
        <w:t xml:space="preserve"> عقد مؤتمر قبل الدورة الرابعة والثلاثين للجنة بشأن </w:t>
      </w:r>
      <w:r w:rsidR="00721C3A">
        <w:rPr>
          <w:rFonts w:hint="cs"/>
          <w:rtl/>
        </w:rPr>
        <w:t>القضايا التي يثيرها تطبيق حق التتبع من المنظورين القانوني والاقتصادي على حد سواء، بما في ذلك آثاره المحتملة على أسواق المصنفات الفنية، وكذلك التكليف بإجراء دراسة تتناول تحديدا التبعات الاقتصادية لذلك الحق.</w:t>
      </w:r>
    </w:p>
    <w:p w:rsidR="00365EE2" w:rsidRDefault="00365EE2" w:rsidP="006A46C2">
      <w:pPr>
        <w:pStyle w:val="NumberedParaAR"/>
      </w:pPr>
      <w:r w:rsidRPr="007040BF">
        <w:rPr>
          <w:rFonts w:hint="cs"/>
          <w:rtl/>
        </w:rPr>
        <w:t xml:space="preserve">وسيظل هذان الموضوعان مدرجين في جدول أعمال الدورة </w:t>
      </w:r>
      <w:r w:rsidR="006A46C2">
        <w:rPr>
          <w:rFonts w:hint="cs"/>
          <w:rtl/>
        </w:rPr>
        <w:t>الرابعة</w:t>
      </w:r>
      <w:r>
        <w:rPr>
          <w:rFonts w:hint="cs"/>
          <w:rtl/>
        </w:rPr>
        <w:t xml:space="preserve"> والثلاثين للجنة.</w:t>
      </w:r>
    </w:p>
    <w:p w:rsidR="00365EE2" w:rsidRPr="00917F6A" w:rsidRDefault="00365EE2" w:rsidP="00365EE2">
      <w:pPr>
        <w:pStyle w:val="NormalParaAR"/>
        <w:keepNext/>
        <w:rPr>
          <w:b/>
          <w:bCs/>
          <w:sz w:val="40"/>
          <w:szCs w:val="40"/>
          <w:rtl/>
        </w:rPr>
      </w:pPr>
      <w:r w:rsidRPr="00917F6A">
        <w:rPr>
          <w:rFonts w:hint="cs"/>
          <w:b/>
          <w:bCs/>
          <w:sz w:val="40"/>
          <w:szCs w:val="40"/>
          <w:rtl/>
        </w:rPr>
        <w:t>ملخص الرئيس</w:t>
      </w:r>
    </w:p>
    <w:p w:rsidR="00365EE2" w:rsidRPr="00186D0B" w:rsidRDefault="00365EE2" w:rsidP="00981D53">
      <w:pPr>
        <w:pStyle w:val="NumberedParaAR"/>
      </w:pPr>
      <w:r w:rsidRPr="00186D0B">
        <w:rPr>
          <w:rFonts w:hint="cs"/>
          <w:rtl/>
        </w:rPr>
        <w:t xml:space="preserve">أحاطت اللجنة علما بمضمون هذا الملخص الذي أعده الرئيس. وأوضح الرئيس أن هذا الملخص يبلور آراء الرئيس بشأن نتائج الدورة </w:t>
      </w:r>
      <w:r w:rsidR="00981D53">
        <w:rPr>
          <w:rFonts w:hint="cs"/>
          <w:rtl/>
        </w:rPr>
        <w:t>الثالثة</w:t>
      </w:r>
      <w:r w:rsidRPr="00186D0B">
        <w:rPr>
          <w:rFonts w:hint="cs"/>
          <w:rtl/>
        </w:rPr>
        <w:t xml:space="preserve"> والثلاثين للجنة وأنه لا يخضع بالتالي لموافقة اللجنة.</w:t>
      </w:r>
    </w:p>
    <w:p w:rsidR="00365EE2" w:rsidRPr="0038159C" w:rsidRDefault="00365EE2" w:rsidP="00981D53">
      <w:pPr>
        <w:pStyle w:val="NormalParaAR"/>
        <w:keepNext/>
        <w:rPr>
          <w:b/>
          <w:bCs/>
          <w:sz w:val="40"/>
          <w:szCs w:val="40"/>
          <w:rtl/>
        </w:rPr>
      </w:pPr>
      <w:r w:rsidRPr="0038159C">
        <w:rPr>
          <w:rFonts w:hint="cs"/>
          <w:b/>
          <w:bCs/>
          <w:sz w:val="40"/>
          <w:szCs w:val="40"/>
          <w:rtl/>
        </w:rPr>
        <w:t xml:space="preserve">البند </w:t>
      </w:r>
      <w:r w:rsidR="00981D53">
        <w:rPr>
          <w:rFonts w:hint="cs"/>
          <w:b/>
          <w:bCs/>
          <w:sz w:val="40"/>
          <w:szCs w:val="40"/>
          <w:rtl/>
        </w:rPr>
        <w:t>9</w:t>
      </w:r>
      <w:r w:rsidRPr="0038159C">
        <w:rPr>
          <w:rFonts w:hint="cs"/>
          <w:b/>
          <w:bCs/>
          <w:sz w:val="40"/>
          <w:szCs w:val="40"/>
          <w:rtl/>
        </w:rPr>
        <w:t xml:space="preserve"> من جدول الأعمال: اختتام الدورة</w:t>
      </w:r>
    </w:p>
    <w:p w:rsidR="00365EE2" w:rsidRPr="00186D0B" w:rsidRDefault="00365EE2" w:rsidP="003F0E1C">
      <w:pPr>
        <w:pStyle w:val="NumberedParaAR"/>
        <w:spacing w:after="480"/>
      </w:pPr>
      <w:r w:rsidRPr="00186D0B">
        <w:rPr>
          <w:rFonts w:hint="cs"/>
          <w:rtl/>
        </w:rPr>
        <w:t xml:space="preserve">ستعقد اللجنة دورتها القادمة في الفترة من </w:t>
      </w:r>
      <w:r w:rsidR="003F0E1C">
        <w:rPr>
          <w:rFonts w:hint="cs"/>
          <w:rtl/>
        </w:rPr>
        <w:t>1</w:t>
      </w:r>
      <w:r w:rsidRPr="00186D0B">
        <w:rPr>
          <w:rFonts w:hint="cs"/>
          <w:rtl/>
        </w:rPr>
        <w:t xml:space="preserve"> إلى </w:t>
      </w:r>
      <w:r w:rsidR="003F0E1C">
        <w:rPr>
          <w:rFonts w:hint="cs"/>
          <w:rtl/>
        </w:rPr>
        <w:t>5</w:t>
      </w:r>
      <w:bookmarkStart w:id="2" w:name="_GoBack"/>
      <w:bookmarkEnd w:id="2"/>
      <w:r w:rsidRPr="00186D0B">
        <w:rPr>
          <w:rFonts w:hint="cs"/>
          <w:rtl/>
        </w:rPr>
        <w:t xml:space="preserve"> </w:t>
      </w:r>
      <w:r w:rsidR="00981D53">
        <w:rPr>
          <w:rFonts w:hint="cs"/>
          <w:rtl/>
        </w:rPr>
        <w:t>مايو</w:t>
      </w:r>
      <w:r w:rsidRPr="00186D0B">
        <w:rPr>
          <w:rFonts w:hint="cs"/>
          <w:rtl/>
        </w:rPr>
        <w:t xml:space="preserve"> </w:t>
      </w:r>
      <w:r w:rsidR="00981D53">
        <w:rPr>
          <w:rFonts w:hint="cs"/>
          <w:rtl/>
        </w:rPr>
        <w:t>2017</w:t>
      </w:r>
      <w:r w:rsidRPr="00186D0B">
        <w:rPr>
          <w:rFonts w:hint="cs"/>
          <w:rtl/>
        </w:rPr>
        <w:t>.</w:t>
      </w:r>
    </w:p>
    <w:p w:rsidR="00365EE2" w:rsidRPr="00144D5F" w:rsidRDefault="00365EE2" w:rsidP="00365EE2">
      <w:pPr>
        <w:pStyle w:val="EndofDocumentAR"/>
        <w:rPr>
          <w:rtl/>
          <w:lang w:val="fr-CH"/>
        </w:rPr>
      </w:pPr>
      <w:r>
        <w:rPr>
          <w:rFonts w:hint="cs"/>
          <w:rtl/>
        </w:rPr>
        <w:t>[نهاية الوثيقة]</w:t>
      </w:r>
    </w:p>
    <w:sectPr w:rsidR="00365EE2" w:rsidRPr="00144D5F"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E2" w:rsidRDefault="00365EE2">
      <w:r>
        <w:separator/>
      </w:r>
    </w:p>
  </w:endnote>
  <w:endnote w:type="continuationSeparator" w:id="0">
    <w:p w:rsidR="00365EE2" w:rsidRDefault="0036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E2" w:rsidRDefault="00365EE2" w:rsidP="009622BF">
      <w:pPr>
        <w:bidi/>
      </w:pPr>
      <w:bookmarkStart w:id="0" w:name="OLE_LINK1"/>
      <w:bookmarkStart w:id="1" w:name="OLE_LINK2"/>
      <w:r>
        <w:separator/>
      </w:r>
      <w:bookmarkEnd w:id="0"/>
      <w:bookmarkEnd w:id="1"/>
    </w:p>
  </w:footnote>
  <w:footnote w:type="continuationSeparator" w:id="0">
    <w:p w:rsidR="00365EE2" w:rsidRDefault="00365EE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C74EC8">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E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14F"/>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FCB"/>
    <w:rsid w:val="000C523D"/>
    <w:rsid w:val="000C52A5"/>
    <w:rsid w:val="000C563F"/>
    <w:rsid w:val="000C5DF9"/>
    <w:rsid w:val="000C5F21"/>
    <w:rsid w:val="000C662C"/>
    <w:rsid w:val="000C6821"/>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E8F"/>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5F2"/>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74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EB6"/>
    <w:rsid w:val="00164691"/>
    <w:rsid w:val="00164BD2"/>
    <w:rsid w:val="00165AC3"/>
    <w:rsid w:val="001665F3"/>
    <w:rsid w:val="001667B6"/>
    <w:rsid w:val="001668D4"/>
    <w:rsid w:val="00166A09"/>
    <w:rsid w:val="00167809"/>
    <w:rsid w:val="00167F30"/>
    <w:rsid w:val="00171844"/>
    <w:rsid w:val="00173245"/>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99E"/>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472"/>
    <w:rsid w:val="001F6545"/>
    <w:rsid w:val="001F66B5"/>
    <w:rsid w:val="001F6F36"/>
    <w:rsid w:val="001F76FD"/>
    <w:rsid w:val="001F7AD5"/>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730"/>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65F6"/>
    <w:rsid w:val="002C7D29"/>
    <w:rsid w:val="002D0298"/>
    <w:rsid w:val="002D1662"/>
    <w:rsid w:val="002D1DE5"/>
    <w:rsid w:val="002D3506"/>
    <w:rsid w:val="002D3670"/>
    <w:rsid w:val="002D4807"/>
    <w:rsid w:val="002D5683"/>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0B54"/>
    <w:rsid w:val="0030129C"/>
    <w:rsid w:val="003013E2"/>
    <w:rsid w:val="00301FE4"/>
    <w:rsid w:val="00303E3A"/>
    <w:rsid w:val="00305417"/>
    <w:rsid w:val="00306127"/>
    <w:rsid w:val="0030641B"/>
    <w:rsid w:val="003067C8"/>
    <w:rsid w:val="00311453"/>
    <w:rsid w:val="003114C9"/>
    <w:rsid w:val="0031229D"/>
    <w:rsid w:val="00313F1B"/>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593"/>
    <w:rsid w:val="003600A2"/>
    <w:rsid w:val="003612D8"/>
    <w:rsid w:val="003637B6"/>
    <w:rsid w:val="00363F89"/>
    <w:rsid w:val="00363FB0"/>
    <w:rsid w:val="003646D6"/>
    <w:rsid w:val="00364FC6"/>
    <w:rsid w:val="0036541D"/>
    <w:rsid w:val="00365EE2"/>
    <w:rsid w:val="00370504"/>
    <w:rsid w:val="00371814"/>
    <w:rsid w:val="00372BAE"/>
    <w:rsid w:val="00372EE9"/>
    <w:rsid w:val="00373F07"/>
    <w:rsid w:val="00374A60"/>
    <w:rsid w:val="00375181"/>
    <w:rsid w:val="003764C0"/>
    <w:rsid w:val="003767A4"/>
    <w:rsid w:val="003774F6"/>
    <w:rsid w:val="003818B3"/>
    <w:rsid w:val="0038356A"/>
    <w:rsid w:val="0038382F"/>
    <w:rsid w:val="003838A3"/>
    <w:rsid w:val="0038443F"/>
    <w:rsid w:val="00385427"/>
    <w:rsid w:val="0038679D"/>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A5E"/>
    <w:rsid w:val="003C3D89"/>
    <w:rsid w:val="003C3EE2"/>
    <w:rsid w:val="003C4224"/>
    <w:rsid w:val="003C426D"/>
    <w:rsid w:val="003C4877"/>
    <w:rsid w:val="003C4983"/>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E1C"/>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852"/>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3CC3"/>
    <w:rsid w:val="004444E3"/>
    <w:rsid w:val="004447FD"/>
    <w:rsid w:val="00445032"/>
    <w:rsid w:val="004450CB"/>
    <w:rsid w:val="00446967"/>
    <w:rsid w:val="00446AB6"/>
    <w:rsid w:val="0044720B"/>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8A6"/>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4E96"/>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B95"/>
    <w:rsid w:val="005A0C60"/>
    <w:rsid w:val="005A13E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42D"/>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6C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343"/>
    <w:rsid w:val="006C54BD"/>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1C3A"/>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34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4D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3F9"/>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5F3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845"/>
    <w:rsid w:val="008B4941"/>
    <w:rsid w:val="008B4984"/>
    <w:rsid w:val="008B4F60"/>
    <w:rsid w:val="008B559A"/>
    <w:rsid w:val="008B598F"/>
    <w:rsid w:val="008B66A5"/>
    <w:rsid w:val="008B7C8B"/>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D53"/>
    <w:rsid w:val="00983CEA"/>
    <w:rsid w:val="00984198"/>
    <w:rsid w:val="00984E04"/>
    <w:rsid w:val="00986194"/>
    <w:rsid w:val="009861D2"/>
    <w:rsid w:val="00986E53"/>
    <w:rsid w:val="00987CE5"/>
    <w:rsid w:val="0099291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7BD"/>
    <w:rsid w:val="009A7B75"/>
    <w:rsid w:val="009B010D"/>
    <w:rsid w:val="009B0AAB"/>
    <w:rsid w:val="009B0D3E"/>
    <w:rsid w:val="009B2AD1"/>
    <w:rsid w:val="009B3224"/>
    <w:rsid w:val="009B3A61"/>
    <w:rsid w:val="009B422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120"/>
    <w:rsid w:val="00A26FFF"/>
    <w:rsid w:val="00A3156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13F"/>
    <w:rsid w:val="00AB36D4"/>
    <w:rsid w:val="00AB5500"/>
    <w:rsid w:val="00AB5564"/>
    <w:rsid w:val="00AB57FB"/>
    <w:rsid w:val="00AB7348"/>
    <w:rsid w:val="00AC13B0"/>
    <w:rsid w:val="00AC2FD0"/>
    <w:rsid w:val="00AC3DBD"/>
    <w:rsid w:val="00AC5E85"/>
    <w:rsid w:val="00AD03D8"/>
    <w:rsid w:val="00AD0D5F"/>
    <w:rsid w:val="00AD1F4D"/>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3A2"/>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5B60"/>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3841"/>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3E6"/>
    <w:rsid w:val="00C374AD"/>
    <w:rsid w:val="00C40DE4"/>
    <w:rsid w:val="00C40E63"/>
    <w:rsid w:val="00C41A06"/>
    <w:rsid w:val="00C4261B"/>
    <w:rsid w:val="00C42BFB"/>
    <w:rsid w:val="00C44BFB"/>
    <w:rsid w:val="00C44DDC"/>
    <w:rsid w:val="00C5128B"/>
    <w:rsid w:val="00C51423"/>
    <w:rsid w:val="00C5294D"/>
    <w:rsid w:val="00C52F83"/>
    <w:rsid w:val="00C54C1B"/>
    <w:rsid w:val="00C54DBA"/>
    <w:rsid w:val="00C57ED3"/>
    <w:rsid w:val="00C61640"/>
    <w:rsid w:val="00C61AA7"/>
    <w:rsid w:val="00C61B8E"/>
    <w:rsid w:val="00C63B6C"/>
    <w:rsid w:val="00C668DE"/>
    <w:rsid w:val="00C7044F"/>
    <w:rsid w:val="00C720F8"/>
    <w:rsid w:val="00C7294B"/>
    <w:rsid w:val="00C74EC8"/>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40"/>
    <w:rsid w:val="00D053D2"/>
    <w:rsid w:val="00D07D07"/>
    <w:rsid w:val="00D10F87"/>
    <w:rsid w:val="00D1149D"/>
    <w:rsid w:val="00D11B8E"/>
    <w:rsid w:val="00D11D8D"/>
    <w:rsid w:val="00D12B12"/>
    <w:rsid w:val="00D12DD7"/>
    <w:rsid w:val="00D13A8C"/>
    <w:rsid w:val="00D149E1"/>
    <w:rsid w:val="00D14A44"/>
    <w:rsid w:val="00D15BCC"/>
    <w:rsid w:val="00D1628F"/>
    <w:rsid w:val="00D178DD"/>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8DC"/>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49E"/>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61F"/>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DBC"/>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820"/>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9B8"/>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5EE2"/>
    <w:rPr>
      <w:rFonts w:ascii="Tahoma" w:hAnsi="Tahoma" w:cs="Tahoma"/>
      <w:sz w:val="16"/>
      <w:szCs w:val="16"/>
    </w:rPr>
  </w:style>
  <w:style w:type="character" w:customStyle="1" w:styleId="BalloonTextChar">
    <w:name w:val="Balloon Text Char"/>
    <w:basedOn w:val="DefaultParagraphFont"/>
    <w:link w:val="BalloonText"/>
    <w:rsid w:val="00365EE2"/>
    <w:rPr>
      <w:rFonts w:ascii="Tahoma" w:hAnsi="Tahoma" w:cs="Tahoma"/>
      <w:sz w:val="16"/>
      <w:szCs w:val="16"/>
    </w:rPr>
  </w:style>
  <w:style w:type="character" w:styleId="Hyperlink">
    <w:name w:val="Hyperlink"/>
    <w:basedOn w:val="DefaultParagraphFont"/>
    <w:rsid w:val="00365E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5EE2"/>
    <w:rPr>
      <w:rFonts w:ascii="Tahoma" w:hAnsi="Tahoma" w:cs="Tahoma"/>
      <w:sz w:val="16"/>
      <w:szCs w:val="16"/>
    </w:rPr>
  </w:style>
  <w:style w:type="character" w:customStyle="1" w:styleId="BalloonTextChar">
    <w:name w:val="Balloon Text Char"/>
    <w:basedOn w:val="DefaultParagraphFont"/>
    <w:link w:val="BalloonText"/>
    <w:rsid w:val="00365EE2"/>
    <w:rPr>
      <w:rFonts w:ascii="Tahoma" w:hAnsi="Tahoma" w:cs="Tahoma"/>
      <w:sz w:val="16"/>
      <w:szCs w:val="16"/>
    </w:rPr>
  </w:style>
  <w:style w:type="character" w:styleId="Hyperlink">
    <w:name w:val="Hyperlink"/>
    <w:basedOn w:val="DefaultParagraphFont"/>
    <w:rsid w:val="00365E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SCCR_33_AR.dotx</Template>
  <TotalTime>30</TotalTime>
  <Pages>5</Pages>
  <Words>1419</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SCCR/33/-- (Arabic)</vt:lpstr>
    </vt:vector>
  </TitlesOfParts>
  <Company>World Intellectual Property Organization</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 (Arabic)</dc:title>
  <dc:creator>MERZOUK Fawzi</dc:creator>
  <cp:lastModifiedBy> </cp:lastModifiedBy>
  <cp:revision>22</cp:revision>
  <cp:lastPrinted>2016-11-23T16:33:00Z</cp:lastPrinted>
  <dcterms:created xsi:type="dcterms:W3CDTF">2016-11-23T15:53:00Z</dcterms:created>
  <dcterms:modified xsi:type="dcterms:W3CDTF">2016-11-23T16:33:00Z</dcterms:modified>
</cp:coreProperties>
</file>