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40476" w:rsidP="004F24AC">
            <w:pPr>
              <w:pStyle w:val="DocumentCodeAR"/>
              <w:bidi/>
              <w:rPr>
                <w:rtl/>
              </w:rPr>
            </w:pPr>
            <w:r>
              <w:t>SCCR/3</w:t>
            </w:r>
            <w:r w:rsidR="004F24AC">
              <w:t>3</w:t>
            </w:r>
            <w:r w:rsidR="004D0AAA">
              <w:t>/5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A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D0AAA">
              <w:rPr>
                <w:rFonts w:hint="cs"/>
                <w:rtl/>
              </w:rPr>
              <w:t>بالإسبانية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A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AA">
              <w:rPr>
                <w:rFonts w:hint="cs"/>
                <w:rtl/>
              </w:rPr>
              <w:t>8</w:t>
            </w:r>
            <w:r w:rsidRPr="00B6101C">
              <w:rPr>
                <w:rFonts w:hint="cs"/>
                <w:rtl/>
              </w:rPr>
              <w:t xml:space="preserve"> </w:t>
            </w:r>
            <w:r w:rsidR="004D0AAA">
              <w:rPr>
                <w:rFonts w:hint="cs"/>
                <w:rtl/>
              </w:rPr>
              <w:t>نوفمبر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40476" w:rsidP="00796CF7">
      <w:pPr>
        <w:pStyle w:val="MeetingTitleAR"/>
        <w:bidi/>
        <w:ind w:right="550"/>
        <w:rPr>
          <w:rtl/>
        </w:rPr>
      </w:pPr>
      <w:r w:rsidRPr="00F40476">
        <w:rPr>
          <w:rtl/>
        </w:rPr>
        <w:t>اللجنة الدائمة المعنية بحق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4F24AC" w:rsidP="004F24AC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 الثا</w:t>
      </w:r>
      <w:r>
        <w:rPr>
          <w:rFonts w:ascii="Cambria Math" w:hAnsi="Cambria Math" w:hint="cs"/>
          <w:rtl/>
        </w:rPr>
        <w:t>لثة</w:t>
      </w:r>
      <w:r w:rsidR="00F40476" w:rsidRPr="00F40476">
        <w:rPr>
          <w:rFonts w:ascii="Cambria Math" w:hAnsi="Cambria Math"/>
          <w:rtl/>
        </w:rPr>
        <w:t xml:space="preserve"> والثلاثون</w:t>
      </w:r>
    </w:p>
    <w:p w:rsidR="00D61541" w:rsidRPr="00D61541" w:rsidRDefault="00F40476" w:rsidP="004F24AC">
      <w:pPr>
        <w:pStyle w:val="MeetingDatesAR"/>
        <w:bidi/>
        <w:rPr>
          <w:rtl/>
        </w:rPr>
      </w:pPr>
      <w:r w:rsidRPr="00F40476">
        <w:rPr>
          <w:rtl/>
        </w:rPr>
        <w:t xml:space="preserve">جنيف، من </w:t>
      </w:r>
      <w:r w:rsidR="004F24AC">
        <w:rPr>
          <w:rFonts w:hint="cs"/>
          <w:rtl/>
        </w:rPr>
        <w:t>14</w:t>
      </w:r>
      <w:r w:rsidRPr="00F40476">
        <w:rPr>
          <w:rtl/>
        </w:rPr>
        <w:t xml:space="preserve"> إلى </w:t>
      </w:r>
      <w:r w:rsidR="004F24AC">
        <w:rPr>
          <w:rFonts w:hint="cs"/>
          <w:rtl/>
        </w:rPr>
        <w:t>18</w:t>
      </w:r>
      <w:r w:rsidRPr="00F40476">
        <w:rPr>
          <w:rtl/>
        </w:rPr>
        <w:t xml:space="preserve"> </w:t>
      </w:r>
      <w:r w:rsidR="004F24AC">
        <w:rPr>
          <w:rFonts w:hint="cs"/>
          <w:rtl/>
        </w:rPr>
        <w:t>نوفمبر</w:t>
      </w:r>
      <w:r w:rsidRPr="00F40476">
        <w:rPr>
          <w:rtl/>
        </w:rPr>
        <w:t xml:space="preserve">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84FD1" w:rsidP="00FB7EC9">
      <w:pPr>
        <w:pStyle w:val="DocumentTitleAR"/>
        <w:bidi/>
        <w:rPr>
          <w:rtl/>
        </w:rPr>
      </w:pPr>
      <w:r>
        <w:rPr>
          <w:rFonts w:hint="cs"/>
          <w:rtl/>
        </w:rPr>
        <w:t>تعليقات على مشروع معاهدة حماية هيئات البث</w:t>
      </w:r>
    </w:p>
    <w:p w:rsidR="00D61541" w:rsidRPr="00D61541" w:rsidRDefault="004D0AAA" w:rsidP="004D0AAA">
      <w:pPr>
        <w:pStyle w:val="PreparedbyAR"/>
        <w:bidi/>
        <w:rPr>
          <w:rtl/>
        </w:rPr>
      </w:pPr>
      <w:r>
        <w:rPr>
          <w:rFonts w:hint="cs"/>
          <w:rtl/>
        </w:rPr>
        <w:t>وثيقة قدمتها الأرجنتين</w:t>
      </w:r>
      <w:r w:rsidR="00BE280E">
        <w:rPr>
          <w:rFonts w:hint="cs"/>
          <w:rtl/>
        </w:rPr>
        <w:t xml:space="preserve"> وكولومبيا والمكسيك</w:t>
      </w:r>
    </w:p>
    <w:p w:rsidR="00584FD1" w:rsidRDefault="00584FD1" w:rsidP="008674AB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CF79DF" w:rsidRDefault="00584FD1" w:rsidP="008674AB">
      <w:pPr>
        <w:pStyle w:val="NumberedParaAR"/>
        <w:ind w:left="567" w:hanging="567"/>
      </w:pPr>
      <w:r>
        <w:rPr>
          <w:rFonts w:hint="cs"/>
          <w:rtl/>
        </w:rPr>
        <w:lastRenderedPageBreak/>
        <w:t xml:space="preserve">ثلاثون </w:t>
      </w:r>
      <w:r w:rsidR="00170225">
        <w:rPr>
          <w:rFonts w:hint="cs"/>
          <w:rtl/>
        </w:rPr>
        <w:t>دورة</w:t>
      </w:r>
      <w:r>
        <w:rPr>
          <w:rFonts w:hint="cs"/>
          <w:rtl/>
        </w:rPr>
        <w:t xml:space="preserve"> </w:t>
      </w:r>
      <w:r w:rsidR="00170225">
        <w:rPr>
          <w:rFonts w:hint="cs"/>
          <w:rtl/>
        </w:rPr>
        <w:t>وتكافح</w:t>
      </w:r>
      <w:r>
        <w:rPr>
          <w:rFonts w:hint="cs"/>
          <w:rtl/>
        </w:rPr>
        <w:t xml:space="preserve"> اللجنة الدائمة المعنية بحق المؤلف والحقوق المجاورة (اللجنة) من أجل تحديث الحماية الدولية لهيئات البث</w:t>
      </w:r>
      <w:r w:rsidR="008674AB">
        <w:rPr>
          <w:rFonts w:hint="cs"/>
          <w:rtl/>
        </w:rPr>
        <w:t>؛ وما زالت على كفاحها منذ نوفمبر 1998</w:t>
      </w:r>
      <w:r>
        <w:rPr>
          <w:rFonts w:hint="cs"/>
          <w:rtl/>
        </w:rPr>
        <w:t>.</w:t>
      </w:r>
    </w:p>
    <w:p w:rsidR="00584FD1" w:rsidRDefault="00584FD1" w:rsidP="000E5AAC">
      <w:pPr>
        <w:pStyle w:val="NumberedParaAR"/>
        <w:ind w:left="567" w:hanging="567"/>
      </w:pPr>
      <w:r>
        <w:rPr>
          <w:rFonts w:hint="cs"/>
          <w:rtl/>
        </w:rPr>
        <w:t xml:space="preserve">وبعد سنوات من العمل الدؤوب، قررت الجمعية العامة للويبو في </w:t>
      </w:r>
      <w:r w:rsidR="008674AB">
        <w:rPr>
          <w:rFonts w:hint="cs"/>
          <w:rtl/>
        </w:rPr>
        <w:t>دورة</w:t>
      </w:r>
      <w:r>
        <w:rPr>
          <w:rFonts w:hint="cs"/>
          <w:rtl/>
        </w:rPr>
        <w:t xml:space="preserve"> سبتمبر/أكتوبر 2006</w:t>
      </w:r>
      <w:r w:rsidR="008674AB">
        <w:rPr>
          <w:rFonts w:hint="cs"/>
          <w:rtl/>
        </w:rPr>
        <w:t xml:space="preserve"> </w:t>
      </w:r>
      <w:r w:rsidR="008674AB">
        <w:rPr>
          <w:rtl/>
        </w:rPr>
        <w:t>–</w:t>
      </w:r>
      <w:r>
        <w:rPr>
          <w:rFonts w:hint="cs"/>
          <w:rtl/>
        </w:rPr>
        <w:t xml:space="preserve"> أي</w:t>
      </w:r>
      <w:r w:rsidR="008674AB">
        <w:rPr>
          <w:rFonts w:hint="eastAsia"/>
          <w:rtl/>
        </w:rPr>
        <w:t> </w:t>
      </w:r>
      <w:r w:rsidR="000E5AAC">
        <w:rPr>
          <w:rFonts w:hint="cs"/>
          <w:rtl/>
        </w:rPr>
        <w:t>قبل</w:t>
      </w:r>
      <w:r>
        <w:rPr>
          <w:rFonts w:hint="cs"/>
          <w:rtl/>
        </w:rPr>
        <w:t xml:space="preserve"> عشر سنوات تحديداً</w:t>
      </w:r>
      <w:r w:rsidR="008674AB">
        <w:rPr>
          <w:rFonts w:hint="cs"/>
          <w:rtl/>
        </w:rPr>
        <w:t xml:space="preserve"> </w:t>
      </w:r>
      <w:r w:rsidR="008674AB">
        <w:rPr>
          <w:rtl/>
        </w:rPr>
        <w:t>–</w:t>
      </w:r>
      <w:r>
        <w:rPr>
          <w:rFonts w:hint="cs"/>
          <w:rtl/>
        </w:rPr>
        <w:t xml:space="preserve"> أن تأذن بعقد مؤتمر دبلوماسي </w:t>
      </w:r>
      <w:r w:rsidR="008674AB">
        <w:rPr>
          <w:rFonts w:hint="cs"/>
          <w:rtl/>
        </w:rPr>
        <w:t>على</w:t>
      </w:r>
      <w:r>
        <w:rPr>
          <w:rFonts w:hint="cs"/>
          <w:rtl/>
        </w:rPr>
        <w:t xml:space="preserve"> أن تخرج اللجنة نصاً </w:t>
      </w:r>
      <w:r w:rsidR="008674AB">
        <w:rPr>
          <w:rFonts w:hint="cs"/>
          <w:rtl/>
        </w:rPr>
        <w:t>مبسطاً أكثر</w:t>
      </w:r>
      <w:r>
        <w:rPr>
          <w:rFonts w:hint="cs"/>
          <w:rtl/>
        </w:rPr>
        <w:t xml:space="preserve"> للاقتراح الأساسي </w:t>
      </w:r>
      <w:r w:rsidR="008674AB">
        <w:rPr>
          <w:rFonts w:hint="cs"/>
          <w:rtl/>
        </w:rPr>
        <w:t>مقارنة</w:t>
      </w:r>
      <w:r>
        <w:rPr>
          <w:rFonts w:hint="cs"/>
          <w:rtl/>
        </w:rPr>
        <w:t xml:space="preserve"> </w:t>
      </w:r>
      <w:r w:rsidR="008674AB">
        <w:rPr>
          <w:rFonts w:hint="cs"/>
          <w:rtl/>
        </w:rPr>
        <w:t>ب</w:t>
      </w:r>
      <w:r>
        <w:rPr>
          <w:rFonts w:hint="cs"/>
          <w:rtl/>
        </w:rPr>
        <w:t xml:space="preserve">الوثيقة </w:t>
      </w:r>
      <w:r>
        <w:t>SCCR/15/2 Rev</w:t>
      </w:r>
      <w:r w:rsidR="008674AB">
        <w:rPr>
          <w:rFonts w:hint="cs"/>
          <w:rtl/>
        </w:rPr>
        <w:t xml:space="preserve">، </w:t>
      </w:r>
      <w:r>
        <w:rPr>
          <w:rFonts w:hint="cs"/>
          <w:rtl/>
        </w:rPr>
        <w:t xml:space="preserve">واشترطت في عام 2007 أن </w:t>
      </w:r>
      <w:r w:rsidR="00774D92">
        <w:rPr>
          <w:rFonts w:hint="cs"/>
          <w:rtl/>
        </w:rPr>
        <w:t>تضم</w:t>
      </w:r>
      <w:r w:rsidR="008674AB">
        <w:rPr>
          <w:rFonts w:hint="cs"/>
          <w:rtl/>
        </w:rPr>
        <w:t xml:space="preserve"> تلك</w:t>
      </w:r>
      <w:r>
        <w:rPr>
          <w:rFonts w:hint="cs"/>
          <w:rtl/>
        </w:rPr>
        <w:t xml:space="preserve"> الوثيقة اتفاقاً على </w:t>
      </w:r>
      <w:r w:rsidR="008674AB">
        <w:rPr>
          <w:rFonts w:hint="cs"/>
          <w:rtl/>
        </w:rPr>
        <w:t>هدف الحماية ونطاقها وموضوعها</w:t>
      </w:r>
      <w:r>
        <w:rPr>
          <w:rFonts w:hint="cs"/>
          <w:rtl/>
        </w:rPr>
        <w:t xml:space="preserve"> استناداً إلى نهج "قائم على الإشارة".</w:t>
      </w:r>
    </w:p>
    <w:p w:rsidR="00584FD1" w:rsidRDefault="00584FD1" w:rsidP="00774D92">
      <w:pPr>
        <w:pStyle w:val="NumberedParaAR"/>
        <w:ind w:left="567" w:hanging="567"/>
      </w:pPr>
      <w:r>
        <w:rPr>
          <w:rFonts w:hint="cs"/>
          <w:rtl/>
        </w:rPr>
        <w:t xml:space="preserve">ولقد قطعت اللجنة شوطاً كبيراً في مناقشاتها منذ ذلك الحين ولم يكن ذلك بسهل نظراً إلى التطور السريع الذي شهده مجال الاتصالات على مدى السنوات الماضية. </w:t>
      </w:r>
      <w:r w:rsidR="00774D92">
        <w:rPr>
          <w:rFonts w:hint="cs"/>
          <w:rtl/>
        </w:rPr>
        <w:t>إذ أدت</w:t>
      </w:r>
      <w:r>
        <w:rPr>
          <w:rFonts w:hint="cs"/>
          <w:rtl/>
        </w:rPr>
        <w:t xml:space="preserve"> رقمنة أنشطة هيئات البث التقليدية </w:t>
      </w:r>
      <w:r w:rsidR="00774D92">
        <w:rPr>
          <w:rFonts w:hint="cs"/>
          <w:rtl/>
        </w:rPr>
        <w:t xml:space="preserve">إلى نهضة في مجال البث </w:t>
      </w:r>
      <w:r>
        <w:rPr>
          <w:rFonts w:hint="cs"/>
          <w:rtl/>
        </w:rPr>
        <w:t>وفتحت آفاقاً جديدة لهيئات البث بوجه عام فشملت</w:t>
      </w:r>
      <w:r w:rsidR="00774D92">
        <w:rPr>
          <w:rFonts w:hint="cs"/>
          <w:rtl/>
        </w:rPr>
        <w:t xml:space="preserve"> آثارها البث الأرضي والساتلي و</w:t>
      </w:r>
      <w:r>
        <w:rPr>
          <w:rFonts w:hint="cs"/>
          <w:rtl/>
        </w:rPr>
        <w:t xml:space="preserve">الكابلي </w:t>
      </w:r>
      <w:r w:rsidR="00774D92">
        <w:rPr>
          <w:rFonts w:hint="cs"/>
          <w:rtl/>
        </w:rPr>
        <w:t>بل</w:t>
      </w:r>
      <w:r>
        <w:rPr>
          <w:rFonts w:hint="cs"/>
          <w:rtl/>
        </w:rPr>
        <w:t xml:space="preserve"> العالم الرقمي والإنترنت بما في ذلك الإرسال </w:t>
      </w:r>
      <w:r w:rsidR="006C397F">
        <w:rPr>
          <w:rFonts w:hint="cs"/>
          <w:rtl/>
        </w:rPr>
        <w:t>والإرسال</w:t>
      </w:r>
      <w:r>
        <w:rPr>
          <w:rFonts w:hint="cs"/>
          <w:rtl/>
        </w:rPr>
        <w:t xml:space="preserve"> المتزامن</w:t>
      </w:r>
      <w:r w:rsidR="00774D92">
        <w:rPr>
          <w:rFonts w:hint="cs"/>
          <w:rtl/>
        </w:rPr>
        <w:t xml:space="preserve"> والإتاحة</w:t>
      </w:r>
      <w:r w:rsidR="006C397F">
        <w:rPr>
          <w:rFonts w:hint="cs"/>
          <w:rtl/>
        </w:rPr>
        <w:t>. وأُحرز تقدم كبير في المفاوضات</w:t>
      </w:r>
      <w:r w:rsidR="00774D92">
        <w:rPr>
          <w:rFonts w:hint="cs"/>
          <w:rtl/>
        </w:rPr>
        <w:t>،</w:t>
      </w:r>
      <w:r w:rsidR="006C397F">
        <w:rPr>
          <w:rFonts w:hint="cs"/>
          <w:rtl/>
        </w:rPr>
        <w:t xml:space="preserve"> </w:t>
      </w:r>
      <w:r w:rsidR="00774D92">
        <w:rPr>
          <w:rFonts w:hint="cs"/>
          <w:rtl/>
        </w:rPr>
        <w:t>التي استوعبت</w:t>
      </w:r>
      <w:r w:rsidR="006C397F">
        <w:rPr>
          <w:rFonts w:hint="cs"/>
          <w:rtl/>
        </w:rPr>
        <w:t xml:space="preserve"> ذلك التطور، حتى بلغت المرحلة اللازمة لعقد مؤتمر دبلوماسي </w:t>
      </w:r>
      <w:r w:rsidR="00774D92">
        <w:rPr>
          <w:rFonts w:hint="cs"/>
          <w:rtl/>
        </w:rPr>
        <w:t>و</w:t>
      </w:r>
      <w:r w:rsidR="006C397F">
        <w:rPr>
          <w:rFonts w:hint="cs"/>
          <w:rtl/>
        </w:rPr>
        <w:t>توقيع هذه المعاهدة المنتظرة لحماية هيئات البث.</w:t>
      </w:r>
    </w:p>
    <w:p w:rsidR="006C397F" w:rsidRDefault="006C397F" w:rsidP="00774D92">
      <w:pPr>
        <w:pStyle w:val="NumberedParaAR"/>
        <w:ind w:left="567" w:hanging="567"/>
      </w:pPr>
      <w:r>
        <w:rPr>
          <w:rFonts w:hint="cs"/>
          <w:rtl/>
        </w:rPr>
        <w:t xml:space="preserve">ولا شك في ضرورة مناقشة التفاصيل التقنية والقانونية العالقة، ولكننا خرجنا من عنق الزجاجة الذي أدى </w:t>
      </w:r>
      <w:r w:rsidR="00774D92">
        <w:rPr>
          <w:rFonts w:hint="cs"/>
          <w:rtl/>
        </w:rPr>
        <w:t>ب</w:t>
      </w:r>
      <w:r>
        <w:rPr>
          <w:rFonts w:hint="cs"/>
          <w:rtl/>
        </w:rPr>
        <w:t xml:space="preserve">اللجنة </w:t>
      </w:r>
      <w:r w:rsidR="00774D92">
        <w:rPr>
          <w:rFonts w:hint="cs"/>
          <w:rtl/>
        </w:rPr>
        <w:t xml:space="preserve">إلى تكريس </w:t>
      </w:r>
      <w:r>
        <w:rPr>
          <w:rFonts w:hint="cs"/>
          <w:rtl/>
        </w:rPr>
        <w:t xml:space="preserve">عشرين عاماً من ولايتها لذلك العمل أو يكاد. </w:t>
      </w:r>
      <w:r w:rsidR="00774D92">
        <w:rPr>
          <w:rFonts w:hint="cs"/>
          <w:rtl/>
        </w:rPr>
        <w:t>و</w:t>
      </w:r>
      <w:r>
        <w:rPr>
          <w:rFonts w:hint="cs"/>
          <w:rtl/>
        </w:rPr>
        <w:t>يمكن إيجاد حلول عملية للقضايا العالقة في إطار المعاهدة</w:t>
      </w:r>
      <w:r w:rsidR="00774D92">
        <w:rPr>
          <w:rFonts w:hint="eastAsia"/>
          <w:rtl/>
        </w:rPr>
        <w:t> </w:t>
      </w:r>
      <w:r>
        <w:rPr>
          <w:rFonts w:hint="cs"/>
          <w:rtl/>
        </w:rPr>
        <w:t>الحالية.</w:t>
      </w:r>
    </w:p>
    <w:p w:rsidR="006C397F" w:rsidRDefault="006C397F" w:rsidP="0034326D">
      <w:pPr>
        <w:pStyle w:val="NormalParaAR"/>
        <w:ind w:left="566"/>
        <w:rPr>
          <w:rtl/>
        </w:rPr>
      </w:pPr>
      <w:r>
        <w:rPr>
          <w:rFonts w:hint="cs"/>
          <w:rtl/>
        </w:rPr>
        <w:t xml:space="preserve">وعلى سبيل المثال، ينبغي إدراج مسألة حصر المعاهدة على "هيئات البث التقليدية" في نطاق التطبيق دون أن يؤثر ذلك في فعاليتها: فللمعاهدة الجديدة أن تحمي هيئات البث التقليدية ولكن ينبغي أن تشمل </w:t>
      </w:r>
      <w:r w:rsidR="00774D92">
        <w:rPr>
          <w:rFonts w:hint="cs"/>
          <w:rtl/>
        </w:rPr>
        <w:t>أيضاً بحمايتها الإرسال</w:t>
      </w:r>
      <w:r>
        <w:rPr>
          <w:rFonts w:hint="cs"/>
          <w:rtl/>
        </w:rPr>
        <w:t xml:space="preserve"> </w:t>
      </w:r>
      <w:r w:rsidR="00774D92">
        <w:rPr>
          <w:rFonts w:hint="cs"/>
          <w:rtl/>
        </w:rPr>
        <w:t xml:space="preserve">عبر الشبكات الحاسوبية كما هو الحال بالنسبة إلى </w:t>
      </w:r>
      <w:r>
        <w:rPr>
          <w:rFonts w:hint="cs"/>
          <w:rtl/>
        </w:rPr>
        <w:t>الإرسال المتزامن وشبه المتزامن الذي ي</w:t>
      </w:r>
      <w:r w:rsidR="00774D92">
        <w:rPr>
          <w:rFonts w:hint="cs"/>
          <w:rtl/>
        </w:rPr>
        <w:t>ُ</w:t>
      </w:r>
      <w:r>
        <w:rPr>
          <w:rFonts w:hint="cs"/>
          <w:rtl/>
        </w:rPr>
        <w:t xml:space="preserve">بث بتأخر طفيف </w:t>
      </w:r>
      <w:r w:rsidR="00774D92">
        <w:rPr>
          <w:rFonts w:hint="cs"/>
          <w:rtl/>
        </w:rPr>
        <w:t>ل</w:t>
      </w:r>
      <w:r>
        <w:rPr>
          <w:rFonts w:hint="cs"/>
          <w:rtl/>
        </w:rPr>
        <w:t>اختلاف التوقيت</w:t>
      </w:r>
      <w:r w:rsidR="00774D92">
        <w:rPr>
          <w:rFonts w:hint="cs"/>
          <w:rtl/>
        </w:rPr>
        <w:t xml:space="preserve"> الزمني</w:t>
      </w:r>
      <w:r>
        <w:rPr>
          <w:rFonts w:hint="cs"/>
          <w:rtl/>
        </w:rPr>
        <w:t xml:space="preserve">. وينبغي أيضاً حماية الإرسال المؤجل الذي قد يبث محتويات إضافية من أخبار ولقاءات ومباريات </w:t>
      </w:r>
      <w:r w:rsidR="00774D92">
        <w:rPr>
          <w:rFonts w:hint="cs"/>
          <w:rtl/>
        </w:rPr>
        <w:t>يُنتفع بها بالتوازي</w:t>
      </w:r>
      <w:r>
        <w:rPr>
          <w:rFonts w:hint="cs"/>
          <w:rtl/>
        </w:rPr>
        <w:t>. ويرتهن ذلك النوع من الحماية ب</w:t>
      </w:r>
      <w:r w:rsidR="0034326D">
        <w:rPr>
          <w:rFonts w:hint="cs"/>
          <w:rtl/>
        </w:rPr>
        <w:t xml:space="preserve">أن يتصل </w:t>
      </w:r>
      <w:r>
        <w:rPr>
          <w:rFonts w:hint="cs"/>
          <w:rtl/>
        </w:rPr>
        <w:t xml:space="preserve">الإرسال </w:t>
      </w:r>
      <w:r w:rsidR="0034326D">
        <w:rPr>
          <w:rFonts w:hint="cs"/>
          <w:rtl/>
        </w:rPr>
        <w:t>ا</w:t>
      </w:r>
      <w:r>
        <w:rPr>
          <w:rFonts w:hint="cs"/>
          <w:rtl/>
        </w:rPr>
        <w:t>تصالاً وثيقاً بالبث أو البث الكبلي</w:t>
      </w:r>
      <w:r w:rsidR="00170225">
        <w:rPr>
          <w:rFonts w:hint="cs"/>
          <w:rtl/>
        </w:rPr>
        <w:t xml:space="preserve"> الصادر عن هيئة بث أو بث كبلي.</w:t>
      </w:r>
    </w:p>
    <w:p w:rsidR="00170225" w:rsidRDefault="00170225" w:rsidP="00170225">
      <w:pPr>
        <w:pStyle w:val="NormalParaAR"/>
        <w:ind w:left="566"/>
        <w:rPr>
          <w:rtl/>
        </w:rPr>
      </w:pPr>
      <w:r>
        <w:rPr>
          <w:rFonts w:hint="cs"/>
          <w:rtl/>
        </w:rPr>
        <w:t>و</w:t>
      </w:r>
      <w:r w:rsidR="0034326D">
        <w:rPr>
          <w:rFonts w:hint="cs"/>
          <w:rtl/>
        </w:rPr>
        <w:t xml:space="preserve">بالمثل، </w:t>
      </w:r>
      <w:r>
        <w:rPr>
          <w:rFonts w:hint="cs"/>
          <w:rtl/>
        </w:rPr>
        <w:t xml:space="preserve">يمكن تعريف "الإرسال المؤجل" بأنه الإرسال </w:t>
      </w:r>
      <w:r w:rsidRPr="00170225">
        <w:rPr>
          <w:rtl/>
        </w:rPr>
        <w:t>بطريقة يمكن لأفراد من الجمهور النفاذ إليه من مكان وفي زمان يختارهما كل فرد منهم.</w:t>
      </w:r>
    </w:p>
    <w:p w:rsidR="00170225" w:rsidRDefault="00170225" w:rsidP="0034326D">
      <w:pPr>
        <w:pStyle w:val="NormalParaAR"/>
        <w:ind w:left="566"/>
        <w:rPr>
          <w:rtl/>
        </w:rPr>
      </w:pPr>
      <w:r>
        <w:rPr>
          <w:rFonts w:hint="cs"/>
          <w:rtl/>
        </w:rPr>
        <w:t xml:space="preserve">ونود التشديد على أنه يمكن </w:t>
      </w:r>
      <w:r w:rsidR="0034326D">
        <w:rPr>
          <w:rFonts w:hint="cs"/>
          <w:rtl/>
        </w:rPr>
        <w:t>الوصول إلى</w:t>
      </w:r>
      <w:r>
        <w:rPr>
          <w:rFonts w:hint="cs"/>
          <w:rtl/>
        </w:rPr>
        <w:t xml:space="preserve"> حل</w:t>
      </w:r>
      <w:r w:rsidR="0034326D">
        <w:rPr>
          <w:rFonts w:hint="cs"/>
          <w:rtl/>
        </w:rPr>
        <w:t>ول</w:t>
      </w:r>
      <w:r>
        <w:rPr>
          <w:rFonts w:hint="cs"/>
          <w:rtl/>
        </w:rPr>
        <w:t xml:space="preserve"> معقول</w:t>
      </w:r>
      <w:r w:rsidR="0034326D">
        <w:rPr>
          <w:rFonts w:hint="cs"/>
          <w:rtl/>
        </w:rPr>
        <w:t>ة</w:t>
      </w:r>
      <w:r>
        <w:rPr>
          <w:rFonts w:hint="cs"/>
          <w:rtl/>
        </w:rPr>
        <w:t xml:space="preserve"> للقضايا العالقة الأخرى في إطار مشروع المعاهدة الحالي.</w:t>
      </w:r>
    </w:p>
    <w:p w:rsidR="00170225" w:rsidRDefault="00170225" w:rsidP="004A6289">
      <w:pPr>
        <w:pStyle w:val="NumberedParaAR"/>
        <w:ind w:left="567" w:hanging="567"/>
        <w:rPr>
          <w:rtl/>
        </w:rPr>
      </w:pPr>
      <w:r>
        <w:rPr>
          <w:rFonts w:hint="cs"/>
          <w:rtl/>
        </w:rPr>
        <w:t xml:space="preserve">وبناء على ذلك، نرى أنه ينبغي للجنة أن </w:t>
      </w:r>
      <w:r w:rsidR="004A6289">
        <w:rPr>
          <w:rFonts w:hint="cs"/>
          <w:rtl/>
        </w:rPr>
        <w:t>تيسر</w:t>
      </w:r>
      <w:r>
        <w:rPr>
          <w:rFonts w:hint="cs"/>
          <w:rtl/>
        </w:rPr>
        <w:t xml:space="preserve"> مناقشاتها إبّان اجتماعاتها التالية فيما يخص النص الموحد والمراجع للأحكام الأساسية (</w:t>
      </w:r>
      <w:r>
        <w:t>SCCR/33/3</w:t>
      </w:r>
      <w:r>
        <w:rPr>
          <w:rFonts w:hint="cs"/>
          <w:rtl/>
        </w:rPr>
        <w:t xml:space="preserve">) من أجل إعداد مشروع </w:t>
      </w:r>
      <w:r w:rsidRPr="00170225">
        <w:rPr>
          <w:rtl/>
        </w:rPr>
        <w:t xml:space="preserve">الاقتراح الأساسي لمعاهدة الويبو بشأن حماية هيئات </w:t>
      </w:r>
      <w:r>
        <w:rPr>
          <w:rFonts w:hint="cs"/>
          <w:rtl/>
        </w:rPr>
        <w:t xml:space="preserve">البث مع مراعاة نتائج تلك الاجتماعات. </w:t>
      </w:r>
      <w:r w:rsidR="0034326D">
        <w:rPr>
          <w:rFonts w:hint="cs"/>
          <w:rtl/>
        </w:rPr>
        <w:t>والهدف هو</w:t>
      </w:r>
      <w:r>
        <w:rPr>
          <w:rFonts w:hint="cs"/>
          <w:rtl/>
        </w:rPr>
        <w:t xml:space="preserve"> عقد مؤتمر دبلوماسي بحلول ربيع عام 2018. و</w:t>
      </w:r>
      <w:r w:rsidR="0034326D">
        <w:rPr>
          <w:rFonts w:hint="cs"/>
          <w:rtl/>
        </w:rPr>
        <w:t xml:space="preserve">في ذلك السبيل، </w:t>
      </w:r>
      <w:r>
        <w:rPr>
          <w:rFonts w:hint="cs"/>
          <w:rtl/>
        </w:rPr>
        <w:t>يمكن للجنة أن تعقد اجتماعاً خاصاً أو أكثر لحل القضايا العالقة.</w:t>
      </w:r>
    </w:p>
    <w:p w:rsidR="004F24AC" w:rsidRPr="007F38D1" w:rsidRDefault="006C397F" w:rsidP="00170225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4F24AC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4F" w:rsidRDefault="00BA1D4F">
      <w:r>
        <w:separator/>
      </w:r>
    </w:p>
  </w:endnote>
  <w:endnote w:type="continuationSeparator" w:id="0">
    <w:p w:rsidR="00BA1D4F" w:rsidRDefault="00BA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4F" w:rsidRDefault="00BA1D4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A1D4F" w:rsidRDefault="00BA1D4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584FD1">
    <w:r>
      <w:t>S</w:t>
    </w:r>
    <w:r w:rsidR="00F40476">
      <w:t>CCR</w:t>
    </w:r>
    <w:r w:rsidR="002F77FC">
      <w:t>/</w:t>
    </w:r>
    <w:r w:rsidR="00F40476">
      <w:t>3</w:t>
    </w:r>
    <w:r w:rsidR="00584FD1">
      <w:t>3</w:t>
    </w:r>
    <w:r w:rsidR="002F77FC">
      <w:t>/</w:t>
    </w:r>
    <w:r w:rsidR="00584FD1">
      <w:t>5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434C8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55D401C4"/>
    <w:lvl w:ilvl="0" w:tplc="126E4AEC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A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5AAC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891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225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4C8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9D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26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289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AA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A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4FD1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397F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4D92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74AB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C72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676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27A99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D4F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80E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5F4A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356F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42A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D0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0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D0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SCCR/33/5 (Arabic)</vt:lpstr>
    </vt:vector>
  </TitlesOfParts>
  <Company>World Intellectual Property Organization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SCCR/33/5 (Arabic)</dc:title>
  <dc:creator>Ahmed Hassan</dc:creator>
  <cp:lastModifiedBy>HAIZEL Francesca</cp:lastModifiedBy>
  <cp:revision>2</cp:revision>
  <cp:lastPrinted>2016-11-09T10:19:00Z</cp:lastPrinted>
  <dcterms:created xsi:type="dcterms:W3CDTF">2016-11-09T10:38:00Z</dcterms:created>
  <dcterms:modified xsi:type="dcterms:W3CDTF">2016-11-09T10:38:00Z</dcterms:modified>
</cp:coreProperties>
</file>