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B6101C" w:rsidP="00291C0D">
            <w:pPr>
              <w:pStyle w:val="DocumentCodeAR"/>
              <w:bidi/>
              <w:rPr>
                <w:rtl/>
              </w:rPr>
            </w:pPr>
          </w:p>
        </w:tc>
      </w:tr>
      <w:tr w:rsidR="001667B6" w:rsidTr="00BF164F">
        <w:tc>
          <w:tcPr>
            <w:tcW w:w="9571" w:type="dxa"/>
            <w:gridSpan w:val="3"/>
          </w:tcPr>
          <w:p w:rsidR="001667B6" w:rsidRPr="00B6101C" w:rsidRDefault="00B6101C" w:rsidP="00197545">
            <w:pPr>
              <w:pStyle w:val="DocumentLanguageAR"/>
              <w:bidi/>
              <w:rPr>
                <w:rtl/>
              </w:rPr>
            </w:pPr>
            <w:r w:rsidRPr="00B6101C">
              <w:rPr>
                <w:rFonts w:hint="cs"/>
                <w:rtl/>
              </w:rPr>
              <w:t xml:space="preserve">الأصل: </w:t>
            </w:r>
            <w:r w:rsidR="00197545">
              <w:rPr>
                <w:rFonts w:hint="cs"/>
                <w:rtl/>
              </w:rPr>
              <w:t>بالإنكليزية</w:t>
            </w:r>
          </w:p>
        </w:tc>
      </w:tr>
      <w:tr w:rsidR="001667B6" w:rsidTr="00BF164F">
        <w:tc>
          <w:tcPr>
            <w:tcW w:w="9571" w:type="dxa"/>
            <w:gridSpan w:val="3"/>
          </w:tcPr>
          <w:p w:rsidR="001667B6" w:rsidRPr="00B6101C" w:rsidRDefault="00B6101C" w:rsidP="00FE2526">
            <w:pPr>
              <w:pStyle w:val="DocumentDateAR"/>
              <w:bidi/>
              <w:rPr>
                <w:rtl/>
              </w:rPr>
            </w:pPr>
            <w:r w:rsidRPr="00B6101C">
              <w:rPr>
                <w:rFonts w:hint="cs"/>
                <w:rtl/>
              </w:rPr>
              <w:t xml:space="preserve">التاريخ: </w:t>
            </w:r>
            <w:r w:rsidR="00FE2526">
              <w:rPr>
                <w:rFonts w:hint="cs"/>
                <w:rtl/>
              </w:rPr>
              <w:t>11</w:t>
            </w:r>
            <w:r w:rsidR="009D0288">
              <w:rPr>
                <w:rFonts w:hint="cs"/>
                <w:rtl/>
              </w:rPr>
              <w:t xml:space="preserve"> </w:t>
            </w:r>
            <w:r w:rsidR="00197545">
              <w:rPr>
                <w:rFonts w:hint="cs"/>
                <w:rtl/>
              </w:rPr>
              <w:t>ديسمبر</w:t>
            </w:r>
            <w:r w:rsidR="009D0288">
              <w:rPr>
                <w:rFonts w:hint="cs"/>
                <w:rtl/>
              </w:rPr>
              <w:t xml:space="preserve"> </w:t>
            </w:r>
            <w:r w:rsidR="00C7444A">
              <w:rPr>
                <w:rFonts w:hint="cs"/>
                <w:rtl/>
              </w:rPr>
              <w:t>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0E7ED7" w:rsidP="00983389">
      <w:pPr>
        <w:pStyle w:val="MeetingTitleAR"/>
        <w:bidi/>
        <w:ind w:right="550"/>
        <w:rPr>
          <w:rtl/>
          <w:lang w:val="fr-CH"/>
        </w:rPr>
      </w:pPr>
      <w:r w:rsidRPr="00F27305">
        <w:rPr>
          <w:rtl/>
        </w:rPr>
        <w:t>اللجنة الدائمة المعنية ب</w:t>
      </w:r>
      <w:r>
        <w:rPr>
          <w:rFonts w:hint="cs"/>
          <w:rtl/>
        </w:rPr>
        <w:t>حق المؤلف والحقوق المجاورة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0E7ED7" w:rsidP="00291C0D">
      <w:pPr>
        <w:pStyle w:val="MeetingSessionAR"/>
        <w:bidi/>
        <w:rPr>
          <w:rFonts w:ascii="Cambria Math" w:hAnsi="Cambria Math"/>
          <w:rtl/>
          <w:lang w:bidi="ar-EG"/>
        </w:rPr>
      </w:pPr>
      <w:r>
        <w:rPr>
          <w:rFonts w:ascii="Cambria Math" w:hAnsi="Cambria Math"/>
          <w:rtl/>
        </w:rPr>
        <w:t>الدورة</w:t>
      </w:r>
      <w:r>
        <w:rPr>
          <w:rFonts w:ascii="Cambria Math" w:hAnsi="Cambria Math" w:hint="cs"/>
          <w:rtl/>
          <w:lang w:val="fr-CH"/>
        </w:rPr>
        <w:t xml:space="preserve"> </w:t>
      </w:r>
      <w:r w:rsidR="00291C0D">
        <w:rPr>
          <w:rFonts w:ascii="Cambria Math" w:hAnsi="Cambria Math" w:hint="cs"/>
          <w:rtl/>
          <w:lang w:val="fr-CH" w:bidi="ar-EG"/>
        </w:rPr>
        <w:t>الحادية والثلاثون</w:t>
      </w:r>
    </w:p>
    <w:p w:rsidR="00D61541" w:rsidRPr="00D61541" w:rsidRDefault="00D61541" w:rsidP="00291C0D">
      <w:pPr>
        <w:pStyle w:val="MeetingDatesAR"/>
        <w:bidi/>
        <w:rPr>
          <w:rtl/>
        </w:rPr>
      </w:pPr>
      <w:r w:rsidRPr="00D61541">
        <w:rPr>
          <w:rFonts w:hint="cs"/>
          <w:rtl/>
        </w:rPr>
        <w:t xml:space="preserve">جنيف، من </w:t>
      </w:r>
      <w:r w:rsidR="00291C0D">
        <w:rPr>
          <w:rFonts w:hint="cs"/>
          <w:rtl/>
        </w:rPr>
        <w:t>7</w:t>
      </w:r>
      <w:r w:rsidR="00DA59BD">
        <w:rPr>
          <w:rFonts w:hint="cs"/>
          <w:rtl/>
        </w:rPr>
        <w:t xml:space="preserve"> </w:t>
      </w:r>
      <w:r w:rsidR="00291C0D">
        <w:rPr>
          <w:rFonts w:hint="cs"/>
          <w:rtl/>
        </w:rPr>
        <w:t>إلى 11 ديسمبر</w:t>
      </w:r>
      <w:r w:rsidR="00C7444A">
        <w:rPr>
          <w:rFonts w:hint="cs"/>
          <w:rtl/>
        </w:rPr>
        <w:t xml:space="preserve"> 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197545" w:rsidP="00FB7EC9">
      <w:pPr>
        <w:pStyle w:val="DocumentTitleAR"/>
        <w:bidi/>
        <w:rPr>
          <w:rtl/>
        </w:rPr>
      </w:pPr>
      <w:r>
        <w:rPr>
          <w:rFonts w:hint="cs"/>
          <w:rtl/>
        </w:rPr>
        <w:t>ملخص الرئيس</w:t>
      </w:r>
    </w:p>
    <w:p w:rsidR="00D61541" w:rsidRDefault="00D61541" w:rsidP="00931859">
      <w:pPr>
        <w:pStyle w:val="PreparedbyAR"/>
        <w:bidi/>
      </w:pPr>
    </w:p>
    <w:p w:rsidR="00197545" w:rsidRPr="0038159C" w:rsidRDefault="00197545" w:rsidP="00197545">
      <w:pPr>
        <w:pStyle w:val="NormalParaAR"/>
        <w:keepNext/>
        <w:rPr>
          <w:b/>
          <w:bCs/>
          <w:sz w:val="40"/>
          <w:szCs w:val="40"/>
          <w:rtl/>
        </w:rPr>
      </w:pPr>
      <w:r w:rsidRPr="009C6179">
        <w:rPr>
          <w:rFonts w:hint="cs"/>
          <w:b/>
          <w:bCs/>
          <w:rtl/>
        </w:rPr>
        <w:t>ا</w:t>
      </w:r>
      <w:r w:rsidRPr="0038159C">
        <w:rPr>
          <w:rFonts w:hint="cs"/>
          <w:b/>
          <w:bCs/>
          <w:sz w:val="40"/>
          <w:szCs w:val="40"/>
          <w:rtl/>
        </w:rPr>
        <w:t>لبند 1 من جدول الأعمال: افتتاح الدورة</w:t>
      </w:r>
    </w:p>
    <w:p w:rsidR="00197545" w:rsidRDefault="00197545" w:rsidP="00197545">
      <w:pPr>
        <w:pStyle w:val="NumberedParaAR"/>
      </w:pPr>
      <w:r>
        <w:rPr>
          <w:rFonts w:hint="cs"/>
          <w:rtl/>
        </w:rPr>
        <w:t xml:space="preserve">افتتح السيد فرانسس غري، المدير العام، الدورة الحادية والثلاثين للجنة </w:t>
      </w:r>
      <w:r w:rsidRPr="00E9570C">
        <w:rPr>
          <w:rtl/>
        </w:rPr>
        <w:t>الدائمة المعنية بحق المؤلف والحقوق المجاورة</w:t>
      </w:r>
      <w:r w:rsidRPr="00E9570C">
        <w:rPr>
          <w:rFonts w:hint="cs"/>
          <w:rtl/>
        </w:rPr>
        <w:t xml:space="preserve"> </w:t>
      </w:r>
      <w:r>
        <w:rPr>
          <w:rFonts w:hint="cs"/>
          <w:rtl/>
        </w:rPr>
        <w:t>(لجنة حق المؤلف أو اللجنة)، ورحب بالمشاركين وافتتح البند</w:t>
      </w:r>
      <w:r>
        <w:rPr>
          <w:rFonts w:hint="eastAsia"/>
          <w:rtl/>
        </w:rPr>
        <w:t> </w:t>
      </w:r>
      <w:r>
        <w:rPr>
          <w:rFonts w:hint="cs"/>
          <w:rtl/>
        </w:rPr>
        <w:t>2. وتولت السيد ميشيل وودز (الويبو) مهمة أمين اللجنة.</w:t>
      </w:r>
    </w:p>
    <w:p w:rsidR="00197545" w:rsidRPr="0038159C" w:rsidRDefault="00197545" w:rsidP="00197545">
      <w:pPr>
        <w:pStyle w:val="NormalParaAR"/>
        <w:keepNext/>
        <w:rPr>
          <w:b/>
          <w:bCs/>
          <w:sz w:val="40"/>
          <w:szCs w:val="40"/>
        </w:rPr>
      </w:pPr>
      <w:r w:rsidRPr="0038159C">
        <w:rPr>
          <w:rFonts w:hint="cs"/>
          <w:b/>
          <w:bCs/>
          <w:sz w:val="40"/>
          <w:szCs w:val="40"/>
          <w:rtl/>
        </w:rPr>
        <w:t>البند 2 من جدول الأعمال: اعتماد جدول أعمال الدورة الحادية والثلاثين</w:t>
      </w:r>
    </w:p>
    <w:p w:rsidR="00197545" w:rsidRDefault="00197545" w:rsidP="00197545">
      <w:pPr>
        <w:pStyle w:val="NumberedParaAR"/>
      </w:pPr>
      <w:r>
        <w:rPr>
          <w:rFonts w:hint="cs"/>
          <w:rtl/>
        </w:rPr>
        <w:t>اعتمدت اللجنة مشروع جدول الأعمال (الوثيقة</w:t>
      </w:r>
      <w:r>
        <w:rPr>
          <w:rFonts w:hint="eastAsia"/>
          <w:rtl/>
        </w:rPr>
        <w:t> </w:t>
      </w:r>
      <w:r w:rsidRPr="00197545">
        <w:t>SCCR/31/1 PROV.</w:t>
      </w:r>
      <w:r>
        <w:rPr>
          <w:rFonts w:hint="cs"/>
          <w:rtl/>
        </w:rPr>
        <w:t>).</w:t>
      </w:r>
    </w:p>
    <w:p w:rsidR="00197545" w:rsidRPr="0038159C" w:rsidRDefault="00197545" w:rsidP="00197545">
      <w:pPr>
        <w:pStyle w:val="NormalParaAR"/>
        <w:keepNext/>
        <w:rPr>
          <w:b/>
          <w:bCs/>
          <w:sz w:val="40"/>
          <w:szCs w:val="40"/>
        </w:rPr>
      </w:pPr>
      <w:r w:rsidRPr="0038159C">
        <w:rPr>
          <w:rFonts w:hint="cs"/>
          <w:b/>
          <w:bCs/>
          <w:sz w:val="40"/>
          <w:szCs w:val="40"/>
          <w:rtl/>
        </w:rPr>
        <w:t>البند 3 من جدول الأعمال: اعتماد منظمات غير حكومية جديدة</w:t>
      </w:r>
    </w:p>
    <w:p w:rsidR="00197545" w:rsidRDefault="00197545" w:rsidP="00D03193">
      <w:pPr>
        <w:pStyle w:val="NumberedParaAR"/>
      </w:pPr>
      <w:r>
        <w:rPr>
          <w:rFonts w:hint="cs"/>
          <w:rtl/>
        </w:rPr>
        <w:t xml:space="preserve">وافقت اللجنة على منح صفة </w:t>
      </w:r>
      <w:r w:rsidR="00D03193">
        <w:rPr>
          <w:rFonts w:hint="cs"/>
          <w:rtl/>
        </w:rPr>
        <w:t xml:space="preserve">المراقب في دوراتها </w:t>
      </w:r>
      <w:r>
        <w:rPr>
          <w:rFonts w:hint="cs"/>
          <w:rtl/>
        </w:rPr>
        <w:t>للمنظمة غير الحكومية المشار إليها في مرفق الوثيقة</w:t>
      </w:r>
      <w:r>
        <w:rPr>
          <w:rFonts w:hint="eastAsia"/>
          <w:rtl/>
        </w:rPr>
        <w:t> </w:t>
      </w:r>
      <w:r w:rsidRPr="00197545">
        <w:t>SCCR/31/2</w:t>
      </w:r>
      <w:r>
        <w:rPr>
          <w:rFonts w:hint="cs"/>
          <w:rtl/>
        </w:rPr>
        <w:t xml:space="preserve">، وهي </w:t>
      </w:r>
      <w:r w:rsidRPr="00197545">
        <w:rPr>
          <w:rtl/>
        </w:rPr>
        <w:t>الهيئة العامة الأفريقية للبث</w:t>
      </w:r>
      <w:r>
        <w:rPr>
          <w:rFonts w:hint="cs"/>
          <w:rtl/>
        </w:rPr>
        <w:t>.</w:t>
      </w:r>
    </w:p>
    <w:p w:rsidR="00197545" w:rsidRPr="0038159C" w:rsidRDefault="00197545" w:rsidP="00D03193">
      <w:pPr>
        <w:pStyle w:val="NormalParaAR"/>
        <w:keepNext/>
        <w:rPr>
          <w:b/>
          <w:bCs/>
          <w:sz w:val="40"/>
          <w:szCs w:val="40"/>
          <w:rtl/>
        </w:rPr>
      </w:pPr>
      <w:r w:rsidRPr="0038159C">
        <w:rPr>
          <w:rFonts w:hint="cs"/>
          <w:b/>
          <w:bCs/>
          <w:sz w:val="40"/>
          <w:szCs w:val="40"/>
          <w:rtl/>
        </w:rPr>
        <w:t xml:space="preserve">البند </w:t>
      </w:r>
      <w:r w:rsidR="00D03193" w:rsidRPr="0038159C">
        <w:rPr>
          <w:rFonts w:hint="cs"/>
          <w:b/>
          <w:bCs/>
          <w:sz w:val="40"/>
          <w:szCs w:val="40"/>
          <w:rtl/>
        </w:rPr>
        <w:t>4</w:t>
      </w:r>
      <w:r w:rsidRPr="0038159C">
        <w:rPr>
          <w:rFonts w:hint="cs"/>
          <w:b/>
          <w:bCs/>
          <w:sz w:val="40"/>
          <w:szCs w:val="40"/>
          <w:rtl/>
        </w:rPr>
        <w:t xml:space="preserve"> من جدول الأعمال: اعتماد مشروع تقرير الدورة </w:t>
      </w:r>
      <w:r w:rsidR="00D03193" w:rsidRPr="0038159C">
        <w:rPr>
          <w:rFonts w:hint="cs"/>
          <w:b/>
          <w:bCs/>
          <w:sz w:val="40"/>
          <w:szCs w:val="40"/>
          <w:rtl/>
        </w:rPr>
        <w:t>الثلاثين</w:t>
      </w:r>
    </w:p>
    <w:p w:rsidR="00197545" w:rsidRDefault="00197545" w:rsidP="00D03193">
      <w:pPr>
        <w:pStyle w:val="NumberedParaAR"/>
      </w:pPr>
      <w:r>
        <w:rPr>
          <w:rFonts w:hint="cs"/>
          <w:rtl/>
        </w:rPr>
        <w:t xml:space="preserve">اعتمدت اللجنة مشروع تقرير دورتها </w:t>
      </w:r>
      <w:r w:rsidR="00D03193">
        <w:rPr>
          <w:rFonts w:hint="cs"/>
          <w:rtl/>
        </w:rPr>
        <w:t>الثلاثين</w:t>
      </w:r>
      <w:r>
        <w:rPr>
          <w:rFonts w:hint="cs"/>
          <w:rtl/>
        </w:rPr>
        <w:t xml:space="preserve"> (الوثيقة</w:t>
      </w:r>
      <w:r>
        <w:rPr>
          <w:rFonts w:hint="eastAsia"/>
          <w:rtl/>
        </w:rPr>
        <w:t> </w:t>
      </w:r>
      <w:r w:rsidR="00D03193" w:rsidRPr="00D03193">
        <w:t>SCCR/30/6</w:t>
      </w:r>
      <w:r>
        <w:rPr>
          <w:rFonts w:hint="cs"/>
          <w:rtl/>
        </w:rPr>
        <w:t xml:space="preserve">) بالصيغة المقترحة. ودُعيت الوفود والجهات المراقبة إلى إرسال أية تعليقات بشأن بياناتها إلى الأمانة على العنوان الإلكتروني التالي: </w:t>
      </w:r>
      <w:hyperlink r:id="rId10" w:history="1">
        <w:r w:rsidRPr="00F8588E">
          <w:rPr>
            <w:rStyle w:val="Hyperlink"/>
          </w:rPr>
          <w:t>copyright.mail@wipo.int</w:t>
        </w:r>
      </w:hyperlink>
      <w:r>
        <w:rPr>
          <w:rFonts w:hint="cs"/>
          <w:rtl/>
        </w:rPr>
        <w:t xml:space="preserve">، وذلك في موعد أقصاه </w:t>
      </w:r>
      <w:r w:rsidR="00D03193">
        <w:rPr>
          <w:rFonts w:hint="cs"/>
          <w:rtl/>
        </w:rPr>
        <w:t>15</w:t>
      </w:r>
      <w:r>
        <w:rPr>
          <w:rFonts w:hint="eastAsia"/>
          <w:rtl/>
        </w:rPr>
        <w:t> </w:t>
      </w:r>
      <w:r w:rsidR="00D03193">
        <w:rPr>
          <w:rFonts w:hint="cs"/>
          <w:rtl/>
        </w:rPr>
        <w:t>يناير</w:t>
      </w:r>
      <w:r>
        <w:rPr>
          <w:rFonts w:hint="eastAsia"/>
          <w:rtl/>
        </w:rPr>
        <w:t> </w:t>
      </w:r>
      <w:r w:rsidR="00D03193">
        <w:rPr>
          <w:rFonts w:hint="cs"/>
          <w:rtl/>
        </w:rPr>
        <w:t>2016</w:t>
      </w:r>
      <w:r>
        <w:rPr>
          <w:rFonts w:hint="cs"/>
          <w:rtl/>
        </w:rPr>
        <w:t>.</w:t>
      </w:r>
    </w:p>
    <w:p w:rsidR="00197545" w:rsidRPr="0038159C" w:rsidRDefault="00197545" w:rsidP="00D77746">
      <w:pPr>
        <w:pStyle w:val="NormalParaAR"/>
        <w:keepNext/>
        <w:rPr>
          <w:b/>
          <w:bCs/>
          <w:sz w:val="40"/>
          <w:szCs w:val="40"/>
          <w:rtl/>
        </w:rPr>
      </w:pPr>
      <w:r w:rsidRPr="0038159C">
        <w:rPr>
          <w:rFonts w:hint="cs"/>
          <w:b/>
          <w:bCs/>
          <w:sz w:val="40"/>
          <w:szCs w:val="40"/>
          <w:rtl/>
        </w:rPr>
        <w:lastRenderedPageBreak/>
        <w:t xml:space="preserve">البند </w:t>
      </w:r>
      <w:r w:rsidR="00D77746" w:rsidRPr="0038159C">
        <w:rPr>
          <w:rFonts w:hint="cs"/>
          <w:b/>
          <w:bCs/>
          <w:sz w:val="40"/>
          <w:szCs w:val="40"/>
          <w:rtl/>
        </w:rPr>
        <w:t>5</w:t>
      </w:r>
      <w:r w:rsidRPr="0038159C">
        <w:rPr>
          <w:rFonts w:hint="cs"/>
          <w:b/>
          <w:bCs/>
          <w:sz w:val="40"/>
          <w:szCs w:val="40"/>
          <w:rtl/>
        </w:rPr>
        <w:t xml:space="preserve"> من جدول الأعمال: حماية هيئات البث</w:t>
      </w:r>
    </w:p>
    <w:p w:rsidR="00197545" w:rsidRDefault="00197545" w:rsidP="00D77746">
      <w:pPr>
        <w:pStyle w:val="NumberedParaAR"/>
      </w:pPr>
      <w:r>
        <w:rPr>
          <w:rFonts w:hint="cs"/>
          <w:rtl/>
        </w:rPr>
        <w:t>الوثائق المتعلقة بهذا البند من جدول الأعمال هي</w:t>
      </w:r>
      <w:r w:rsidR="00D77746">
        <w:rPr>
          <w:rFonts w:hint="cs"/>
          <w:rtl/>
        </w:rPr>
        <w:t xml:space="preserve"> </w:t>
      </w:r>
      <w:r w:rsidRPr="00260DF8">
        <w:t>SCCR/27/2 REV.</w:t>
      </w:r>
      <w:r>
        <w:rPr>
          <w:rFonts w:hint="cs"/>
          <w:rtl/>
        </w:rPr>
        <w:t xml:space="preserve"> </w:t>
      </w:r>
      <w:r w:rsidR="00D77746">
        <w:rPr>
          <w:rFonts w:hint="cs"/>
          <w:rtl/>
        </w:rPr>
        <w:t>و</w:t>
      </w:r>
      <w:r w:rsidR="00D77746" w:rsidRPr="00D77746">
        <w:t xml:space="preserve"> </w:t>
      </w:r>
      <w:r w:rsidR="00D77746" w:rsidRPr="00260DF8">
        <w:t>SCCR/27/6</w:t>
      </w:r>
      <w:r>
        <w:rPr>
          <w:rFonts w:hint="cs"/>
          <w:rtl/>
        </w:rPr>
        <w:t>و</w:t>
      </w:r>
      <w:r w:rsidRPr="00260DF8">
        <w:t>SCCR/30/5</w:t>
      </w:r>
      <w:r w:rsidR="00D77746">
        <w:rPr>
          <w:rFonts w:hint="cs"/>
          <w:rtl/>
        </w:rPr>
        <w:t xml:space="preserve"> و</w:t>
      </w:r>
      <w:r w:rsidR="00D77746" w:rsidRPr="00D77746">
        <w:t>SCCR/31/3</w:t>
      </w:r>
      <w:r>
        <w:rPr>
          <w:rFonts w:hint="cs"/>
          <w:rtl/>
        </w:rPr>
        <w:t>.</w:t>
      </w:r>
    </w:p>
    <w:p w:rsidR="00197545" w:rsidRDefault="00197545" w:rsidP="00D775BC">
      <w:pPr>
        <w:pStyle w:val="NumberedParaAR"/>
      </w:pPr>
      <w:r>
        <w:rPr>
          <w:rFonts w:hint="cs"/>
          <w:rtl/>
        </w:rPr>
        <w:t xml:space="preserve">ورحبت اللجنة بعرض </w:t>
      </w:r>
      <w:r w:rsidR="00D77746">
        <w:rPr>
          <w:rFonts w:hint="cs"/>
          <w:rtl/>
        </w:rPr>
        <w:t>الوثيقة</w:t>
      </w:r>
      <w:r w:rsidR="00D77746">
        <w:rPr>
          <w:rFonts w:hint="eastAsia"/>
          <w:rtl/>
        </w:rPr>
        <w:t> </w:t>
      </w:r>
      <w:r w:rsidR="00D77746" w:rsidRPr="00D77746">
        <w:t>SCCR/31/3</w:t>
      </w:r>
      <w:r w:rsidR="00D77746">
        <w:rPr>
          <w:rFonts w:hint="cs"/>
          <w:rtl/>
        </w:rPr>
        <w:t xml:space="preserve"> التي أعدها الرئيس </w:t>
      </w:r>
      <w:r w:rsidR="00D775BC">
        <w:rPr>
          <w:rFonts w:hint="cs"/>
          <w:rtl/>
        </w:rPr>
        <w:t>بعنوان</w:t>
      </w:r>
      <w:r w:rsidR="00FE2526">
        <w:rPr>
          <w:rFonts w:hint="cs"/>
          <w:rtl/>
        </w:rPr>
        <w:t xml:space="preserve"> </w:t>
      </w:r>
      <w:r w:rsidR="00D77746" w:rsidRPr="00FE2526">
        <w:rPr>
          <w:i/>
          <w:iCs/>
          <w:rtl/>
        </w:rPr>
        <w:t>نص موحد بشأن التعاريف وموضوع الحماية والحقوق المزمع منحها</w:t>
      </w:r>
      <w:r w:rsidR="00D77746">
        <w:rPr>
          <w:rFonts w:hint="cs"/>
          <w:rtl/>
        </w:rPr>
        <w:t>، ونظرت فيها.</w:t>
      </w:r>
    </w:p>
    <w:p w:rsidR="00D77746" w:rsidRDefault="00D77746" w:rsidP="00D77746">
      <w:pPr>
        <w:pStyle w:val="NumberedParaAR"/>
      </w:pPr>
      <w:r>
        <w:rPr>
          <w:rFonts w:hint="cs"/>
          <w:rtl/>
        </w:rPr>
        <w:t>والتمست بعض الوفود المزيد من التوضيح بشأن الوثيقة وقدمت ووفود أخرى اقتراحات نصية لإدراجها في الوثيقة.</w:t>
      </w:r>
    </w:p>
    <w:p w:rsidR="00D77746" w:rsidRDefault="00D77746" w:rsidP="00197545">
      <w:pPr>
        <w:pStyle w:val="NumberedParaAR"/>
      </w:pPr>
      <w:r>
        <w:rPr>
          <w:rFonts w:hint="cs"/>
          <w:rtl/>
        </w:rPr>
        <w:t xml:space="preserve">وأسهمت المناقشات في التقدم بغرض التوصل إلى فهم مشترك لحماية </w:t>
      </w:r>
      <w:r w:rsidR="003F5528">
        <w:rPr>
          <w:rFonts w:hint="cs"/>
          <w:rtl/>
        </w:rPr>
        <w:t>هيئات البث.</w:t>
      </w:r>
    </w:p>
    <w:p w:rsidR="003F5528" w:rsidRDefault="003F5528" w:rsidP="00197545">
      <w:pPr>
        <w:pStyle w:val="NumberedParaAR"/>
      </w:pPr>
      <w:r>
        <w:rPr>
          <w:rFonts w:hint="cs"/>
          <w:rtl/>
        </w:rPr>
        <w:t>وقرّرت اللجنة مواصلة المناقشات حول هذه الوثيقة وحول وثيقة مراجعة سيعدها الرئيس لأغراض الدورة القادمة للجنة ويراعي فيها الاقتراحات والتوضيحات المناقشة.</w:t>
      </w:r>
    </w:p>
    <w:p w:rsidR="00FE2526" w:rsidRDefault="00FE2526" w:rsidP="00FE2526">
      <w:pPr>
        <w:pStyle w:val="NumberedParaAR"/>
      </w:pPr>
      <w:r>
        <w:rPr>
          <w:rFonts w:hint="cs"/>
          <w:rtl/>
        </w:rPr>
        <w:t>ويجوز ل</w:t>
      </w:r>
      <w:r w:rsidR="003F5528">
        <w:rPr>
          <w:rFonts w:hint="cs"/>
          <w:rtl/>
        </w:rPr>
        <w:t xml:space="preserve">أعضاء </w:t>
      </w:r>
      <w:r>
        <w:rPr>
          <w:rFonts w:hint="cs"/>
          <w:rtl/>
        </w:rPr>
        <w:t>اللجنة تزويد</w:t>
      </w:r>
      <w:r w:rsidR="003F5528">
        <w:rPr>
          <w:rFonts w:hint="cs"/>
          <w:rtl/>
        </w:rPr>
        <w:t xml:space="preserve"> الأمانة</w:t>
      </w:r>
      <w:r>
        <w:rPr>
          <w:rFonts w:hint="cs"/>
          <w:rtl/>
        </w:rPr>
        <w:t>، في موعد أقصاه 20 يناير 2016، بالا</w:t>
      </w:r>
      <w:r w:rsidR="003F5528">
        <w:rPr>
          <w:rFonts w:hint="cs"/>
          <w:rtl/>
        </w:rPr>
        <w:t xml:space="preserve">قتراحات </w:t>
      </w:r>
      <w:r>
        <w:rPr>
          <w:rFonts w:hint="cs"/>
          <w:rtl/>
        </w:rPr>
        <w:t>ال</w:t>
      </w:r>
      <w:r w:rsidR="003F5528">
        <w:rPr>
          <w:rFonts w:hint="cs"/>
          <w:rtl/>
        </w:rPr>
        <w:t xml:space="preserve">نصية </w:t>
      </w:r>
      <w:r>
        <w:rPr>
          <w:rFonts w:hint="cs"/>
          <w:rtl/>
        </w:rPr>
        <w:t>ال</w:t>
      </w:r>
      <w:r w:rsidR="003F5528">
        <w:rPr>
          <w:rFonts w:hint="cs"/>
          <w:rtl/>
        </w:rPr>
        <w:t xml:space="preserve">محدّدة </w:t>
      </w:r>
      <w:r>
        <w:rPr>
          <w:rFonts w:hint="cs"/>
          <w:rtl/>
        </w:rPr>
        <w:t xml:space="preserve">المطروحة خلال هذه الدورة </w:t>
      </w:r>
      <w:r w:rsidR="003F5528">
        <w:rPr>
          <w:rFonts w:hint="cs"/>
          <w:rtl/>
        </w:rPr>
        <w:t xml:space="preserve">بخصوص الوثيقة </w:t>
      </w:r>
      <w:r w:rsidR="003F5528" w:rsidRPr="003F5528">
        <w:t>SCCR/31/3</w:t>
      </w:r>
      <w:r>
        <w:rPr>
          <w:rFonts w:hint="cs"/>
          <w:rtl/>
        </w:rPr>
        <w:t>، كي ينظر فيها الرئيس.</w:t>
      </w:r>
    </w:p>
    <w:p w:rsidR="003F5528" w:rsidRDefault="003F5528" w:rsidP="00FE2526">
      <w:pPr>
        <w:pStyle w:val="NumberedParaAR"/>
      </w:pPr>
      <w:r>
        <w:rPr>
          <w:rFonts w:hint="cs"/>
          <w:rtl/>
        </w:rPr>
        <w:t>وسيظل هذا البند مدرجا في جدول أعمال الدورة الثانية والثلاثين للجنة.</w:t>
      </w:r>
    </w:p>
    <w:p w:rsidR="00197545" w:rsidRPr="0038159C" w:rsidRDefault="00197545" w:rsidP="003F5528">
      <w:pPr>
        <w:pStyle w:val="NormalParaAR"/>
        <w:keepNext/>
        <w:rPr>
          <w:b/>
          <w:bCs/>
          <w:sz w:val="40"/>
          <w:szCs w:val="40"/>
          <w:rtl/>
        </w:rPr>
      </w:pPr>
      <w:r w:rsidRPr="0038159C">
        <w:rPr>
          <w:rFonts w:hint="cs"/>
          <w:b/>
          <w:bCs/>
          <w:sz w:val="40"/>
          <w:szCs w:val="40"/>
          <w:rtl/>
        </w:rPr>
        <w:t xml:space="preserve">البند </w:t>
      </w:r>
      <w:r w:rsidR="003F5528" w:rsidRPr="0038159C">
        <w:rPr>
          <w:rFonts w:hint="cs"/>
          <w:b/>
          <w:bCs/>
          <w:sz w:val="40"/>
          <w:szCs w:val="40"/>
          <w:rtl/>
        </w:rPr>
        <w:t>6</w:t>
      </w:r>
      <w:r w:rsidRPr="0038159C">
        <w:rPr>
          <w:rFonts w:hint="cs"/>
          <w:b/>
          <w:bCs/>
          <w:sz w:val="40"/>
          <w:szCs w:val="40"/>
          <w:rtl/>
        </w:rPr>
        <w:t xml:space="preserve"> من جدول الأعمال: </w:t>
      </w:r>
      <w:r w:rsidR="00317336" w:rsidRPr="0038159C">
        <w:rPr>
          <w:rFonts w:hint="cs"/>
          <w:b/>
          <w:bCs/>
          <w:sz w:val="40"/>
          <w:szCs w:val="40"/>
          <w:rtl/>
        </w:rPr>
        <w:t>ال</w:t>
      </w:r>
      <w:r w:rsidRPr="0038159C">
        <w:rPr>
          <w:rFonts w:hint="cs"/>
          <w:b/>
          <w:bCs/>
          <w:sz w:val="40"/>
          <w:szCs w:val="40"/>
          <w:rtl/>
        </w:rPr>
        <w:t>تقييدات و</w:t>
      </w:r>
      <w:r w:rsidR="00317336" w:rsidRPr="0038159C">
        <w:rPr>
          <w:rFonts w:hint="cs"/>
          <w:b/>
          <w:bCs/>
          <w:sz w:val="40"/>
          <w:szCs w:val="40"/>
          <w:rtl/>
        </w:rPr>
        <w:t>ال</w:t>
      </w:r>
      <w:r w:rsidRPr="0038159C">
        <w:rPr>
          <w:rFonts w:hint="cs"/>
          <w:b/>
          <w:bCs/>
          <w:sz w:val="40"/>
          <w:szCs w:val="40"/>
          <w:rtl/>
        </w:rPr>
        <w:t>استثناءات لفائدة المكتبات ودور المحفوظات</w:t>
      </w:r>
    </w:p>
    <w:p w:rsidR="00197545" w:rsidRDefault="00197545" w:rsidP="003F5528">
      <w:pPr>
        <w:pStyle w:val="NumberedParaAR"/>
      </w:pPr>
      <w:r w:rsidRPr="00091945">
        <w:rPr>
          <w:rFonts w:hint="cs"/>
          <w:rtl/>
        </w:rPr>
        <w:t>الوثائق المتعلقة بهذا البند من جدول الأعمال هي</w:t>
      </w:r>
      <w:r>
        <w:rPr>
          <w:rFonts w:hint="cs"/>
          <w:rtl/>
        </w:rPr>
        <w:t xml:space="preserve"> </w:t>
      </w:r>
      <w:r w:rsidRPr="00AA037E">
        <w:t>SCCR/26/3</w:t>
      </w:r>
      <w:r>
        <w:rPr>
          <w:rFonts w:hint="cs"/>
          <w:rtl/>
        </w:rPr>
        <w:t xml:space="preserve"> و</w:t>
      </w:r>
      <w:r w:rsidRPr="00AA037E">
        <w:t>SCCR/26/8</w:t>
      </w:r>
      <w:r>
        <w:rPr>
          <w:rFonts w:hint="cs"/>
          <w:rtl/>
        </w:rPr>
        <w:t xml:space="preserve"> و</w:t>
      </w:r>
      <w:r w:rsidRPr="00AA037E">
        <w:t>SCCR/29/3</w:t>
      </w:r>
      <w:r>
        <w:rPr>
          <w:rFonts w:hint="cs"/>
          <w:rtl/>
        </w:rPr>
        <w:t xml:space="preserve"> و</w:t>
      </w:r>
      <w:r w:rsidRPr="0047506E">
        <w:t>SCCR/30/2</w:t>
      </w:r>
      <w:r>
        <w:rPr>
          <w:rFonts w:hint="cs"/>
          <w:rtl/>
        </w:rPr>
        <w:t xml:space="preserve"> و</w:t>
      </w:r>
      <w:r w:rsidRPr="0047506E">
        <w:t>SCCR/30/3</w:t>
      </w:r>
      <w:r>
        <w:rPr>
          <w:rFonts w:hint="cs"/>
          <w:rtl/>
        </w:rPr>
        <w:t>.</w:t>
      </w:r>
    </w:p>
    <w:p w:rsidR="00197545" w:rsidRDefault="003F5528" w:rsidP="00EC5342">
      <w:pPr>
        <w:pStyle w:val="NumberedParaAR"/>
      </w:pPr>
      <w:r>
        <w:rPr>
          <w:rFonts w:hint="cs"/>
          <w:rtl/>
        </w:rPr>
        <w:t xml:space="preserve">واستمعت اللجنة إلى العرض المقدم من الأستاذة </w:t>
      </w:r>
      <w:r w:rsidRPr="003F5528">
        <w:rPr>
          <w:rtl/>
        </w:rPr>
        <w:t>لوسي غيبو</w:t>
      </w:r>
      <w:r>
        <w:rPr>
          <w:rFonts w:hint="cs"/>
          <w:rtl/>
        </w:rPr>
        <w:t xml:space="preserve"> </w:t>
      </w:r>
      <w:r w:rsidR="00EC5342">
        <w:rPr>
          <w:rFonts w:hint="cs"/>
          <w:rtl/>
        </w:rPr>
        <w:t>و</w:t>
      </w:r>
      <w:r w:rsidR="00D775BC">
        <w:rPr>
          <w:rFonts w:hint="cs"/>
          <w:rtl/>
        </w:rPr>
        <w:t xml:space="preserve">السيدة </w:t>
      </w:r>
      <w:r w:rsidRPr="003F5528">
        <w:rPr>
          <w:rtl/>
        </w:rPr>
        <w:t>إليزابيث لوجي</w:t>
      </w:r>
      <w:r w:rsidR="00EC5342">
        <w:rPr>
          <w:rFonts w:hint="cs"/>
          <w:rtl/>
        </w:rPr>
        <w:t xml:space="preserve"> حول ال</w:t>
      </w:r>
      <w:r w:rsidR="00EC5342" w:rsidRPr="00EC5342">
        <w:rPr>
          <w:rtl/>
        </w:rPr>
        <w:t xml:space="preserve">دراسة </w:t>
      </w:r>
      <w:r w:rsidR="00EC5342">
        <w:rPr>
          <w:rFonts w:hint="cs"/>
          <w:rtl/>
        </w:rPr>
        <w:t>المتعلقة</w:t>
      </w:r>
      <w:r w:rsidR="00EC5342" w:rsidRPr="00EC5342">
        <w:rPr>
          <w:rtl/>
        </w:rPr>
        <w:t xml:space="preserve"> </w:t>
      </w:r>
      <w:r w:rsidR="00EC5342">
        <w:rPr>
          <w:rFonts w:hint="cs"/>
          <w:rtl/>
        </w:rPr>
        <w:t>ب</w:t>
      </w:r>
      <w:r w:rsidR="00EC5342" w:rsidRPr="00EC5342">
        <w:rPr>
          <w:rtl/>
        </w:rPr>
        <w:t>التقييدات والاستثناءات على حق المؤلف للمتاحف</w:t>
      </w:r>
      <w:r w:rsidR="00EC5342">
        <w:rPr>
          <w:rFonts w:hint="cs"/>
          <w:rtl/>
        </w:rPr>
        <w:t xml:space="preserve">، والواردة في الوثيقة </w:t>
      </w:r>
      <w:r w:rsidR="00EC5342" w:rsidRPr="00EC5342">
        <w:t>SCCR/30/2</w:t>
      </w:r>
      <w:r w:rsidR="00EC5342">
        <w:rPr>
          <w:rFonts w:hint="cs"/>
          <w:rtl/>
        </w:rPr>
        <w:t>. ورحبت اللجنة بالعرض وشاركت الوفود والهيئات المراقبة في جلسة للأسئلة والأجوبة نُظمت مع الخبراء. وينبغي إرسال التعديلات والتوضيحات إلى الأمانة (</w:t>
      </w:r>
      <w:hyperlink r:id="rId11" w:history="1">
        <w:r w:rsidR="00EC5342" w:rsidRPr="00EC5342">
          <w:rPr>
            <w:rStyle w:val="Hyperlink"/>
          </w:rPr>
          <w:t>copyright.mail@wipo.int</w:t>
        </w:r>
      </w:hyperlink>
      <w:r w:rsidR="00EC5342">
        <w:rPr>
          <w:rFonts w:hint="cs"/>
          <w:rtl/>
        </w:rPr>
        <w:t>) في موعد أقصاه 20 يناير 2016.</w:t>
      </w:r>
    </w:p>
    <w:p w:rsidR="001561EB" w:rsidRDefault="00FE2526" w:rsidP="001561EB">
      <w:pPr>
        <w:pStyle w:val="NumberedParaAR"/>
      </w:pPr>
      <w:r>
        <w:rPr>
          <w:rFonts w:hint="cs"/>
          <w:rtl/>
        </w:rPr>
        <w:t xml:space="preserve">واستندت المناقشات </w:t>
      </w:r>
      <w:r w:rsidR="00EC5342">
        <w:rPr>
          <w:rFonts w:hint="cs"/>
          <w:rtl/>
        </w:rPr>
        <w:t xml:space="preserve">إلى الرسم البياني الذي عرضه </w:t>
      </w:r>
      <w:r>
        <w:rPr>
          <w:rFonts w:hint="cs"/>
          <w:rtl/>
        </w:rPr>
        <w:t xml:space="preserve">الرئيس </w:t>
      </w:r>
      <w:r w:rsidR="00EC5342">
        <w:rPr>
          <w:rFonts w:hint="cs"/>
          <w:rtl/>
        </w:rPr>
        <w:t>حول "الاستثناءات والتقييدات لفائدة المكتبات ودور المحفوظات"</w:t>
      </w:r>
      <w:r w:rsidR="001561EB">
        <w:rPr>
          <w:rFonts w:hint="cs"/>
          <w:rtl/>
        </w:rPr>
        <w:t>. وأعِد ذلك</w:t>
      </w:r>
      <w:r w:rsidR="001561EB" w:rsidRPr="001561EB">
        <w:rPr>
          <w:rFonts w:hint="cs"/>
          <w:rtl/>
        </w:rPr>
        <w:t xml:space="preserve"> </w:t>
      </w:r>
      <w:r w:rsidR="001561EB">
        <w:rPr>
          <w:rFonts w:hint="cs"/>
          <w:rtl/>
        </w:rPr>
        <w:t>ال</w:t>
      </w:r>
      <w:r w:rsidR="001561EB" w:rsidRPr="001561EB">
        <w:rPr>
          <w:rFonts w:hint="cs"/>
          <w:rtl/>
        </w:rPr>
        <w:t xml:space="preserve">رسم </w:t>
      </w:r>
      <w:r w:rsidR="001561EB">
        <w:rPr>
          <w:rFonts w:hint="cs"/>
          <w:rtl/>
        </w:rPr>
        <w:t>ال</w:t>
      </w:r>
      <w:r w:rsidR="001561EB" w:rsidRPr="001561EB">
        <w:rPr>
          <w:rFonts w:hint="cs"/>
          <w:rtl/>
        </w:rPr>
        <w:t>بياني ليكون أداة مفيدة توفر هيكلا لمناقشة جوهر كل موضوع، بالاستناد إلى الموارد العديدة المتاحة للجنة. وسيمكّن ذلك اللجنة من إجراء مناقشة تستند إلى البيّنات وتحترم وجهات النظر المختلفة وتدرك أن الهدف المنشود لا يتمثّل في توجيه النقاش نحو أية نتيجة معيّنة أو غير مرغوب فيها، بل الإفضاء إلى فهم أفضل للمواضيع ووجاهتها الفعلية بالنسبة للمناقشات والنتيجة المتوخاة.</w:t>
      </w:r>
    </w:p>
    <w:p w:rsidR="00EC5342" w:rsidRDefault="001561EB" w:rsidP="00EC5342">
      <w:pPr>
        <w:pStyle w:val="NumberedParaAR"/>
      </w:pPr>
      <w:r>
        <w:rPr>
          <w:rFonts w:hint="cs"/>
          <w:rtl/>
        </w:rPr>
        <w:t xml:space="preserve">وسلّط الرئيس </w:t>
      </w:r>
      <w:r w:rsidR="00EC5342">
        <w:rPr>
          <w:rFonts w:hint="cs"/>
          <w:rtl/>
        </w:rPr>
        <w:t>الضوء على بعض العناصر المستقاة من الآراء المعرب عنها في تعليقات وإسهامات أعضاء اللجنة بخصوص موضوع حفظ المصنفات خلال الدورة السابقة للجنة.</w:t>
      </w:r>
    </w:p>
    <w:p w:rsidR="00EC5342" w:rsidRDefault="00EC5342" w:rsidP="001561EB">
      <w:pPr>
        <w:pStyle w:val="NumberedParaAR"/>
      </w:pPr>
      <w:r>
        <w:rPr>
          <w:rFonts w:hint="cs"/>
          <w:rtl/>
        </w:rPr>
        <w:t xml:space="preserve">وتبادل أعضاء اللجنة أيضا وجهات النظر بشأن المواضيع المدرجة في رسم الرئيس البياني، أي </w:t>
      </w:r>
      <w:r w:rsidR="00703EE4">
        <w:rPr>
          <w:rFonts w:hint="cs"/>
          <w:rtl/>
        </w:rPr>
        <w:t>حق النسخ والنُسخ الاحتياطية</w:t>
      </w:r>
      <w:r w:rsidR="00D775BC">
        <w:rPr>
          <w:rFonts w:hint="cs"/>
          <w:rtl/>
        </w:rPr>
        <w:t>،</w:t>
      </w:r>
      <w:r w:rsidR="00703EE4">
        <w:rPr>
          <w:rFonts w:hint="cs"/>
          <w:rtl/>
        </w:rPr>
        <w:t xml:space="preserve"> والإيداع القانوني</w:t>
      </w:r>
      <w:r w:rsidR="00D775BC">
        <w:rPr>
          <w:rFonts w:hint="cs"/>
          <w:rtl/>
        </w:rPr>
        <w:t>،</w:t>
      </w:r>
      <w:r w:rsidR="00703EE4">
        <w:rPr>
          <w:rFonts w:hint="cs"/>
          <w:rtl/>
        </w:rPr>
        <w:t xml:space="preserve"> والإعارة لدى المكتبات. والإضافة إلى ذلك، أثيرت الشواغل التي يمكن أن تظهر عند النظر في التقييدات والاستثناءات المتعلقة بتلك الموضوعات والتدابير الممكن اتخاذها لمواجهة تلك الشواغل. كما قُدمت اقتراحات تدعو إلى اتباع نُهج بديلة.</w:t>
      </w:r>
    </w:p>
    <w:p w:rsidR="00EE1217" w:rsidRDefault="00EE1217" w:rsidP="00EE1217">
      <w:pPr>
        <w:pStyle w:val="NumberedParaAR"/>
      </w:pPr>
      <w:r w:rsidRPr="00EE1217">
        <w:rPr>
          <w:rFonts w:hint="cs"/>
          <w:rtl/>
        </w:rPr>
        <w:lastRenderedPageBreak/>
        <w:t>وسيظل هذا البند مدرجا في جدول أعمال الدورة الثانية والثلاثين للجنة.</w:t>
      </w:r>
    </w:p>
    <w:p w:rsidR="00197545" w:rsidRPr="0038159C" w:rsidRDefault="00197545" w:rsidP="00317336">
      <w:pPr>
        <w:pStyle w:val="NormalParaAR"/>
        <w:keepNext/>
        <w:rPr>
          <w:b/>
          <w:bCs/>
          <w:sz w:val="40"/>
          <w:szCs w:val="40"/>
          <w:rtl/>
        </w:rPr>
      </w:pPr>
      <w:r w:rsidRPr="0038159C">
        <w:rPr>
          <w:rFonts w:hint="cs"/>
          <w:b/>
          <w:bCs/>
          <w:sz w:val="40"/>
          <w:szCs w:val="40"/>
          <w:rtl/>
        </w:rPr>
        <w:t xml:space="preserve">البند </w:t>
      </w:r>
      <w:r w:rsidR="00317336" w:rsidRPr="0038159C">
        <w:rPr>
          <w:rFonts w:hint="cs"/>
          <w:b/>
          <w:bCs/>
          <w:sz w:val="40"/>
          <w:szCs w:val="40"/>
          <w:rtl/>
        </w:rPr>
        <w:t>7</w:t>
      </w:r>
      <w:r w:rsidRPr="0038159C">
        <w:rPr>
          <w:rFonts w:hint="cs"/>
          <w:b/>
          <w:bCs/>
          <w:sz w:val="40"/>
          <w:szCs w:val="40"/>
          <w:rtl/>
        </w:rPr>
        <w:t xml:space="preserve"> من جدول الأعمال: </w:t>
      </w:r>
      <w:r w:rsidR="00317336" w:rsidRPr="0038159C">
        <w:rPr>
          <w:rFonts w:hint="cs"/>
          <w:b/>
          <w:bCs/>
          <w:sz w:val="40"/>
          <w:szCs w:val="40"/>
          <w:rtl/>
        </w:rPr>
        <w:t>التقييدات والاستثناءات لفائدة مؤسسات التعليم والبحث والأشخاص ذوي إعاقات أخرى</w:t>
      </w:r>
    </w:p>
    <w:p w:rsidR="00197545" w:rsidRDefault="00197545" w:rsidP="00197545">
      <w:pPr>
        <w:pStyle w:val="NumberedParaAR"/>
      </w:pPr>
      <w:r>
        <w:rPr>
          <w:rFonts w:hint="cs"/>
          <w:rtl/>
        </w:rPr>
        <w:t xml:space="preserve">الوثيقتان المتعلقتان بهذا البند من جدول الأعمال هما </w:t>
      </w:r>
      <w:r w:rsidRPr="00F951FF">
        <w:t>SCCR/26/4 PROV.</w:t>
      </w:r>
      <w:r>
        <w:rPr>
          <w:rFonts w:hint="cs"/>
          <w:rtl/>
        </w:rPr>
        <w:t xml:space="preserve"> و</w:t>
      </w:r>
      <w:r w:rsidRPr="00F951FF">
        <w:t>SCCR/27/8</w:t>
      </w:r>
      <w:r>
        <w:rPr>
          <w:rFonts w:hint="cs"/>
          <w:rtl/>
        </w:rPr>
        <w:t>.</w:t>
      </w:r>
    </w:p>
    <w:p w:rsidR="00EE1217" w:rsidRDefault="000673BB" w:rsidP="00EC360D">
      <w:pPr>
        <w:pStyle w:val="NumberedParaAR"/>
      </w:pPr>
      <w:r>
        <w:rPr>
          <w:rFonts w:hint="cs"/>
          <w:rtl/>
        </w:rPr>
        <w:t>وأبلغت الأمانة اللحنة بالتقدم المحرز في الاستجابة للطلب المقدم في الدورة الثلاثين للجنة والداعي إلى تحديث مختلف الدراسات المتعلقة بالتقييدات والاستثناءات لفائدة مؤسسات التعليم والتدريس والبحث والمنشورة لأغراض الدورة</w:t>
      </w:r>
      <w:r w:rsidR="00EC360D">
        <w:rPr>
          <w:rFonts w:hint="cs"/>
          <w:rtl/>
        </w:rPr>
        <w:t xml:space="preserve"> التاسعة عشرة للجنة في عام 2009 </w:t>
      </w:r>
      <w:r>
        <w:rPr>
          <w:rFonts w:hint="cs"/>
          <w:rtl/>
        </w:rPr>
        <w:t>وإلى السعي إلى تغطية كل الدول الأعضاء في الويبو، فضلا</w:t>
      </w:r>
      <w:r w:rsidR="00EC360D">
        <w:rPr>
          <w:rFonts w:hint="cs"/>
          <w:rtl/>
        </w:rPr>
        <w:t xml:space="preserve"> عن</w:t>
      </w:r>
      <w:r>
        <w:rPr>
          <w:rFonts w:hint="cs"/>
          <w:rtl/>
        </w:rPr>
        <w:t xml:space="preserve"> إعداد دراسة نطاق بشأن التقييدات والاستثناءات لفائدة أشخاص غير الأشخاص العاجزين عن قراءات المطبوعات</w:t>
      </w:r>
      <w:r w:rsidR="00EC360D">
        <w:rPr>
          <w:rFonts w:hint="cs"/>
          <w:rtl/>
        </w:rPr>
        <w:t>. وتم التكليف بإجراء الدراسة المحدثة ومن المتوقّع تقديمها في الدورة الثانية والثلاثين للجنة. وسيتم التكليف بإجراء دراسة النطاق في مطلع عام</w:t>
      </w:r>
      <w:r w:rsidR="00EC360D">
        <w:rPr>
          <w:rFonts w:hint="eastAsia"/>
          <w:rtl/>
        </w:rPr>
        <w:t> </w:t>
      </w:r>
      <w:r w:rsidR="00EC360D">
        <w:rPr>
          <w:rFonts w:hint="cs"/>
          <w:rtl/>
        </w:rPr>
        <w:t>2016 ومن المتوقّع تقديمها في الدورة الثالثة والثلاثين للجنة.</w:t>
      </w:r>
    </w:p>
    <w:p w:rsidR="00EC360D" w:rsidRDefault="00312357" w:rsidP="00A87F25">
      <w:pPr>
        <w:pStyle w:val="NumberedParaAR"/>
      </w:pPr>
      <w:r>
        <w:rPr>
          <w:rFonts w:hint="cs"/>
          <w:rtl/>
        </w:rPr>
        <w:t xml:space="preserve">وأجرت اللجنة مناقشات حول </w:t>
      </w:r>
      <w:r w:rsidR="00476E4C">
        <w:rPr>
          <w:rFonts w:hint="cs"/>
          <w:rtl/>
        </w:rPr>
        <w:t xml:space="preserve">موضوع التقييدات والاستثناءات لفائدة مؤسسات التعليم </w:t>
      </w:r>
      <w:r w:rsidR="00A87F25">
        <w:rPr>
          <w:rFonts w:hint="cs"/>
          <w:rtl/>
        </w:rPr>
        <w:t>والتدريس والبحث وعلاقتها بالدور الأساسي الذي يؤديه التعليم في المجتمع، مع الإشارة إلى الوثائق الموجودة.</w:t>
      </w:r>
    </w:p>
    <w:p w:rsidR="00A87F25" w:rsidRDefault="00A87F25" w:rsidP="00932FB3">
      <w:pPr>
        <w:pStyle w:val="NumberedParaAR"/>
      </w:pPr>
      <w:r>
        <w:rPr>
          <w:rFonts w:hint="cs"/>
          <w:rtl/>
        </w:rPr>
        <w:t>والتمس بعض الأعضاء أن يعد الرئيس رسما بيانيا على غرار الرسم البياني الخاص بالتقييدات والاستثناءات لفائدة المكتبات ودور المحفوظات كي يُستخدم كأداة تسهم في تركيز المناقشات على هذا الموضوع. والتمس بعض الأعضاء الآخرين مزيدا من الوقت للنظر في هذا الاقتراح. واقترحت وفود أخرى إجراء مناقشة مفتوحة بشأن الوثيقة</w:t>
      </w:r>
      <w:r w:rsidR="00932FB3">
        <w:rPr>
          <w:rFonts w:hint="eastAsia"/>
          <w:rtl/>
        </w:rPr>
        <w:t> </w:t>
      </w:r>
      <w:r w:rsidR="00932FB3" w:rsidRPr="00932FB3">
        <w:t>SCCR/26/4</w:t>
      </w:r>
      <w:r w:rsidR="00932FB3">
        <w:t> </w:t>
      </w:r>
      <w:r w:rsidR="00932FB3" w:rsidRPr="00932FB3">
        <w:t>PROV.</w:t>
      </w:r>
      <w:r w:rsidR="00932FB3" w:rsidRPr="00932FB3">
        <w:rPr>
          <w:rFonts w:hint="cs"/>
          <w:rtl/>
        </w:rPr>
        <w:t>.</w:t>
      </w:r>
    </w:p>
    <w:p w:rsidR="00932FB3" w:rsidRDefault="00932FB3" w:rsidP="00932FB3">
      <w:pPr>
        <w:pStyle w:val="NumberedParaAR"/>
      </w:pPr>
      <w:r w:rsidRPr="00EE1217">
        <w:rPr>
          <w:rFonts w:hint="cs"/>
          <w:rtl/>
        </w:rPr>
        <w:t>وسيظل هذا البند مدرجا في جدول أعمال الدورة الثانية والثلاثين للجنة.</w:t>
      </w:r>
    </w:p>
    <w:p w:rsidR="00197545" w:rsidRPr="0038159C" w:rsidRDefault="00197545" w:rsidP="00317336">
      <w:pPr>
        <w:pStyle w:val="NormalParaAR"/>
        <w:keepNext/>
        <w:rPr>
          <w:b/>
          <w:bCs/>
          <w:sz w:val="40"/>
          <w:szCs w:val="40"/>
          <w:rtl/>
        </w:rPr>
      </w:pPr>
      <w:r w:rsidRPr="0038159C">
        <w:rPr>
          <w:rFonts w:hint="cs"/>
          <w:b/>
          <w:bCs/>
          <w:sz w:val="40"/>
          <w:szCs w:val="40"/>
          <w:rtl/>
        </w:rPr>
        <w:t xml:space="preserve">البند </w:t>
      </w:r>
      <w:r w:rsidR="00317336" w:rsidRPr="0038159C">
        <w:rPr>
          <w:rFonts w:hint="cs"/>
          <w:b/>
          <w:bCs/>
          <w:sz w:val="40"/>
          <w:szCs w:val="40"/>
          <w:rtl/>
        </w:rPr>
        <w:t>8</w:t>
      </w:r>
      <w:r w:rsidRPr="0038159C">
        <w:rPr>
          <w:rFonts w:hint="cs"/>
          <w:b/>
          <w:bCs/>
          <w:sz w:val="40"/>
          <w:szCs w:val="40"/>
          <w:rtl/>
        </w:rPr>
        <w:t xml:space="preserve"> من جدول الأعمال: مسائل أخرى</w:t>
      </w:r>
    </w:p>
    <w:p w:rsidR="00197545" w:rsidRDefault="00317336" w:rsidP="00317336">
      <w:pPr>
        <w:pStyle w:val="NumberedParaAR"/>
      </w:pPr>
      <w:r w:rsidRPr="00317336">
        <w:rPr>
          <w:rFonts w:hint="cs"/>
          <w:rtl/>
        </w:rPr>
        <w:t>الوثيقتان المتعلقتان بهذا البند من جدول الأعمال هما</w:t>
      </w:r>
      <w:r>
        <w:rPr>
          <w:rFonts w:hint="cs"/>
          <w:rtl/>
        </w:rPr>
        <w:t xml:space="preserve"> </w:t>
      </w:r>
      <w:r w:rsidRPr="00317336">
        <w:t>SCCR/31/4</w:t>
      </w:r>
      <w:r>
        <w:rPr>
          <w:rFonts w:hint="cs"/>
          <w:rtl/>
        </w:rPr>
        <w:t xml:space="preserve"> و</w:t>
      </w:r>
      <w:r w:rsidRPr="00317336">
        <w:t>SCCR/31/5</w:t>
      </w:r>
      <w:r>
        <w:rPr>
          <w:rFonts w:hint="cs"/>
          <w:rtl/>
        </w:rPr>
        <w:t>.</w:t>
      </w:r>
    </w:p>
    <w:p w:rsidR="00932FB3" w:rsidRDefault="00932FB3" w:rsidP="00D27DD0">
      <w:pPr>
        <w:pStyle w:val="NumberedParaAR"/>
      </w:pPr>
      <w:r>
        <w:rPr>
          <w:rFonts w:hint="cs"/>
          <w:rtl/>
        </w:rPr>
        <w:t xml:space="preserve">وعرض </w:t>
      </w:r>
      <w:r w:rsidR="00D27DD0">
        <w:rPr>
          <w:rFonts w:hint="cs"/>
          <w:rtl/>
        </w:rPr>
        <w:t xml:space="preserve">وفد البرازيل، نيابة عن مجموعة بلدان أمريكا اللاتينية والكاريبي، </w:t>
      </w:r>
      <w:r>
        <w:rPr>
          <w:rFonts w:hint="cs"/>
          <w:rtl/>
        </w:rPr>
        <w:t>الوثيقة</w:t>
      </w:r>
      <w:r>
        <w:rPr>
          <w:rFonts w:hint="eastAsia"/>
          <w:rtl/>
        </w:rPr>
        <w:t> </w:t>
      </w:r>
      <w:r w:rsidRPr="00932FB3">
        <w:t>SCCR/31/4</w:t>
      </w:r>
      <w:r>
        <w:rPr>
          <w:rFonts w:hint="cs"/>
          <w:rtl/>
        </w:rPr>
        <w:t xml:space="preserve"> المعنونة </w:t>
      </w:r>
      <w:r w:rsidRPr="00932FB3">
        <w:rPr>
          <w:i/>
          <w:iCs/>
          <w:rtl/>
        </w:rPr>
        <w:t>اقتراح لتحليل حق المؤلف المتعلق بالبيئة الرقمية</w:t>
      </w:r>
      <w:r>
        <w:rPr>
          <w:rFonts w:hint="cs"/>
          <w:rtl/>
        </w:rPr>
        <w:t>. وقدم الأعضاء والمراقبون تعليقات وتعقيبات أولية على الاقتراح.</w:t>
      </w:r>
    </w:p>
    <w:p w:rsidR="00932FB3" w:rsidRDefault="00932FB3" w:rsidP="00D27DD0">
      <w:pPr>
        <w:pStyle w:val="NumberedParaAR"/>
      </w:pPr>
      <w:r>
        <w:rPr>
          <w:rFonts w:hint="cs"/>
          <w:rtl/>
        </w:rPr>
        <w:t>وعرض وف</w:t>
      </w:r>
      <w:r w:rsidR="00D27DD0">
        <w:rPr>
          <w:rFonts w:hint="cs"/>
          <w:rtl/>
        </w:rPr>
        <w:t>د السنغال الوثيقة</w:t>
      </w:r>
      <w:r w:rsidR="00D27DD0">
        <w:rPr>
          <w:rFonts w:hint="eastAsia"/>
          <w:rtl/>
        </w:rPr>
        <w:t> </w:t>
      </w:r>
      <w:r w:rsidR="00D27DD0" w:rsidRPr="00D27DD0">
        <w:t>SCCR/31/5</w:t>
      </w:r>
      <w:r w:rsidR="00D27DD0">
        <w:rPr>
          <w:rFonts w:hint="cs"/>
          <w:rtl/>
        </w:rPr>
        <w:t xml:space="preserve"> المعنونة </w:t>
      </w:r>
      <w:r w:rsidR="00D27DD0" w:rsidRPr="00D27DD0">
        <w:rPr>
          <w:i/>
          <w:iCs/>
          <w:rtl/>
        </w:rPr>
        <w:t>اقتراح من السنغال والكونغو بإدراج حق التتبع في جدول أعمال العمل المقبل للجنة الدائمة المعنية بحق المؤلف والحقوق المجاورة التابعة للمنظمة العالمية للملكية الفكرية</w:t>
      </w:r>
      <w:r w:rsidR="00D27DD0">
        <w:rPr>
          <w:rFonts w:hint="cs"/>
          <w:rtl/>
        </w:rPr>
        <w:t>. وقدم الأعضاء والمراقبون تعليقات وتعقيبات أولية على الاقتراح.</w:t>
      </w:r>
    </w:p>
    <w:p w:rsidR="00D27DD0" w:rsidRDefault="00D27DD0" w:rsidP="00D27DD0">
      <w:pPr>
        <w:pStyle w:val="NumberedParaAR"/>
      </w:pPr>
      <w:r w:rsidRPr="00EE1217">
        <w:rPr>
          <w:rFonts w:hint="cs"/>
          <w:rtl/>
        </w:rPr>
        <w:t>وسيظل هذا</w:t>
      </w:r>
      <w:r>
        <w:rPr>
          <w:rFonts w:hint="cs"/>
          <w:rtl/>
        </w:rPr>
        <w:t>ن</w:t>
      </w:r>
      <w:r w:rsidRPr="00EE1217">
        <w:rPr>
          <w:rFonts w:hint="cs"/>
          <w:rtl/>
        </w:rPr>
        <w:t xml:space="preserve"> </w:t>
      </w:r>
      <w:r>
        <w:rPr>
          <w:rFonts w:hint="cs"/>
          <w:rtl/>
        </w:rPr>
        <w:t>الموضوعان مدرجين</w:t>
      </w:r>
      <w:r w:rsidRPr="00EE1217">
        <w:rPr>
          <w:rFonts w:hint="cs"/>
          <w:rtl/>
        </w:rPr>
        <w:t xml:space="preserve"> في جدول أعمال الدورة الثانية والثلاثين للجنة</w:t>
      </w:r>
      <w:r>
        <w:rPr>
          <w:rFonts w:hint="cs"/>
          <w:rtl/>
        </w:rPr>
        <w:t>، تحت البند المتعلق بالمسائل الأخرى</w:t>
      </w:r>
      <w:r w:rsidRPr="00EE1217">
        <w:rPr>
          <w:rFonts w:hint="cs"/>
          <w:rtl/>
        </w:rPr>
        <w:t>.</w:t>
      </w:r>
    </w:p>
    <w:p w:rsidR="00D27DD0" w:rsidRPr="000F6CB6" w:rsidRDefault="00D27DD0" w:rsidP="00E36E08">
      <w:pPr>
        <w:pStyle w:val="NumberedParaAR"/>
        <w:rPr>
          <w:rtl/>
        </w:rPr>
      </w:pPr>
      <w:r>
        <w:rPr>
          <w:rFonts w:hint="cs"/>
          <w:rtl/>
        </w:rPr>
        <w:t>وعرض الرئيس اقتراحا بعقد دورة استثنائية للجنة بشأن حماية هيئات البث وعقد اجتماعات إقليمية حول موضوع التقييدات والاستثناءات لفائدة المكتبات ودور المحفوظات. و</w:t>
      </w:r>
      <w:r w:rsidR="00E36E08">
        <w:rPr>
          <w:rFonts w:hint="cs"/>
          <w:rtl/>
        </w:rPr>
        <w:t xml:space="preserve">أيّدت </w:t>
      </w:r>
      <w:r>
        <w:rPr>
          <w:rFonts w:hint="cs"/>
          <w:rtl/>
        </w:rPr>
        <w:t xml:space="preserve">بعض المجموعات الإقليمية </w:t>
      </w:r>
      <w:r w:rsidR="00E36E08">
        <w:rPr>
          <w:rFonts w:hint="cs"/>
          <w:rtl/>
        </w:rPr>
        <w:t>الاقتراح. وأبدت إحدى تلك المجموعات تفضيلها لاشتمال الاجتماعات الإقليمية المذكورة موضوع التقييدات والاستثناءات لفائدة مؤسسات التعليم والبحث والأشخاص ذوي إعاقات أخرى. واعتبرت مجموعات إقليمية أخرى أنه من غير الضروري ومن السابق لأوانه عقد دورات بالإضافة إلى دورات اللجنة العادية. غير أن تلك المجموعات قالت إنه بإمكانها إعادة النظر في الاقتراح في الدورة القادمة للجنة. وأعلن الرئيس أنه ستُعاد مناقشة الاقتراح في الدورة الثانية والثلاثين للجنة بالنظر إلى عدم التوصل إلى توافق في الآراء.</w:t>
      </w:r>
    </w:p>
    <w:p w:rsidR="00197545" w:rsidRPr="0038159C" w:rsidRDefault="00197545" w:rsidP="00197545">
      <w:pPr>
        <w:pStyle w:val="NumberedParaAR"/>
        <w:keepNext/>
        <w:numPr>
          <w:ilvl w:val="0"/>
          <w:numId w:val="0"/>
        </w:numPr>
        <w:rPr>
          <w:b/>
          <w:bCs/>
          <w:sz w:val="40"/>
          <w:szCs w:val="40"/>
          <w:rtl/>
        </w:rPr>
      </w:pPr>
      <w:r w:rsidRPr="0038159C">
        <w:rPr>
          <w:rFonts w:hint="cs"/>
          <w:b/>
          <w:bCs/>
          <w:sz w:val="40"/>
          <w:szCs w:val="40"/>
          <w:rtl/>
        </w:rPr>
        <w:t>ملخص الرئيس</w:t>
      </w:r>
    </w:p>
    <w:p w:rsidR="00197545" w:rsidRDefault="00197545" w:rsidP="00EC747F">
      <w:pPr>
        <w:pStyle w:val="NumberedParaAR"/>
      </w:pPr>
      <w:r>
        <w:rPr>
          <w:rFonts w:hint="cs"/>
          <w:rtl/>
        </w:rPr>
        <w:t xml:space="preserve">أحاطت اللجنة علما بمضمون هذا الملخص الذي أعده الرئيس. وأوضح الرئيس أن هذا الملخص يبلور آراء الرئيس بشأن </w:t>
      </w:r>
      <w:r w:rsidR="00EC747F">
        <w:rPr>
          <w:rFonts w:hint="cs"/>
          <w:rtl/>
        </w:rPr>
        <w:t>نتائج</w:t>
      </w:r>
      <w:r>
        <w:rPr>
          <w:rFonts w:hint="cs"/>
          <w:rtl/>
        </w:rPr>
        <w:t xml:space="preserve"> الدورة </w:t>
      </w:r>
      <w:r w:rsidR="00317336">
        <w:rPr>
          <w:rFonts w:hint="cs"/>
          <w:rtl/>
        </w:rPr>
        <w:t>الحادية و</w:t>
      </w:r>
      <w:r>
        <w:rPr>
          <w:rFonts w:hint="cs"/>
          <w:rtl/>
        </w:rPr>
        <w:t>الثلاثين للجنة وأنه لا يخضع بالتالي لموافقة اللجنة.</w:t>
      </w:r>
    </w:p>
    <w:p w:rsidR="00197545" w:rsidRPr="0038159C" w:rsidRDefault="00197545" w:rsidP="00317336">
      <w:pPr>
        <w:pStyle w:val="NumberedParaAR"/>
        <w:numPr>
          <w:ilvl w:val="0"/>
          <w:numId w:val="0"/>
        </w:numPr>
        <w:rPr>
          <w:b/>
          <w:bCs/>
          <w:sz w:val="40"/>
          <w:szCs w:val="40"/>
          <w:rtl/>
        </w:rPr>
      </w:pPr>
      <w:r w:rsidRPr="0038159C">
        <w:rPr>
          <w:rFonts w:hint="cs"/>
          <w:b/>
          <w:bCs/>
          <w:sz w:val="40"/>
          <w:szCs w:val="40"/>
          <w:rtl/>
        </w:rPr>
        <w:t xml:space="preserve">البند </w:t>
      </w:r>
      <w:r w:rsidR="00317336" w:rsidRPr="0038159C">
        <w:rPr>
          <w:rFonts w:hint="cs"/>
          <w:b/>
          <w:bCs/>
          <w:sz w:val="40"/>
          <w:szCs w:val="40"/>
          <w:rtl/>
        </w:rPr>
        <w:t>9</w:t>
      </w:r>
      <w:r w:rsidRPr="0038159C">
        <w:rPr>
          <w:rFonts w:hint="cs"/>
          <w:b/>
          <w:bCs/>
          <w:sz w:val="40"/>
          <w:szCs w:val="40"/>
          <w:rtl/>
        </w:rPr>
        <w:t xml:space="preserve"> من جدول الأعمال: اختتام الدورة</w:t>
      </w:r>
    </w:p>
    <w:p w:rsidR="00197545" w:rsidRDefault="00197545" w:rsidP="00317336">
      <w:pPr>
        <w:pStyle w:val="NumberedParaAR"/>
        <w:spacing w:after="480"/>
      </w:pPr>
      <w:r>
        <w:rPr>
          <w:rFonts w:hint="cs"/>
          <w:rtl/>
        </w:rPr>
        <w:t xml:space="preserve">ستعقد اللجنة دورتها القادمة في الفترة من </w:t>
      </w:r>
      <w:r w:rsidR="00317336">
        <w:rPr>
          <w:rFonts w:hint="cs"/>
          <w:rtl/>
        </w:rPr>
        <w:t>9 إلى 13 مايو 2016</w:t>
      </w:r>
      <w:r>
        <w:rPr>
          <w:rFonts w:hint="cs"/>
          <w:rtl/>
        </w:rPr>
        <w:t>.</w:t>
      </w:r>
    </w:p>
    <w:p w:rsidR="00144D5F" w:rsidRPr="00144D5F" w:rsidRDefault="00197545" w:rsidP="00317336">
      <w:pPr>
        <w:pStyle w:val="EndofDocumentAR"/>
        <w:rPr>
          <w:rtl/>
          <w:lang w:val="fr-CH"/>
        </w:rPr>
      </w:pPr>
      <w:r>
        <w:rPr>
          <w:rFonts w:hint="cs"/>
          <w:rtl/>
        </w:rPr>
        <w:t>[نهاية الوثيقة]</w:t>
      </w:r>
    </w:p>
    <w:sectPr w:rsidR="00144D5F" w:rsidRPr="00144D5F" w:rsidSect="00EB7752">
      <w:headerReference w:type="default" r:id="rId1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702" w:rsidRDefault="00A85702">
      <w:r>
        <w:separator/>
      </w:r>
    </w:p>
  </w:endnote>
  <w:endnote w:type="continuationSeparator" w:id="0">
    <w:p w:rsidR="00A85702" w:rsidRDefault="00A8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702" w:rsidRDefault="00A85702" w:rsidP="009622BF">
      <w:pPr>
        <w:bidi/>
      </w:pPr>
      <w:bookmarkStart w:id="0" w:name="OLE_LINK1"/>
      <w:bookmarkStart w:id="1" w:name="OLE_LINK2"/>
      <w:r>
        <w:separator/>
      </w:r>
      <w:bookmarkEnd w:id="0"/>
      <w:bookmarkEnd w:id="1"/>
    </w:p>
  </w:footnote>
  <w:footnote w:type="continuationSeparator" w:id="0">
    <w:p w:rsidR="00A85702" w:rsidRDefault="00A85702"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2F77FC" w:rsidP="00D61541">
    <w:r>
      <w:fldChar w:fldCharType="begin"/>
    </w:r>
    <w:r>
      <w:instrText xml:space="preserve"> PAGE  \* MERGEFORMAT </w:instrText>
    </w:r>
    <w:r>
      <w:fldChar w:fldCharType="separate"/>
    </w:r>
    <w:r w:rsidR="00124F83">
      <w:rPr>
        <w:noProof/>
      </w:rPr>
      <w:t>4</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02"/>
    <w:rsid w:val="00002CBE"/>
    <w:rsid w:val="00003232"/>
    <w:rsid w:val="000033DA"/>
    <w:rsid w:val="0000579F"/>
    <w:rsid w:val="000074D1"/>
    <w:rsid w:val="000076BD"/>
    <w:rsid w:val="00007BA0"/>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3BB"/>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6F43"/>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4A"/>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C7702"/>
    <w:rsid w:val="000D0C07"/>
    <w:rsid w:val="000D0C7C"/>
    <w:rsid w:val="000D1A1D"/>
    <w:rsid w:val="000D5FB7"/>
    <w:rsid w:val="000E06A5"/>
    <w:rsid w:val="000E16EB"/>
    <w:rsid w:val="000E591F"/>
    <w:rsid w:val="000E5A23"/>
    <w:rsid w:val="000E6045"/>
    <w:rsid w:val="000E7872"/>
    <w:rsid w:val="000E7ED7"/>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4F83"/>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4D5F"/>
    <w:rsid w:val="0015009D"/>
    <w:rsid w:val="001519FB"/>
    <w:rsid w:val="00151B18"/>
    <w:rsid w:val="00151BF2"/>
    <w:rsid w:val="00151C68"/>
    <w:rsid w:val="001520DD"/>
    <w:rsid w:val="00152374"/>
    <w:rsid w:val="00153A62"/>
    <w:rsid w:val="00153CD7"/>
    <w:rsid w:val="00154023"/>
    <w:rsid w:val="001550DF"/>
    <w:rsid w:val="00155CEA"/>
    <w:rsid w:val="00156153"/>
    <w:rsid w:val="001561EB"/>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97545"/>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0FCC"/>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5D71"/>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463"/>
    <w:rsid w:val="002806F8"/>
    <w:rsid w:val="002810B5"/>
    <w:rsid w:val="00281F4F"/>
    <w:rsid w:val="00286744"/>
    <w:rsid w:val="002909B9"/>
    <w:rsid w:val="00291C0D"/>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8E8"/>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2357"/>
    <w:rsid w:val="00314E12"/>
    <w:rsid w:val="003166A5"/>
    <w:rsid w:val="00316C8C"/>
    <w:rsid w:val="00317336"/>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2A87"/>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59C"/>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5528"/>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6E4C"/>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97054"/>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4CC6"/>
    <w:rsid w:val="005E5014"/>
    <w:rsid w:val="005E684F"/>
    <w:rsid w:val="005E77BA"/>
    <w:rsid w:val="005F0112"/>
    <w:rsid w:val="005F03E3"/>
    <w:rsid w:val="005F0829"/>
    <w:rsid w:val="005F32BE"/>
    <w:rsid w:val="005F34FB"/>
    <w:rsid w:val="005F39A0"/>
    <w:rsid w:val="005F6B68"/>
    <w:rsid w:val="005F6F2E"/>
    <w:rsid w:val="005F7A5B"/>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EE4"/>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5D7C"/>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31B"/>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2FB3"/>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97B67"/>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288"/>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0BD9"/>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5702"/>
    <w:rsid w:val="00A86119"/>
    <w:rsid w:val="00A8649F"/>
    <w:rsid w:val="00A86D25"/>
    <w:rsid w:val="00A877BD"/>
    <w:rsid w:val="00A8786B"/>
    <w:rsid w:val="00A87F25"/>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1AB"/>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51F"/>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4B04"/>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44A"/>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193"/>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DD0"/>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75BC"/>
    <w:rsid w:val="00D77746"/>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59BD"/>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6E08"/>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0D"/>
    <w:rsid w:val="00EC36AD"/>
    <w:rsid w:val="00EC3BCF"/>
    <w:rsid w:val="00EC5342"/>
    <w:rsid w:val="00EC56B1"/>
    <w:rsid w:val="00EC664F"/>
    <w:rsid w:val="00EC6749"/>
    <w:rsid w:val="00EC72F5"/>
    <w:rsid w:val="00EC7334"/>
    <w:rsid w:val="00EC747F"/>
    <w:rsid w:val="00ED1877"/>
    <w:rsid w:val="00ED247F"/>
    <w:rsid w:val="00ED27E4"/>
    <w:rsid w:val="00ED2F27"/>
    <w:rsid w:val="00ED3370"/>
    <w:rsid w:val="00ED4D96"/>
    <w:rsid w:val="00ED5A40"/>
    <w:rsid w:val="00ED5F21"/>
    <w:rsid w:val="00ED602C"/>
    <w:rsid w:val="00ED62B5"/>
    <w:rsid w:val="00ED6DDB"/>
    <w:rsid w:val="00ED7985"/>
    <w:rsid w:val="00EE1217"/>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2526"/>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1975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1975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mail@wipo.int" TargetMode="External"/><Relationship Id="rId5" Type="http://schemas.openxmlformats.org/officeDocument/2006/relationships/settings" Target="settings.xml"/><Relationship Id="rId10" Type="http://schemas.openxmlformats.org/officeDocument/2006/relationships/hyperlink" Target="mailto:copyright.mail@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2D0BD-F15E-4A98-8DC6-A7486958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1010</Words>
  <Characters>5621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SCCR/29/-- (Arabic)</vt:lpstr>
    </vt:vector>
  </TitlesOfParts>
  <Company>World Intellectual Property Organization</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SCCR/29/-- (Arabic)</dc:title>
  <dc:creator>MERZOUK Fawzi</dc:creator>
  <cp:lastModifiedBy>HAIZEL Francesca</cp:lastModifiedBy>
  <cp:revision>2</cp:revision>
  <cp:lastPrinted>2015-12-14T09:36:00Z</cp:lastPrinted>
  <dcterms:created xsi:type="dcterms:W3CDTF">2016-02-02T09:19:00Z</dcterms:created>
  <dcterms:modified xsi:type="dcterms:W3CDTF">2016-02-02T09:19:00Z</dcterms:modified>
</cp:coreProperties>
</file>