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0C50A3">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E7ED7" w:rsidP="00034B1A">
            <w:pPr>
              <w:pStyle w:val="DocumentCodeAR"/>
              <w:bidi/>
              <w:rPr>
                <w:rtl/>
              </w:rPr>
            </w:pPr>
            <w:r>
              <w:t>SC</w:t>
            </w:r>
            <w:r w:rsidR="00983389">
              <w:t>C</w:t>
            </w:r>
            <w:r>
              <w:t>R</w:t>
            </w:r>
            <w:r w:rsidR="00100F97">
              <w:t>/</w:t>
            </w:r>
            <w:r w:rsidR="00772E46">
              <w:t>2</w:t>
            </w:r>
            <w:r>
              <w:t>6</w:t>
            </w:r>
            <w:r w:rsidR="00B6101C" w:rsidRPr="00B6101C">
              <w:t>/</w:t>
            </w:r>
            <w:r w:rsidR="00034B1A">
              <w:t>5</w:t>
            </w:r>
          </w:p>
        </w:tc>
      </w:tr>
      <w:tr w:rsidR="001667B6" w:rsidTr="00BF164F">
        <w:tc>
          <w:tcPr>
            <w:tcW w:w="9571" w:type="dxa"/>
            <w:gridSpan w:val="3"/>
          </w:tcPr>
          <w:p w:rsidR="001667B6" w:rsidRPr="00B6101C" w:rsidRDefault="00B6101C" w:rsidP="00034B1A">
            <w:pPr>
              <w:pStyle w:val="DocumentLanguageAR"/>
              <w:bidi/>
              <w:rPr>
                <w:rtl/>
              </w:rPr>
            </w:pPr>
            <w:r w:rsidRPr="00B6101C">
              <w:rPr>
                <w:rFonts w:hint="cs"/>
                <w:rtl/>
              </w:rPr>
              <w:t xml:space="preserve">الأصل: </w:t>
            </w:r>
            <w:r w:rsidR="00034B1A">
              <w:rPr>
                <w:rFonts w:hint="cs"/>
                <w:rtl/>
              </w:rPr>
              <w:t>بالإنكليزية</w:t>
            </w:r>
          </w:p>
        </w:tc>
      </w:tr>
      <w:tr w:rsidR="001667B6" w:rsidTr="00BF164F">
        <w:tc>
          <w:tcPr>
            <w:tcW w:w="9571" w:type="dxa"/>
            <w:gridSpan w:val="3"/>
          </w:tcPr>
          <w:p w:rsidR="001667B6" w:rsidRPr="00B6101C" w:rsidRDefault="00B6101C" w:rsidP="00034B1A">
            <w:pPr>
              <w:pStyle w:val="DocumentDateAR"/>
              <w:bidi/>
              <w:rPr>
                <w:rtl/>
              </w:rPr>
            </w:pPr>
            <w:r w:rsidRPr="00B6101C">
              <w:rPr>
                <w:rFonts w:hint="cs"/>
                <w:rtl/>
              </w:rPr>
              <w:t xml:space="preserve">التاريخ: </w:t>
            </w:r>
            <w:r w:rsidR="00034B1A">
              <w:rPr>
                <w:rFonts w:hint="cs"/>
                <w:rtl/>
              </w:rPr>
              <w:t>10</w:t>
            </w:r>
            <w:r w:rsidRPr="00B6101C">
              <w:rPr>
                <w:rFonts w:hint="cs"/>
                <w:rtl/>
              </w:rPr>
              <w:t xml:space="preserve"> </w:t>
            </w:r>
            <w:r w:rsidR="00034B1A">
              <w:rPr>
                <w:rFonts w:hint="cs"/>
                <w:rtl/>
              </w:rPr>
              <w:t>ديسمبر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983389">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السادسة و</w:t>
      </w:r>
      <w:r w:rsidR="00772E46">
        <w:rPr>
          <w:rFonts w:ascii="Cambria Math" w:hAnsi="Cambria Math" w:hint="cs"/>
          <w:rtl/>
        </w:rPr>
        <w:t>العشرون</w:t>
      </w:r>
    </w:p>
    <w:p w:rsidR="00D61541" w:rsidRPr="00D61541" w:rsidRDefault="00D61541" w:rsidP="000C7702">
      <w:pPr>
        <w:pStyle w:val="MeetingDatesAR"/>
        <w:bidi/>
        <w:rPr>
          <w:rtl/>
        </w:rPr>
      </w:pPr>
      <w:r w:rsidRPr="00D61541">
        <w:rPr>
          <w:rFonts w:hint="cs"/>
          <w:rtl/>
        </w:rPr>
        <w:t xml:space="preserve">جنيف، من </w:t>
      </w:r>
      <w:r w:rsidR="000C7702">
        <w:rPr>
          <w:rFonts w:hint="cs"/>
          <w:rtl/>
        </w:rPr>
        <w:t>16</w:t>
      </w:r>
      <w:r w:rsidR="00983389">
        <w:rPr>
          <w:rFonts w:hint="cs"/>
          <w:rtl/>
        </w:rPr>
        <w:t xml:space="preserve"> </w:t>
      </w:r>
      <w:r w:rsidR="00100F97">
        <w:rPr>
          <w:rFonts w:hint="cs"/>
          <w:rtl/>
        </w:rPr>
        <w:t xml:space="preserve">إلى </w:t>
      </w:r>
      <w:r w:rsidR="000C7702">
        <w:rPr>
          <w:rFonts w:hint="cs"/>
          <w:rtl/>
        </w:rPr>
        <w:t xml:space="preserve">20 ديسمبر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34B1A" w:rsidP="00034B1A">
      <w:pPr>
        <w:pStyle w:val="DocumentTitleAR"/>
        <w:bidi/>
        <w:rPr>
          <w:rtl/>
        </w:rPr>
      </w:pPr>
      <w:r w:rsidRPr="00034B1A">
        <w:rPr>
          <w:rtl/>
        </w:rPr>
        <w:t xml:space="preserve">التقرير المرحلي </w:t>
      </w:r>
      <w:r>
        <w:rPr>
          <w:rFonts w:hint="cs"/>
          <w:rtl/>
        </w:rPr>
        <w:t>السادس</w:t>
      </w:r>
      <w:r w:rsidRPr="00034B1A">
        <w:rPr>
          <w:rtl/>
        </w:rPr>
        <w:t xml:space="preserve"> لمنصة أصحاب المصالح</w:t>
      </w:r>
    </w:p>
    <w:p w:rsidR="00D61541" w:rsidRDefault="00D61541" w:rsidP="00931859">
      <w:pPr>
        <w:pStyle w:val="PreparedbyAR"/>
        <w:bidi/>
        <w:rPr>
          <w:rtl/>
        </w:rPr>
      </w:pPr>
      <w:r w:rsidRPr="00D61541">
        <w:rPr>
          <w:rFonts w:hint="cs"/>
          <w:rtl/>
        </w:rPr>
        <w:t xml:space="preserve">من </w:t>
      </w:r>
      <w:r w:rsidRPr="00931859">
        <w:rPr>
          <w:rFonts w:hint="cs"/>
          <w:rtl/>
        </w:rPr>
        <w:t>إعداد</w:t>
      </w:r>
      <w:r w:rsidR="00034B1A">
        <w:rPr>
          <w:rFonts w:hint="cs"/>
          <w:rtl/>
        </w:rPr>
        <w:t xml:space="preserve"> الأمانة</w:t>
      </w:r>
    </w:p>
    <w:p w:rsidR="00C51F27" w:rsidRDefault="00C51F27">
      <w:pPr>
        <w:rPr>
          <w:rFonts w:ascii="Arabic Typesetting" w:hAnsi="Arabic Typesetting" w:cs="Arabic Typesetting"/>
          <w:sz w:val="36"/>
          <w:szCs w:val="36"/>
          <w:rtl/>
        </w:rPr>
      </w:pPr>
      <w:r>
        <w:rPr>
          <w:rtl/>
        </w:rPr>
        <w:br w:type="page"/>
      </w:r>
    </w:p>
    <w:p w:rsidR="00795196" w:rsidRPr="00795196" w:rsidRDefault="00795196" w:rsidP="00795196">
      <w:pPr>
        <w:pStyle w:val="NormalParaAR"/>
        <w:numPr>
          <w:ilvl w:val="0"/>
          <w:numId w:val="11"/>
        </w:numPr>
      </w:pPr>
      <w:r w:rsidRPr="00795196">
        <w:rPr>
          <w:rFonts w:hint="cs"/>
          <w:rtl/>
        </w:rPr>
        <w:lastRenderedPageBreak/>
        <w:t xml:space="preserve">يشرح هذا التقرير المرحلي </w:t>
      </w:r>
      <w:r>
        <w:rPr>
          <w:rFonts w:hint="cs"/>
          <w:rtl/>
        </w:rPr>
        <w:t>السادس</w:t>
      </w:r>
      <w:r w:rsidRPr="00795196">
        <w:rPr>
          <w:rFonts w:hint="cs"/>
          <w:rtl/>
        </w:rPr>
        <w:t xml:space="preserve"> حصائل الاجتماع </w:t>
      </w:r>
      <w:r>
        <w:rPr>
          <w:rFonts w:hint="cs"/>
          <w:rtl/>
        </w:rPr>
        <w:t>السابع</w:t>
      </w:r>
      <w:r w:rsidRPr="00795196">
        <w:rPr>
          <w:rFonts w:hint="cs"/>
          <w:rtl/>
        </w:rPr>
        <w:t xml:space="preserve"> لمنصة أصحاب المصالح الذي نُظم في </w:t>
      </w:r>
      <w:r>
        <w:rPr>
          <w:rFonts w:hint="cs"/>
          <w:rtl/>
        </w:rPr>
        <w:t>بانكوك في</w:t>
      </w:r>
      <w:r>
        <w:rPr>
          <w:rFonts w:hint="eastAsia"/>
          <w:rtl/>
        </w:rPr>
        <w:t> </w:t>
      </w:r>
      <w:r>
        <w:rPr>
          <w:rFonts w:hint="cs"/>
          <w:rtl/>
        </w:rPr>
        <w:t>16 نوفمبر</w:t>
      </w:r>
      <w:r w:rsidRPr="00795196">
        <w:rPr>
          <w:rFonts w:hint="cs"/>
          <w:rtl/>
        </w:rPr>
        <w:t xml:space="preserve"> 2012.</w:t>
      </w:r>
    </w:p>
    <w:p w:rsidR="00795196" w:rsidRPr="00CA19A6" w:rsidRDefault="00795196" w:rsidP="0049739F">
      <w:pPr>
        <w:pStyle w:val="NumberedParaAR"/>
      </w:pPr>
      <w:r w:rsidRPr="00CA19A6">
        <w:rPr>
          <w:rFonts w:hint="cs"/>
          <w:rtl/>
        </w:rPr>
        <w:t>وكانت اللجنة الدائمة المعنية بحق المؤلف والحقوق المجاورة</w:t>
      </w:r>
      <w:r w:rsidR="00EC43C4" w:rsidRPr="00CA19A6">
        <w:rPr>
          <w:rFonts w:hint="cs"/>
          <w:rtl/>
        </w:rPr>
        <w:t xml:space="preserve"> (لجنة حق المؤلف)</w:t>
      </w:r>
      <w:r w:rsidRPr="00CA19A6">
        <w:rPr>
          <w:rFonts w:hint="cs"/>
          <w:rtl/>
        </w:rPr>
        <w:t xml:space="preserve"> قد اعترفت، في دورتها السابعة عشرة الم</w:t>
      </w:r>
      <w:r w:rsidR="00EC43C4" w:rsidRPr="00CA19A6">
        <w:rPr>
          <w:rFonts w:hint="cs"/>
          <w:rtl/>
        </w:rPr>
        <w:t>ن</w:t>
      </w:r>
      <w:r w:rsidRPr="00CA19A6">
        <w:rPr>
          <w:rFonts w:hint="cs"/>
          <w:rtl/>
        </w:rPr>
        <w:t>ع</w:t>
      </w:r>
      <w:r w:rsidR="00EC43C4" w:rsidRPr="00CA19A6">
        <w:rPr>
          <w:rFonts w:hint="cs"/>
          <w:rtl/>
        </w:rPr>
        <w:t>ق</w:t>
      </w:r>
      <w:r w:rsidRPr="00CA19A6">
        <w:rPr>
          <w:rFonts w:hint="cs"/>
          <w:rtl/>
        </w:rPr>
        <w:t xml:space="preserve">دة في نوفمبر 2008، بالاحتياجات الخاصة للأشخاص معاقي البصر وأكّدت أهمية السعي، بدون تأخير </w:t>
      </w:r>
      <w:r w:rsidR="00391548" w:rsidRPr="00CA19A6">
        <w:rPr>
          <w:rFonts w:hint="cs"/>
          <w:rtl/>
        </w:rPr>
        <w:t>وعن طريق</w:t>
      </w:r>
      <w:r w:rsidRPr="00CA19A6">
        <w:rPr>
          <w:rFonts w:hint="cs"/>
          <w:rtl/>
        </w:rPr>
        <w:t xml:space="preserve"> مداولات مناسبة، إلى تلبية تلك الاحتياجات الخاصة بالمكفوفين والأشخاص معاقي البصر وسائر </w:t>
      </w:r>
      <w:r w:rsidR="00391548" w:rsidRPr="00CA19A6">
        <w:rPr>
          <w:rFonts w:hint="cs"/>
          <w:rtl/>
        </w:rPr>
        <w:t>ا</w:t>
      </w:r>
      <w:r w:rsidR="00391548" w:rsidRPr="00CA19A6">
        <w:rPr>
          <w:rtl/>
        </w:rPr>
        <w:t xml:space="preserve">لأشخاص العاجزين عن </w:t>
      </w:r>
      <w:r w:rsidR="0049739F">
        <w:rPr>
          <w:rFonts w:hint="cs"/>
          <w:rtl/>
        </w:rPr>
        <w:t>ال</w:t>
      </w:r>
      <w:r w:rsidR="00391548" w:rsidRPr="00CA19A6">
        <w:rPr>
          <w:rtl/>
        </w:rPr>
        <w:t>قراءة</w:t>
      </w:r>
      <w:r w:rsidR="0049739F">
        <w:rPr>
          <w:rFonts w:hint="cs"/>
          <w:rtl/>
        </w:rPr>
        <w:t>،</w:t>
      </w:r>
      <w:r w:rsidR="00391548" w:rsidRPr="00CA19A6">
        <w:rPr>
          <w:rFonts w:hint="cs"/>
          <w:rtl/>
        </w:rPr>
        <w:t xml:space="preserve"> وذلك بطرق منها </w:t>
      </w:r>
      <w:r w:rsidRPr="00CA19A6">
        <w:rPr>
          <w:rFonts w:hint="cs"/>
          <w:rtl/>
        </w:rPr>
        <w:t>إجراء مناقشات على الصعيدين الوطني والدولي بشأن الطرق والوسائل الممكنة لتيسير وتعزيز فرص النفاذ إلى المصنفات المحمية، على خلفية تحليل للتقييدات والاستثناءات. و</w:t>
      </w:r>
      <w:r w:rsidR="00391548" w:rsidRPr="00CA19A6">
        <w:rPr>
          <w:rFonts w:hint="cs"/>
          <w:rtl/>
        </w:rPr>
        <w:t>ي</w:t>
      </w:r>
      <w:r w:rsidRPr="00CA19A6">
        <w:rPr>
          <w:rFonts w:hint="cs"/>
          <w:rtl/>
        </w:rPr>
        <w:t xml:space="preserve">نبغي أن يشمل ذلك أيضاً </w:t>
      </w:r>
      <w:r w:rsidR="00391548" w:rsidRPr="00CA19A6">
        <w:rPr>
          <w:rFonts w:hint="cs"/>
          <w:rtl/>
        </w:rPr>
        <w:t xml:space="preserve">إنشاء </w:t>
      </w:r>
      <w:r w:rsidRPr="00CA19A6">
        <w:rPr>
          <w:rFonts w:hint="cs"/>
          <w:rtl/>
        </w:rPr>
        <w:t>منصة لأصحاب المصالح على مستوى المنظمة العالمية للملكية الفكرية</w:t>
      </w:r>
      <w:r w:rsidR="0049739F">
        <w:rPr>
          <w:rFonts w:hint="cs"/>
          <w:rtl/>
        </w:rPr>
        <w:t xml:space="preserve"> (الويبو)</w:t>
      </w:r>
      <w:r w:rsidRPr="00CA19A6">
        <w:rPr>
          <w:rFonts w:hint="cs"/>
          <w:rtl/>
        </w:rPr>
        <w:t>، من أجل تيسير الترتيبات اللازمة لضمان نفاذ الأشخاص ذوي الإعاقة إلى المصنفات</w:t>
      </w:r>
      <w:r w:rsidR="00CA19A6" w:rsidRPr="00CA19A6">
        <w:rPr>
          <w:rFonts w:hint="cs"/>
          <w:rtl/>
        </w:rPr>
        <w:t xml:space="preserve"> المحمية.</w:t>
      </w:r>
    </w:p>
    <w:p w:rsidR="00795196" w:rsidRPr="00CA19A6" w:rsidRDefault="00795196" w:rsidP="00CA19A6">
      <w:pPr>
        <w:pStyle w:val="NormalParaAR"/>
        <w:numPr>
          <w:ilvl w:val="0"/>
          <w:numId w:val="11"/>
        </w:numPr>
      </w:pPr>
      <w:r w:rsidRPr="00CA19A6">
        <w:rPr>
          <w:rFonts w:hint="cs"/>
          <w:rtl/>
        </w:rPr>
        <w:t xml:space="preserve">واستناداً إلى التكليف السابق ذكره دعت أمانة الويبو مختلف أصحاب المصالح الرئيسيين الذين يمثّلون مصالح أصحاب حق المؤلف والأشخاص معاقي البصر، بمن فيهم الأشخاص العاجزون عن قراءة المطبوعات، للمشاركة في منصة بغرض استكشاف احتياجاتهم الحقيقية وانشغالاتهم والنُهج المقترحة لبلوغ هدف تيسير نفاذ </w:t>
      </w:r>
      <w:r w:rsidR="00CA19A6" w:rsidRPr="00CA19A6">
        <w:rPr>
          <w:rFonts w:hint="cs"/>
          <w:rtl/>
        </w:rPr>
        <w:t xml:space="preserve">المكفوفين أو معاقي البصر أو </w:t>
      </w:r>
      <w:r w:rsidR="00CA19A6" w:rsidRPr="00CA19A6">
        <w:rPr>
          <w:rtl/>
        </w:rPr>
        <w:t>العاجزين عن قراءة المطبوعات</w:t>
      </w:r>
      <w:r w:rsidRPr="00CA19A6">
        <w:rPr>
          <w:rFonts w:hint="cs"/>
          <w:rtl/>
        </w:rPr>
        <w:t xml:space="preserve"> </w:t>
      </w:r>
      <w:r w:rsidR="00CA19A6">
        <w:rPr>
          <w:rFonts w:hint="cs"/>
          <w:rtl/>
        </w:rPr>
        <w:t>إلى الم</w:t>
      </w:r>
      <w:r w:rsidRPr="00CA19A6">
        <w:rPr>
          <w:rFonts w:hint="cs"/>
          <w:rtl/>
        </w:rPr>
        <w:t xml:space="preserve">صنفات في أنساق </w:t>
      </w:r>
      <w:r w:rsidR="00CA19A6" w:rsidRPr="00CA19A6">
        <w:rPr>
          <w:rFonts w:hint="cs"/>
          <w:rtl/>
        </w:rPr>
        <w:t>ميّسرة</w:t>
      </w:r>
      <w:r w:rsidRPr="00CA19A6">
        <w:rPr>
          <w:rFonts w:hint="cs"/>
          <w:rtl/>
        </w:rPr>
        <w:t>.</w:t>
      </w:r>
    </w:p>
    <w:p w:rsidR="00795196" w:rsidRPr="0049739F" w:rsidRDefault="00795196" w:rsidP="0049739F">
      <w:pPr>
        <w:pStyle w:val="NormalParaAR"/>
        <w:keepNext/>
        <w:numPr>
          <w:ilvl w:val="0"/>
          <w:numId w:val="11"/>
        </w:numPr>
      </w:pPr>
      <w:r w:rsidRPr="0049739F">
        <w:rPr>
          <w:rFonts w:hint="cs"/>
          <w:rtl/>
        </w:rPr>
        <w:t xml:space="preserve">وعُقدت اجتماعات </w:t>
      </w:r>
      <w:r w:rsidR="00C235FD">
        <w:rPr>
          <w:rFonts w:hint="cs"/>
          <w:rtl/>
        </w:rPr>
        <w:t>أصحاب المصالح على النحو التالي:</w:t>
      </w:r>
    </w:p>
    <w:p w:rsidR="00795196" w:rsidRPr="0049739F" w:rsidRDefault="00795196" w:rsidP="0049739F">
      <w:pPr>
        <w:pStyle w:val="NormalParaAR"/>
        <w:keepNext/>
        <w:numPr>
          <w:ilvl w:val="0"/>
          <w:numId w:val="21"/>
        </w:numPr>
        <w:rPr>
          <w:rtl/>
        </w:rPr>
      </w:pPr>
      <w:r w:rsidRPr="0049739F">
        <w:rPr>
          <w:rFonts w:hint="cs"/>
          <w:rtl/>
        </w:rPr>
        <w:t>الاجتماع الأول: في جنيف، في 19 يناير 2009</w:t>
      </w:r>
    </w:p>
    <w:p w:rsidR="00795196" w:rsidRPr="0049739F" w:rsidRDefault="00795196" w:rsidP="00795196">
      <w:pPr>
        <w:pStyle w:val="NormalParaAR"/>
        <w:numPr>
          <w:ilvl w:val="0"/>
          <w:numId w:val="21"/>
        </w:numPr>
      </w:pPr>
      <w:r w:rsidRPr="0049739F">
        <w:rPr>
          <w:rFonts w:hint="cs"/>
          <w:rtl/>
        </w:rPr>
        <w:t xml:space="preserve">الاجتماع الثاني: في لندن، في 20 أبريل 2009 </w:t>
      </w:r>
    </w:p>
    <w:p w:rsidR="00795196" w:rsidRPr="0049739F" w:rsidRDefault="00795196" w:rsidP="00795196">
      <w:pPr>
        <w:pStyle w:val="NormalParaAR"/>
        <w:numPr>
          <w:ilvl w:val="0"/>
          <w:numId w:val="21"/>
        </w:numPr>
      </w:pPr>
      <w:r w:rsidRPr="0049739F">
        <w:rPr>
          <w:rFonts w:hint="cs"/>
          <w:rtl/>
        </w:rPr>
        <w:t xml:space="preserve">الاجتماع الثالث: في الإسكندرية (مصر)، في 3 نوفمبر 2009 </w:t>
      </w:r>
    </w:p>
    <w:p w:rsidR="00795196" w:rsidRPr="0049739F" w:rsidRDefault="00795196" w:rsidP="00795196">
      <w:pPr>
        <w:pStyle w:val="NormalParaAR"/>
        <w:numPr>
          <w:ilvl w:val="0"/>
          <w:numId w:val="21"/>
        </w:numPr>
      </w:pPr>
      <w:r w:rsidRPr="0049739F">
        <w:rPr>
          <w:rFonts w:hint="cs"/>
          <w:rtl/>
        </w:rPr>
        <w:t>الاجتماع الرابع: في جنيف، في 26 مايو 2010</w:t>
      </w:r>
    </w:p>
    <w:p w:rsidR="00795196" w:rsidRPr="0049739F" w:rsidRDefault="00795196" w:rsidP="00795196">
      <w:pPr>
        <w:pStyle w:val="NormalParaAR"/>
        <w:numPr>
          <w:ilvl w:val="0"/>
          <w:numId w:val="21"/>
        </w:numPr>
      </w:pPr>
      <w:r w:rsidRPr="0049739F">
        <w:rPr>
          <w:rFonts w:hint="cs"/>
          <w:rtl/>
        </w:rPr>
        <w:t xml:space="preserve">الاجتماع الخامس: في نيودلهي، في 23 أكتوبر 2010 </w:t>
      </w:r>
    </w:p>
    <w:p w:rsidR="0049739F" w:rsidRPr="0049739F" w:rsidRDefault="0049739F" w:rsidP="00795196">
      <w:pPr>
        <w:pStyle w:val="NormalParaAR"/>
        <w:numPr>
          <w:ilvl w:val="0"/>
          <w:numId w:val="21"/>
        </w:numPr>
      </w:pPr>
      <w:r w:rsidRPr="0049739F">
        <w:rPr>
          <w:rFonts w:hint="cs"/>
          <w:rtl/>
        </w:rPr>
        <w:t>الاجتماع السادس: في جنيف، في 20 فبراير 2012.</w:t>
      </w:r>
    </w:p>
    <w:p w:rsidR="00795196" w:rsidRPr="006C7EE1" w:rsidRDefault="00795196" w:rsidP="006C7EE1">
      <w:pPr>
        <w:pStyle w:val="NormalParaAR"/>
        <w:numPr>
          <w:ilvl w:val="0"/>
          <w:numId w:val="11"/>
        </w:numPr>
      </w:pPr>
      <w:r w:rsidRPr="006C7EE1">
        <w:rPr>
          <w:rFonts w:hint="cs"/>
          <w:rtl/>
        </w:rPr>
        <w:t xml:space="preserve">وعُرضت تقارير الاجتماعات المذكورة أعلاه خلال الدورات الثامنة عشرة والتاسعة عشرة والعشرين والحادية والعشرين </w:t>
      </w:r>
      <w:r w:rsidR="006C7EE1" w:rsidRPr="006C7EE1">
        <w:rPr>
          <w:rFonts w:hint="cs"/>
          <w:rtl/>
        </w:rPr>
        <w:t>والرابعة</w:t>
      </w:r>
      <w:r w:rsidR="00C235FD" w:rsidRPr="006C7EE1">
        <w:rPr>
          <w:rFonts w:hint="cs"/>
          <w:rtl/>
        </w:rPr>
        <w:t xml:space="preserve"> والعشرين </w:t>
      </w:r>
      <w:r w:rsidRPr="006C7EE1">
        <w:rPr>
          <w:rFonts w:hint="cs"/>
          <w:rtl/>
        </w:rPr>
        <w:t xml:space="preserve">للجنة (الوثائق </w:t>
      </w:r>
      <w:r w:rsidRPr="006C7EE1">
        <w:t>SCCR/18/4</w:t>
      </w:r>
      <w:r w:rsidRPr="006C7EE1">
        <w:rPr>
          <w:rFonts w:hint="cs"/>
          <w:rtl/>
        </w:rPr>
        <w:t xml:space="preserve"> و</w:t>
      </w:r>
      <w:r w:rsidRPr="006C7EE1">
        <w:t>SCCR/19/10</w:t>
      </w:r>
      <w:r w:rsidRPr="006C7EE1">
        <w:rPr>
          <w:rFonts w:hint="cs"/>
          <w:rtl/>
        </w:rPr>
        <w:t xml:space="preserve"> و</w:t>
      </w:r>
      <w:r w:rsidRPr="006C7EE1">
        <w:t>SCCR/20/6</w:t>
      </w:r>
      <w:r w:rsidRPr="006C7EE1">
        <w:rPr>
          <w:rFonts w:hint="cs"/>
          <w:rtl/>
        </w:rPr>
        <w:t xml:space="preserve"> و</w:t>
      </w:r>
      <w:r w:rsidRPr="006C7EE1">
        <w:t>SCCR/21/10</w:t>
      </w:r>
      <w:r w:rsidR="006C7EE1" w:rsidRPr="006C7EE1">
        <w:rPr>
          <w:rFonts w:hint="cs"/>
          <w:rtl/>
        </w:rPr>
        <w:t xml:space="preserve"> و</w:t>
      </w:r>
      <w:r w:rsidR="006C7EE1" w:rsidRPr="006C7EE1">
        <w:t>SCCR/24/2</w:t>
      </w:r>
      <w:r w:rsidR="006C7EE1" w:rsidRPr="006C7EE1">
        <w:rPr>
          <w:rFonts w:hint="cs"/>
          <w:rtl/>
        </w:rPr>
        <w:t xml:space="preserve"> على التوالي</w:t>
      </w:r>
      <w:r w:rsidRPr="006C7EE1">
        <w:rPr>
          <w:rFonts w:hint="cs"/>
          <w:rtl/>
        </w:rPr>
        <w:t xml:space="preserve">) من أجل إطلاع اللجنة على مستجدات العمل الذي </w:t>
      </w:r>
      <w:r w:rsidR="006C7EE1" w:rsidRPr="006C7EE1">
        <w:rPr>
          <w:rFonts w:hint="cs"/>
          <w:rtl/>
        </w:rPr>
        <w:t>ا</w:t>
      </w:r>
      <w:r w:rsidRPr="006C7EE1">
        <w:rPr>
          <w:rFonts w:hint="cs"/>
          <w:rtl/>
        </w:rPr>
        <w:t>ضطلع</w:t>
      </w:r>
      <w:r w:rsidR="006C7EE1" w:rsidRPr="006C7EE1">
        <w:rPr>
          <w:rFonts w:hint="cs"/>
          <w:rtl/>
        </w:rPr>
        <w:t>ت</w:t>
      </w:r>
      <w:r w:rsidRPr="006C7EE1">
        <w:rPr>
          <w:rFonts w:hint="cs"/>
          <w:rtl/>
        </w:rPr>
        <w:t xml:space="preserve"> به المنصة. ورحبت اللجنة بتلك التقارير وشجعت الأمانة، أثناء دورتها </w:t>
      </w:r>
      <w:r w:rsidR="006C7EE1" w:rsidRPr="006C7EE1">
        <w:rPr>
          <w:rFonts w:hint="cs"/>
          <w:rtl/>
        </w:rPr>
        <w:t>الرابعة</w:t>
      </w:r>
      <w:r w:rsidRPr="006C7EE1">
        <w:rPr>
          <w:rFonts w:hint="cs"/>
          <w:rtl/>
        </w:rPr>
        <w:t xml:space="preserve"> والعشرين الم</w:t>
      </w:r>
      <w:r w:rsidR="006C7EE1" w:rsidRPr="006C7EE1">
        <w:rPr>
          <w:rFonts w:hint="cs"/>
          <w:rtl/>
        </w:rPr>
        <w:t>ن</w:t>
      </w:r>
      <w:r w:rsidRPr="006C7EE1">
        <w:rPr>
          <w:rFonts w:hint="cs"/>
          <w:rtl/>
        </w:rPr>
        <w:t>ع</w:t>
      </w:r>
      <w:r w:rsidR="006C7EE1" w:rsidRPr="006C7EE1">
        <w:rPr>
          <w:rFonts w:hint="cs"/>
          <w:rtl/>
        </w:rPr>
        <w:t>ق</w:t>
      </w:r>
      <w:r w:rsidRPr="006C7EE1">
        <w:rPr>
          <w:rFonts w:hint="cs"/>
          <w:rtl/>
        </w:rPr>
        <w:t xml:space="preserve">دة في </w:t>
      </w:r>
      <w:r w:rsidR="006C7EE1" w:rsidRPr="006C7EE1">
        <w:rPr>
          <w:rFonts w:hint="cs"/>
          <w:rtl/>
        </w:rPr>
        <w:t>يونيو</w:t>
      </w:r>
      <w:r w:rsidRPr="006C7EE1">
        <w:rPr>
          <w:rFonts w:hint="cs"/>
          <w:rtl/>
        </w:rPr>
        <w:t xml:space="preserve"> </w:t>
      </w:r>
      <w:r w:rsidR="006C7EE1" w:rsidRPr="006C7EE1">
        <w:rPr>
          <w:rFonts w:hint="cs"/>
          <w:rtl/>
        </w:rPr>
        <w:t>2012</w:t>
      </w:r>
      <w:r w:rsidRPr="006C7EE1">
        <w:rPr>
          <w:rFonts w:hint="cs"/>
          <w:rtl/>
        </w:rPr>
        <w:t xml:space="preserve">، على </w:t>
      </w:r>
      <w:r w:rsidR="006C7EE1" w:rsidRPr="006C7EE1">
        <w:rPr>
          <w:rFonts w:hint="cs"/>
          <w:rtl/>
        </w:rPr>
        <w:t xml:space="preserve">ضمان </w:t>
      </w:r>
      <w:r w:rsidRPr="006C7EE1">
        <w:rPr>
          <w:rFonts w:hint="cs"/>
          <w:rtl/>
        </w:rPr>
        <w:t>مواصلة عمل المنصة والإبلاغ عن أن</w:t>
      </w:r>
      <w:r w:rsidR="006C7EE1" w:rsidRPr="006C7EE1">
        <w:rPr>
          <w:rFonts w:hint="cs"/>
          <w:rtl/>
        </w:rPr>
        <w:t>شطتها خلال الدورة القادمة للجنة.</w:t>
      </w:r>
    </w:p>
    <w:p w:rsidR="00795196" w:rsidRPr="006C7EE1" w:rsidRDefault="00795196" w:rsidP="00795196">
      <w:pPr>
        <w:pStyle w:val="NormalParaAR"/>
        <w:numPr>
          <w:ilvl w:val="0"/>
          <w:numId w:val="11"/>
        </w:numPr>
      </w:pPr>
      <w:r w:rsidRPr="006C7EE1">
        <w:rPr>
          <w:rFonts w:hint="cs"/>
          <w:rtl/>
        </w:rPr>
        <w:t>وطلبت اللجنة أن تضمن أمانة الويبو المشاركة الفعالة لأصحاب المصالح من البلدان النامية والبلدان الأقل نمواً، وتوفر التمويل اللازم لدعم تلك المشاركة. وطُلب من الأمانة أيضاً، عقب الاجتماع الثاني للمنصة، أن تبذل قصارى جهدها من أجل تنظيم اجتماع للمنصة في أحد البلدان النامية.</w:t>
      </w:r>
      <w:r w:rsidR="006C7EE1" w:rsidRPr="006C7EE1">
        <w:rPr>
          <w:rFonts w:hint="cs"/>
          <w:rtl/>
        </w:rPr>
        <w:t xml:space="preserve"> وأتيح التمويل وعقدت اجتماعات كثيرة في بلدان نامية.</w:t>
      </w:r>
    </w:p>
    <w:p w:rsidR="00795196" w:rsidRPr="000F61E5" w:rsidRDefault="00FD30EE" w:rsidP="00FD30EE">
      <w:pPr>
        <w:pStyle w:val="NormalParaAR"/>
        <w:numPr>
          <w:ilvl w:val="0"/>
          <w:numId w:val="11"/>
        </w:numPr>
        <w:rPr>
          <w:rtl/>
        </w:rPr>
      </w:pPr>
      <w:r w:rsidRPr="000F61E5">
        <w:rPr>
          <w:rFonts w:hint="cs"/>
          <w:rtl/>
        </w:rPr>
        <w:t>ويتناول</w:t>
      </w:r>
      <w:r w:rsidR="00795196" w:rsidRPr="000F61E5">
        <w:rPr>
          <w:rFonts w:hint="cs"/>
          <w:rtl/>
        </w:rPr>
        <w:t xml:space="preserve"> هذا التقرير</w:t>
      </w:r>
      <w:r w:rsidR="006C7EE1" w:rsidRPr="000F61E5">
        <w:rPr>
          <w:rFonts w:hint="cs"/>
          <w:rtl/>
        </w:rPr>
        <w:t xml:space="preserve"> المرحلي</w:t>
      </w:r>
      <w:r w:rsidR="00795196" w:rsidRPr="000F61E5">
        <w:rPr>
          <w:rFonts w:hint="cs"/>
          <w:rtl/>
        </w:rPr>
        <w:t xml:space="preserve"> </w:t>
      </w:r>
      <w:r w:rsidR="006C7EE1" w:rsidRPr="000F61E5">
        <w:rPr>
          <w:rFonts w:hint="cs"/>
          <w:rtl/>
        </w:rPr>
        <w:t>السادس</w:t>
      </w:r>
      <w:r w:rsidR="00795196" w:rsidRPr="000F61E5">
        <w:rPr>
          <w:rFonts w:hint="cs"/>
          <w:rtl/>
        </w:rPr>
        <w:t xml:space="preserve"> </w:t>
      </w:r>
      <w:r w:rsidRPr="000F61E5">
        <w:rPr>
          <w:rFonts w:hint="cs"/>
          <w:rtl/>
        </w:rPr>
        <w:t xml:space="preserve">الاجتماع السابع للمنصة ويحدد </w:t>
      </w:r>
      <w:r w:rsidR="00795196" w:rsidRPr="000F61E5">
        <w:rPr>
          <w:rFonts w:hint="cs"/>
          <w:rtl/>
        </w:rPr>
        <w:t>الخطوات الإضافية التي يلزم اتخاذها بغية تحقيق الأهداف المُكلّف ببلوغها.</w:t>
      </w:r>
    </w:p>
    <w:p w:rsidR="000F61E5" w:rsidRPr="000F61E5" w:rsidRDefault="000F61E5" w:rsidP="000F61E5">
      <w:pPr>
        <w:pStyle w:val="NormalParaAR"/>
        <w:rPr>
          <w:b/>
          <w:bCs/>
          <w:rtl/>
        </w:rPr>
      </w:pPr>
      <w:r w:rsidRPr="000F61E5">
        <w:rPr>
          <w:rFonts w:hint="cs"/>
          <w:b/>
          <w:bCs/>
          <w:rtl/>
        </w:rPr>
        <w:lastRenderedPageBreak/>
        <w:t xml:space="preserve">الاجتماع </w:t>
      </w:r>
      <w:r>
        <w:rPr>
          <w:rFonts w:hint="cs"/>
          <w:b/>
          <w:bCs/>
          <w:rtl/>
        </w:rPr>
        <w:t>السابع لمنصة أصحاب المصالح</w:t>
      </w:r>
    </w:p>
    <w:p w:rsidR="000F61E5" w:rsidRPr="000F61E5" w:rsidRDefault="000F61E5" w:rsidP="00411B01">
      <w:pPr>
        <w:pStyle w:val="NumberedParaAR"/>
      </w:pPr>
      <w:r w:rsidRPr="000F61E5">
        <w:rPr>
          <w:rFonts w:hint="cs"/>
          <w:rtl/>
        </w:rPr>
        <w:t xml:space="preserve">عُقد الاجتماع </w:t>
      </w:r>
      <w:r w:rsidR="00411B01">
        <w:rPr>
          <w:rFonts w:hint="cs"/>
          <w:rtl/>
        </w:rPr>
        <w:t>السابع</w:t>
      </w:r>
      <w:r w:rsidRPr="000F61E5">
        <w:rPr>
          <w:rFonts w:hint="cs"/>
          <w:rtl/>
        </w:rPr>
        <w:t xml:space="preserve"> لمنصة أصحاب المصالح في </w:t>
      </w:r>
      <w:r w:rsidR="00411B01">
        <w:rPr>
          <w:rFonts w:hint="cs"/>
          <w:rtl/>
        </w:rPr>
        <w:t>بانكوك</w:t>
      </w:r>
      <w:r w:rsidRPr="000F61E5">
        <w:rPr>
          <w:rFonts w:hint="cs"/>
          <w:rtl/>
        </w:rPr>
        <w:t xml:space="preserve"> في </w:t>
      </w:r>
      <w:r w:rsidR="00411B01">
        <w:rPr>
          <w:rFonts w:hint="cs"/>
          <w:rtl/>
        </w:rPr>
        <w:t>16</w:t>
      </w:r>
      <w:r w:rsidRPr="000F61E5">
        <w:rPr>
          <w:rFonts w:hint="cs"/>
          <w:rtl/>
        </w:rPr>
        <w:t xml:space="preserve"> </w:t>
      </w:r>
      <w:r w:rsidR="00411B01">
        <w:rPr>
          <w:rFonts w:hint="cs"/>
          <w:rtl/>
        </w:rPr>
        <w:t>نوفمبر</w:t>
      </w:r>
      <w:r w:rsidRPr="000F61E5">
        <w:rPr>
          <w:rFonts w:hint="cs"/>
          <w:rtl/>
        </w:rPr>
        <w:t xml:space="preserve"> 2012. وترد قائمة المشاركين في مرفق هذا التقرير. وركّز الاجتماع على تقييم تنفيذ الإجراءات المتفق عليها خلال الاجتماع السابق الم</w:t>
      </w:r>
      <w:r w:rsidR="00411B01">
        <w:rPr>
          <w:rFonts w:hint="cs"/>
          <w:rtl/>
        </w:rPr>
        <w:t>نعق</w:t>
      </w:r>
      <w:r w:rsidRPr="000F61E5">
        <w:rPr>
          <w:rFonts w:hint="cs"/>
          <w:rtl/>
        </w:rPr>
        <w:t xml:space="preserve">د في </w:t>
      </w:r>
      <w:r w:rsidR="00411B01">
        <w:rPr>
          <w:rFonts w:hint="cs"/>
          <w:rtl/>
        </w:rPr>
        <w:t>فبراير</w:t>
      </w:r>
      <w:r w:rsidRPr="000F61E5">
        <w:rPr>
          <w:rFonts w:hint="cs"/>
          <w:rtl/>
        </w:rPr>
        <w:t xml:space="preserve"> </w:t>
      </w:r>
      <w:r w:rsidR="00411B01">
        <w:rPr>
          <w:rFonts w:hint="cs"/>
          <w:rtl/>
        </w:rPr>
        <w:t>2012</w:t>
      </w:r>
      <w:r w:rsidRPr="000F61E5">
        <w:rPr>
          <w:rFonts w:hint="cs"/>
          <w:rtl/>
        </w:rPr>
        <w:t>، ومناقشة التقدم الذي أحرزه مشروع الموارد العالمية المتاحة للوسطاء الموثوق بهم (تيغار) ومشروع إطار التكنولوجيات الداعمة</w:t>
      </w:r>
      <w:r w:rsidR="00411B01">
        <w:rPr>
          <w:rFonts w:hint="eastAsia"/>
          <w:rtl/>
        </w:rPr>
        <w:t> </w:t>
      </w:r>
      <w:r w:rsidRPr="000F61E5">
        <w:rPr>
          <w:rFonts w:hint="cs"/>
          <w:rtl/>
        </w:rPr>
        <w:t>(</w:t>
      </w:r>
      <w:r w:rsidRPr="000F61E5">
        <w:t>ETF</w:t>
      </w:r>
      <w:r w:rsidR="00411B01">
        <w:rPr>
          <w:rFonts w:hint="cs"/>
          <w:rtl/>
        </w:rPr>
        <w:t>) وخطة عمل الفريق العامل المعني بتكوين الكفاءات (</w:t>
      </w:r>
      <w:r w:rsidR="00411B01" w:rsidRPr="00411B01">
        <w:t>CBWG</w:t>
      </w:r>
      <w:r w:rsidR="00411B01">
        <w:rPr>
          <w:rFonts w:hint="cs"/>
          <w:rtl/>
        </w:rPr>
        <w:t>).</w:t>
      </w:r>
    </w:p>
    <w:p w:rsidR="004D1144" w:rsidRPr="00F8531A" w:rsidRDefault="004D1144" w:rsidP="00F8531A">
      <w:pPr>
        <w:pStyle w:val="NormalParaAR"/>
        <w:numPr>
          <w:ilvl w:val="0"/>
          <w:numId w:val="11"/>
        </w:numPr>
      </w:pPr>
      <w:r w:rsidRPr="00F8531A">
        <w:rPr>
          <w:rFonts w:hint="cs"/>
          <w:rtl/>
        </w:rPr>
        <w:t xml:space="preserve">واتفق المشاركون على </w:t>
      </w:r>
      <w:r w:rsidR="00F8531A">
        <w:rPr>
          <w:rFonts w:hint="cs"/>
          <w:rtl/>
        </w:rPr>
        <w:t>ا</w:t>
      </w:r>
      <w:r w:rsidRPr="00F8531A">
        <w:rPr>
          <w:rFonts w:hint="cs"/>
          <w:rtl/>
        </w:rPr>
        <w:t>ستمر</w:t>
      </w:r>
      <w:r w:rsidR="00F8531A">
        <w:rPr>
          <w:rFonts w:hint="cs"/>
          <w:rtl/>
        </w:rPr>
        <w:t>ار</w:t>
      </w:r>
      <w:r w:rsidRPr="00F8531A">
        <w:rPr>
          <w:rFonts w:hint="cs"/>
          <w:rtl/>
        </w:rPr>
        <w:t xml:space="preserve"> الحاجة إلى المشروع في المستقبل القريب حتى و</w:t>
      </w:r>
      <w:r w:rsidR="00F8531A">
        <w:rPr>
          <w:rFonts w:hint="cs"/>
          <w:rtl/>
        </w:rPr>
        <w:t>إ</w:t>
      </w:r>
      <w:r w:rsidRPr="00F8531A">
        <w:rPr>
          <w:rFonts w:hint="cs"/>
          <w:rtl/>
        </w:rPr>
        <w:t>ن اعتُمدت معاهدة لفائدة المكفوفين ومعاقي البصر و</w:t>
      </w:r>
      <w:r w:rsidRPr="00F8531A">
        <w:rPr>
          <w:rtl/>
        </w:rPr>
        <w:t>العاجزين عن قراءة المطبوعات</w:t>
      </w:r>
      <w:r w:rsidR="006C45D0" w:rsidRPr="00F8531A">
        <w:rPr>
          <w:rFonts w:hint="cs"/>
          <w:rtl/>
        </w:rPr>
        <w:t xml:space="preserve"> وأنه من المهم التفكير في كيفية تطوير المنصة. وناقشوا أهمية الانتقال إلى المرحلة التالية لأنشطة المنصة، وخاصة أن مشروع تيغار التجريبي دخل عامه الثالث. واتفقوا على ضرورة </w:t>
      </w:r>
      <w:r w:rsidR="00F8531A" w:rsidRPr="00F8531A">
        <w:rPr>
          <w:rFonts w:hint="cs"/>
          <w:rtl/>
        </w:rPr>
        <w:t>رسم</w:t>
      </w:r>
      <w:r w:rsidR="006C45D0" w:rsidRPr="00F8531A">
        <w:rPr>
          <w:rFonts w:hint="cs"/>
          <w:rtl/>
        </w:rPr>
        <w:t xml:space="preserve"> خطط للعمل وفقا لمعايير مهنية عالية</w:t>
      </w:r>
      <w:r w:rsidR="00F8531A" w:rsidRPr="00F8531A">
        <w:rPr>
          <w:rFonts w:hint="cs"/>
          <w:rtl/>
        </w:rPr>
        <w:t>، مما سيساعد على تحقيق الاستقرار على المستويين المؤسسي والتمويلي. وينبغي أن يجسد نموذج الإدارة العمليات على هذا المستوى الجديد. ومن المهم أيضا وضع استراتيجية للاتصالات والتسويق. ومن المفيد كذلك وضع اسم يعبر بشكل واضح عن مهام المنصة.</w:t>
      </w:r>
    </w:p>
    <w:p w:rsidR="000F61E5" w:rsidRPr="00631290" w:rsidRDefault="003E464B" w:rsidP="003E464B">
      <w:pPr>
        <w:pStyle w:val="NormalParaAR"/>
        <w:numPr>
          <w:ilvl w:val="0"/>
          <w:numId w:val="11"/>
        </w:numPr>
        <w:rPr>
          <w:rtl/>
        </w:rPr>
      </w:pPr>
      <w:r w:rsidRPr="00631290">
        <w:rPr>
          <w:rFonts w:hint="cs"/>
          <w:rtl/>
        </w:rPr>
        <w:t>وستواصل الويبو دعمها للهيئة المقبلة، وذلك من خلال جملة أمور منها توفير الموارد البشرية والمالية لأغراض إدارة المشروع وتطوير حلول لتكنولوجيا المعلومات والاتصالات والعمليات.</w:t>
      </w:r>
    </w:p>
    <w:p w:rsidR="000F61E5" w:rsidRPr="005D0813" w:rsidRDefault="000F61E5" w:rsidP="000F61E5">
      <w:pPr>
        <w:pStyle w:val="NormalParaAR"/>
        <w:rPr>
          <w:b/>
          <w:bCs/>
          <w:rtl/>
        </w:rPr>
      </w:pPr>
      <w:r w:rsidRPr="005D0813">
        <w:rPr>
          <w:rFonts w:hint="cs"/>
          <w:b/>
          <w:bCs/>
          <w:rtl/>
        </w:rPr>
        <w:t>مشروع الموارد العالمية المتاحة للوسطاء الموثوق بهم (تيغار)</w:t>
      </w:r>
    </w:p>
    <w:p w:rsidR="00DD2957" w:rsidRPr="005D0813" w:rsidRDefault="000F61E5" w:rsidP="002561D8">
      <w:pPr>
        <w:pStyle w:val="NumberedParaAR"/>
      </w:pPr>
      <w:r w:rsidRPr="005D0813">
        <w:rPr>
          <w:rFonts w:hint="cs"/>
          <w:rtl/>
        </w:rPr>
        <w:t xml:space="preserve">عُرض تقرير مشروع تيغار على المنصة كي تنظر فيه. </w:t>
      </w:r>
      <w:r w:rsidR="00631290" w:rsidRPr="005D0813">
        <w:rPr>
          <w:rFonts w:hint="cs"/>
          <w:rtl/>
        </w:rPr>
        <w:t xml:space="preserve">وركز المشروع على إضافة مشاركين من البلدان النامية، </w:t>
      </w:r>
      <w:r w:rsidR="005D0813">
        <w:rPr>
          <w:rFonts w:hint="cs"/>
          <w:rtl/>
        </w:rPr>
        <w:t>ومنها</w:t>
      </w:r>
      <w:r w:rsidR="00631290" w:rsidRPr="005D0813">
        <w:rPr>
          <w:rFonts w:hint="cs"/>
          <w:rtl/>
        </w:rPr>
        <w:t xml:space="preserve"> تنزانيا وناميبيا، </w:t>
      </w:r>
      <w:r w:rsidR="00DD2957" w:rsidRPr="005D0813">
        <w:rPr>
          <w:rFonts w:hint="cs"/>
          <w:rtl/>
        </w:rPr>
        <w:t>ومصنفات</w:t>
      </w:r>
      <w:r w:rsidR="00631290" w:rsidRPr="005D0813">
        <w:rPr>
          <w:rFonts w:hint="cs"/>
          <w:rtl/>
        </w:rPr>
        <w:t xml:space="preserve"> بلغات أخرى. ويجري إصدار النسخة الأولى من حلول تكنولوجيا المعلومات والاتصالات. و</w:t>
      </w:r>
      <w:r w:rsidR="00DD2957" w:rsidRPr="005D0813">
        <w:rPr>
          <w:rFonts w:hint="cs"/>
          <w:rtl/>
        </w:rPr>
        <w:t>من بين الأ</w:t>
      </w:r>
      <w:r w:rsidR="00631290" w:rsidRPr="005D0813">
        <w:rPr>
          <w:rFonts w:hint="cs"/>
          <w:rtl/>
        </w:rPr>
        <w:t>هد</w:t>
      </w:r>
      <w:r w:rsidR="00DD2957" w:rsidRPr="005D0813">
        <w:rPr>
          <w:rFonts w:hint="cs"/>
          <w:rtl/>
        </w:rPr>
        <w:t>ا</w:t>
      </w:r>
      <w:r w:rsidR="00631290" w:rsidRPr="005D0813">
        <w:rPr>
          <w:rFonts w:hint="cs"/>
          <w:rtl/>
        </w:rPr>
        <w:t xml:space="preserve">ف </w:t>
      </w:r>
      <w:r w:rsidR="00DD2957" w:rsidRPr="005D0813">
        <w:rPr>
          <w:rFonts w:hint="cs"/>
          <w:rtl/>
        </w:rPr>
        <w:t xml:space="preserve">المنشودة السماح للمستخدمين بطلب المصنفات والحصول على المعلومات المتعلقة بتخليص الحقوق. </w:t>
      </w:r>
      <w:r w:rsidR="005D0813">
        <w:rPr>
          <w:rFonts w:hint="cs"/>
          <w:rtl/>
        </w:rPr>
        <w:t>ويتم</w:t>
      </w:r>
      <w:r w:rsidR="00DD2957" w:rsidRPr="005D0813">
        <w:rPr>
          <w:rFonts w:hint="cs"/>
          <w:rtl/>
        </w:rPr>
        <w:t xml:space="preserve"> تخليص الحقوق عن طريق "منسق معني </w:t>
      </w:r>
      <w:r w:rsidR="005D0813" w:rsidRPr="005D0813">
        <w:rPr>
          <w:rFonts w:hint="cs"/>
          <w:rtl/>
        </w:rPr>
        <w:t>بالتخليص</w:t>
      </w:r>
      <w:r w:rsidR="00DD2957" w:rsidRPr="005D0813">
        <w:rPr>
          <w:rFonts w:hint="cs"/>
          <w:rtl/>
        </w:rPr>
        <w:t>"</w:t>
      </w:r>
      <w:r w:rsidR="002561D8">
        <w:rPr>
          <w:rFonts w:hint="cs"/>
          <w:rtl/>
        </w:rPr>
        <w:t xml:space="preserve"> </w:t>
      </w:r>
      <w:r w:rsidR="00DD2957" w:rsidRPr="005D0813">
        <w:rPr>
          <w:rFonts w:hint="cs"/>
          <w:rtl/>
        </w:rPr>
        <w:t xml:space="preserve">بحسب كل مصنف، </w:t>
      </w:r>
      <w:r w:rsidR="002561D8">
        <w:rPr>
          <w:rFonts w:hint="cs"/>
          <w:rtl/>
        </w:rPr>
        <w:t>و</w:t>
      </w:r>
      <w:r w:rsidR="00DD2957" w:rsidRPr="005D0813">
        <w:rPr>
          <w:rFonts w:hint="cs"/>
          <w:rtl/>
        </w:rPr>
        <w:t xml:space="preserve">نظر المشاركون في إنشاء نموذج ترخيص جماعي لتفادي الحاجة إلى </w:t>
      </w:r>
      <w:r w:rsidR="00DD2957" w:rsidRPr="005D0813">
        <w:rPr>
          <w:rtl/>
        </w:rPr>
        <w:t>تخليص كل مصنّف على حدة</w:t>
      </w:r>
      <w:r w:rsidR="00DD2957" w:rsidRPr="005D0813">
        <w:rPr>
          <w:rFonts w:hint="cs"/>
          <w:rtl/>
        </w:rPr>
        <w:t>. ومن ضمن وظائف النظام النفاذ إلى الفهرس و</w:t>
      </w:r>
      <w:r w:rsidR="005D0813">
        <w:rPr>
          <w:rFonts w:hint="cs"/>
          <w:rtl/>
        </w:rPr>
        <w:t>ال</w:t>
      </w:r>
      <w:r w:rsidR="00DD2957" w:rsidRPr="005D0813">
        <w:rPr>
          <w:rFonts w:hint="cs"/>
          <w:rtl/>
        </w:rPr>
        <w:t>بحث</w:t>
      </w:r>
      <w:r w:rsidR="005D0813">
        <w:rPr>
          <w:rFonts w:hint="cs"/>
          <w:rtl/>
        </w:rPr>
        <w:t xml:space="preserve"> فيه</w:t>
      </w:r>
      <w:r w:rsidR="00DD2957" w:rsidRPr="005D0813">
        <w:rPr>
          <w:rFonts w:hint="cs"/>
          <w:rtl/>
        </w:rPr>
        <w:t xml:space="preserve"> واستكشاف</w:t>
      </w:r>
      <w:r w:rsidR="005D0813">
        <w:rPr>
          <w:rFonts w:hint="cs"/>
          <w:rtl/>
        </w:rPr>
        <w:t>ه</w:t>
      </w:r>
      <w:r w:rsidR="00DD2957" w:rsidRPr="005D0813">
        <w:rPr>
          <w:rFonts w:hint="cs"/>
          <w:rtl/>
        </w:rPr>
        <w:t>، والحصول على البيانات. ومن المتوقع صدور النسخة القادمة في فبراير 2013. وي</w:t>
      </w:r>
      <w:r w:rsidR="0051484A">
        <w:rPr>
          <w:rFonts w:hint="cs"/>
          <w:rtl/>
        </w:rPr>
        <w:t>ُنت</w:t>
      </w:r>
      <w:r w:rsidR="00DD2957" w:rsidRPr="005D0813">
        <w:rPr>
          <w:rFonts w:hint="cs"/>
          <w:rtl/>
        </w:rPr>
        <w:t xml:space="preserve">ظر أن تشمل المرحلة القادمة لمشروع تيغار </w:t>
      </w:r>
      <w:r w:rsidR="005D0813">
        <w:rPr>
          <w:rFonts w:hint="cs"/>
          <w:rtl/>
        </w:rPr>
        <w:t>الخدمات التي تقدمها</w:t>
      </w:r>
      <w:r w:rsidR="005D0813" w:rsidRPr="005D0813">
        <w:rPr>
          <w:rFonts w:hint="cs"/>
          <w:rtl/>
        </w:rPr>
        <w:t xml:space="preserve"> </w:t>
      </w:r>
      <w:r w:rsidR="005D0813" w:rsidRPr="005D0813">
        <w:rPr>
          <w:rtl/>
        </w:rPr>
        <w:t>الشركات للزبائن</w:t>
      </w:r>
      <w:r w:rsidR="005D0813" w:rsidRPr="005D0813">
        <w:rPr>
          <w:rFonts w:hint="cs"/>
          <w:rtl/>
        </w:rPr>
        <w:t>، بما فيها توفير المصنفات.</w:t>
      </w:r>
    </w:p>
    <w:p w:rsidR="000F61E5" w:rsidRPr="0051484A" w:rsidRDefault="0051484A" w:rsidP="0051484A">
      <w:pPr>
        <w:pStyle w:val="NormalParaAR"/>
        <w:numPr>
          <w:ilvl w:val="0"/>
          <w:numId w:val="11"/>
        </w:numPr>
      </w:pPr>
      <w:r w:rsidRPr="0051484A">
        <w:rPr>
          <w:rFonts w:hint="cs"/>
          <w:rtl/>
        </w:rPr>
        <w:t>ويتواصل</w:t>
      </w:r>
      <w:r w:rsidR="000F61E5" w:rsidRPr="0051484A">
        <w:rPr>
          <w:rFonts w:hint="cs"/>
          <w:rtl/>
        </w:rPr>
        <w:t xml:space="preserve"> </w:t>
      </w:r>
      <w:r w:rsidRPr="0051484A">
        <w:rPr>
          <w:rFonts w:hint="cs"/>
          <w:rtl/>
        </w:rPr>
        <w:t>ال</w:t>
      </w:r>
      <w:r w:rsidR="000F61E5" w:rsidRPr="0051484A">
        <w:rPr>
          <w:rFonts w:hint="cs"/>
          <w:rtl/>
        </w:rPr>
        <w:t>حوار بين رؤساء مشروع تيغار والمسؤولين عن الشبكة الأوروبية للوسطاء الموثوق بهم (</w:t>
      </w:r>
      <w:r w:rsidR="000F61E5" w:rsidRPr="0051484A">
        <w:t>ETIN</w:t>
      </w:r>
      <w:r w:rsidRPr="0051484A">
        <w:rPr>
          <w:rFonts w:hint="cs"/>
          <w:rtl/>
        </w:rPr>
        <w:t>) وتتم المحادثات كل ستة أسابيع.</w:t>
      </w:r>
    </w:p>
    <w:p w:rsidR="0051484A" w:rsidRDefault="0051484A" w:rsidP="0051484A">
      <w:pPr>
        <w:pStyle w:val="NormalParaAR"/>
        <w:numPr>
          <w:ilvl w:val="0"/>
          <w:numId w:val="11"/>
        </w:numPr>
      </w:pPr>
      <w:r w:rsidRPr="0051484A">
        <w:rPr>
          <w:rFonts w:hint="cs"/>
          <w:rtl/>
        </w:rPr>
        <w:t>وفي أكتوبر 2012، شارك 16 وسيطا موثوقا به و35 منظمة لأصحاب الحقوق في مشروع تيغار. ونزّل الوسطاء الموثوق بهم المشاركون ما يقارب 380 كتابا.</w:t>
      </w:r>
    </w:p>
    <w:p w:rsidR="0051484A" w:rsidRPr="0051484A" w:rsidRDefault="0051484A" w:rsidP="0051484A">
      <w:pPr>
        <w:pStyle w:val="NormalParaAR"/>
        <w:numPr>
          <w:ilvl w:val="0"/>
          <w:numId w:val="11"/>
        </w:numPr>
      </w:pPr>
      <w:r>
        <w:rPr>
          <w:rFonts w:hint="cs"/>
          <w:rtl/>
        </w:rPr>
        <w:t>ووافق المشاركون على تنفيذ "مشروع مستمر" للانتقال بعمل مشروع تيغار إلى ما بعد المرحلة التجريبية الأولية التي دامت ثلاث سنوات.</w:t>
      </w:r>
    </w:p>
    <w:p w:rsidR="000F61E5" w:rsidRPr="00F31CDA" w:rsidRDefault="000F61E5" w:rsidP="000F61E5">
      <w:pPr>
        <w:pStyle w:val="NormalParaAR"/>
        <w:rPr>
          <w:b/>
          <w:bCs/>
        </w:rPr>
      </w:pPr>
      <w:r w:rsidRPr="00F31CDA">
        <w:rPr>
          <w:rFonts w:hint="cs"/>
          <w:b/>
          <w:bCs/>
          <w:rtl/>
        </w:rPr>
        <w:t>التكنولوجيا</w:t>
      </w:r>
    </w:p>
    <w:p w:rsidR="002A1660" w:rsidRPr="00F31CDA" w:rsidRDefault="000F61E5" w:rsidP="00480172">
      <w:pPr>
        <w:pStyle w:val="NumberedParaAR"/>
      </w:pPr>
      <w:r w:rsidRPr="00F31CDA">
        <w:rPr>
          <w:rFonts w:hint="cs"/>
          <w:rtl/>
        </w:rPr>
        <w:t>ركّز تقرير الفريق الفرعي المعني بالتكنولوجيا على مشروع إطار التكنولوجيات الداعمة (</w:t>
      </w:r>
      <w:r w:rsidRPr="00F31CDA">
        <w:t>ETF</w:t>
      </w:r>
      <w:r w:rsidRPr="00F31CDA">
        <w:rPr>
          <w:rFonts w:hint="cs"/>
          <w:rtl/>
        </w:rPr>
        <w:t>) الذي يديره اتحاد ديزي والمجموعة الدولية لتنظيم النشر الإلكتروني (</w:t>
      </w:r>
      <w:r w:rsidRPr="00F31CDA">
        <w:t>EDItEUR</w:t>
      </w:r>
      <w:r w:rsidRPr="00F31CDA">
        <w:rPr>
          <w:rFonts w:hint="cs"/>
          <w:rtl/>
        </w:rPr>
        <w:t>)، تحت إشراف الويبو.</w:t>
      </w:r>
      <w:r w:rsidR="002A1660" w:rsidRPr="00F31CDA">
        <w:rPr>
          <w:rFonts w:hint="cs"/>
          <w:rtl/>
        </w:rPr>
        <w:t xml:space="preserve"> وركزت اللجنة الدائمة المنشأة حديثا على تحديد الثغرات في نظام النشر المراعي لكل الاحتياجات والمشروعات المناسبة لمعالجة تلك الثغرات. وينبغي أن تركز المشروعات على </w:t>
      </w:r>
      <w:r w:rsidR="00C12867" w:rsidRPr="00F31CDA">
        <w:rPr>
          <w:rFonts w:hint="cs"/>
          <w:rtl/>
        </w:rPr>
        <w:t xml:space="preserve">تحويل مرحلة التخطيط لوسائل النفاذ وتنفيذها إلى </w:t>
      </w:r>
      <w:r w:rsidR="00A1754C" w:rsidRPr="00F31CDA">
        <w:rPr>
          <w:rFonts w:hint="cs"/>
          <w:rtl/>
        </w:rPr>
        <w:t xml:space="preserve">مرحلة مبكرة قدر الإمكان في عملية استحداث المضمون وإنتاجه، وينبغي أن يكون من بين معايير تقييم المشروعات المقترحة فعاليتها في التخلي عن النفاذ كناشط بعد الإنتاج </w:t>
      </w:r>
      <w:r w:rsidR="004017ED" w:rsidRPr="00F31CDA">
        <w:rPr>
          <w:rFonts w:hint="cs"/>
          <w:rtl/>
        </w:rPr>
        <w:t xml:space="preserve">لأن الهدف هو تشجيع استحداث مصنفات "ميسرة أصلا". ونوقش </w:t>
      </w:r>
      <w:r w:rsidR="00480172" w:rsidRPr="00F31CDA">
        <w:rPr>
          <w:rFonts w:hint="cs"/>
          <w:rtl/>
        </w:rPr>
        <w:t>عدد من المشروعات، ومنها مشروع</w:t>
      </w:r>
      <w:r w:rsidR="00480172" w:rsidRPr="00F31CDA">
        <w:rPr>
          <w:rFonts w:hint="eastAsia"/>
          <w:rtl/>
        </w:rPr>
        <w:t> </w:t>
      </w:r>
      <w:r w:rsidR="00480172" w:rsidRPr="00F31CDA">
        <w:rPr>
          <w:i/>
          <w:iCs/>
        </w:rPr>
        <w:t>EPUB-check Preflight with Accessibility</w:t>
      </w:r>
      <w:r w:rsidR="00480172" w:rsidRPr="00F31CDA">
        <w:rPr>
          <w:rFonts w:hint="cs"/>
          <w:i/>
          <w:iCs/>
          <w:rtl/>
        </w:rPr>
        <w:t xml:space="preserve"> </w:t>
      </w:r>
      <w:r w:rsidR="00480172" w:rsidRPr="00F31CDA">
        <w:rPr>
          <w:rFonts w:hint="cs"/>
          <w:rtl/>
        </w:rPr>
        <w:t>ومشرو</w:t>
      </w:r>
      <w:r w:rsidR="00480172" w:rsidRPr="00F31CDA">
        <w:rPr>
          <w:rFonts w:hint="cs"/>
          <w:i/>
          <w:iCs/>
          <w:rtl/>
        </w:rPr>
        <w:t>ع</w:t>
      </w:r>
      <w:r w:rsidR="00480172" w:rsidRPr="00F31CDA">
        <w:rPr>
          <w:i/>
          <w:iCs/>
        </w:rPr>
        <w:t>Sample Resource and Widget Collection for EPUB 3 Features</w:t>
      </w:r>
      <w:r w:rsidR="00F31CDA">
        <w:rPr>
          <w:rFonts w:hint="cs"/>
          <w:i/>
          <w:iCs/>
          <w:rtl/>
        </w:rPr>
        <w:t>.</w:t>
      </w:r>
    </w:p>
    <w:p w:rsidR="0068525D" w:rsidRPr="00E66221" w:rsidRDefault="0068525D" w:rsidP="0093788A">
      <w:pPr>
        <w:pStyle w:val="NumberedParaAR"/>
      </w:pPr>
      <w:r w:rsidRPr="00E66221">
        <w:rPr>
          <w:rFonts w:hint="cs"/>
          <w:rtl/>
        </w:rPr>
        <w:t>وق</w:t>
      </w:r>
      <w:r w:rsidR="00E66221">
        <w:rPr>
          <w:rFonts w:hint="cs"/>
          <w:rtl/>
        </w:rPr>
        <w:t>ُ</w:t>
      </w:r>
      <w:r w:rsidRPr="00E66221">
        <w:rPr>
          <w:rFonts w:hint="cs"/>
          <w:rtl/>
        </w:rPr>
        <w:t xml:space="preserve">دم تقرير </w:t>
      </w:r>
      <w:r w:rsidR="00E66221">
        <w:rPr>
          <w:rFonts w:hint="cs"/>
          <w:rtl/>
        </w:rPr>
        <w:t>عن</w:t>
      </w:r>
      <w:r w:rsidRPr="00E66221">
        <w:rPr>
          <w:rFonts w:hint="cs"/>
          <w:rtl/>
        </w:rPr>
        <w:t xml:space="preserve"> السنة الثالثة لمساهمة </w:t>
      </w:r>
      <w:r w:rsidR="00E66221" w:rsidRPr="00E66221">
        <w:rPr>
          <w:rtl/>
        </w:rPr>
        <w:t>المجموعة الدولية لتنظيم النشر الإلكتروني</w:t>
      </w:r>
      <w:r w:rsidR="00E66221" w:rsidRPr="00E66221">
        <w:rPr>
          <w:rFonts w:hint="cs"/>
          <w:rtl/>
        </w:rPr>
        <w:t> </w:t>
      </w:r>
      <w:r w:rsidR="00E66221" w:rsidRPr="00E66221">
        <w:rPr>
          <w:rtl/>
        </w:rPr>
        <w:t>(</w:t>
      </w:r>
      <w:r w:rsidR="00E66221" w:rsidRPr="00E66221">
        <w:t>EDItEUR</w:t>
      </w:r>
      <w:r w:rsidR="00E66221" w:rsidRPr="00E66221">
        <w:rPr>
          <w:rtl/>
        </w:rPr>
        <w:t>)</w:t>
      </w:r>
      <w:r w:rsidR="00E66221" w:rsidRPr="00E66221">
        <w:rPr>
          <w:rFonts w:hint="cs"/>
          <w:rtl/>
        </w:rPr>
        <w:t xml:space="preserve"> في المشروع. وأ</w:t>
      </w:r>
      <w:r w:rsidR="00E66221">
        <w:rPr>
          <w:rFonts w:hint="cs"/>
          <w:rtl/>
        </w:rPr>
        <w:t>ُ</w:t>
      </w:r>
      <w:r w:rsidR="00E66221" w:rsidRPr="00E66221">
        <w:rPr>
          <w:rFonts w:hint="cs"/>
          <w:rtl/>
        </w:rPr>
        <w:t>جري تحديث سنوي للمبادئ التوجيهية للنشر في أ</w:t>
      </w:r>
      <w:r w:rsidR="00E66221">
        <w:rPr>
          <w:rFonts w:hint="cs"/>
          <w:rtl/>
        </w:rPr>
        <w:t>ن</w:t>
      </w:r>
      <w:r w:rsidR="00E66221" w:rsidRPr="00E66221">
        <w:rPr>
          <w:rFonts w:hint="cs"/>
          <w:rtl/>
        </w:rPr>
        <w:t>ساق ميسرة وأ</w:t>
      </w:r>
      <w:r w:rsidR="00E66221">
        <w:rPr>
          <w:rFonts w:hint="cs"/>
          <w:rtl/>
        </w:rPr>
        <w:t>ُ</w:t>
      </w:r>
      <w:r w:rsidR="00E66221" w:rsidRPr="00E66221">
        <w:rPr>
          <w:rFonts w:hint="cs"/>
          <w:rtl/>
        </w:rPr>
        <w:t>تيحت تلك المبادئ على موقعي الويبو والمجموعة الدولية لتنظيم النشر الإلكتروني. وأ</w:t>
      </w:r>
      <w:r w:rsidR="00E66221">
        <w:rPr>
          <w:rFonts w:hint="cs"/>
          <w:rtl/>
        </w:rPr>
        <w:t>ُ</w:t>
      </w:r>
      <w:r w:rsidR="00E66221" w:rsidRPr="00E66221">
        <w:rPr>
          <w:rFonts w:hint="cs"/>
          <w:rtl/>
        </w:rPr>
        <w:t>عدت ترجمات مع مجموعة من المبادئ التوجيهية لترجمة المبادئ التوجيهية في المستقبل. وأ</w:t>
      </w:r>
      <w:r w:rsidR="00E66221">
        <w:rPr>
          <w:rFonts w:hint="cs"/>
          <w:rtl/>
        </w:rPr>
        <w:t>ُنجزت</w:t>
      </w:r>
      <w:r w:rsidR="00E66221" w:rsidRPr="00E66221">
        <w:rPr>
          <w:rFonts w:hint="cs"/>
          <w:rtl/>
        </w:rPr>
        <w:t xml:space="preserve"> الدراسة الاستقصائية </w:t>
      </w:r>
      <w:r w:rsidR="00E66221" w:rsidRPr="00E66221">
        <w:rPr>
          <w:rFonts w:hint="cs"/>
          <w:i/>
          <w:iCs/>
          <w:rtl/>
        </w:rPr>
        <w:t>نحو إمكانية النفاذ 2012</w:t>
      </w:r>
      <w:r w:rsidR="00E66221" w:rsidRPr="00E66221">
        <w:rPr>
          <w:rFonts w:hint="cs"/>
          <w:rtl/>
        </w:rPr>
        <w:t xml:space="preserve"> ورد في إطارها 121 ردا من شركات النشر التي ينشر 79% منها كتبا إلكترونية. ونُظمت دورتان تدريبيتان وس</w:t>
      </w:r>
      <w:r w:rsidR="0093788A">
        <w:rPr>
          <w:rFonts w:hint="cs"/>
          <w:rtl/>
        </w:rPr>
        <w:t>ت</w:t>
      </w:r>
      <w:r w:rsidR="00E66221" w:rsidRPr="00E66221">
        <w:rPr>
          <w:rFonts w:hint="cs"/>
          <w:rtl/>
        </w:rPr>
        <w:t>بدأ عما قريب دورة جديدة بش</w:t>
      </w:r>
      <w:r w:rsidR="0093788A">
        <w:rPr>
          <w:rFonts w:hint="cs"/>
          <w:rtl/>
        </w:rPr>
        <w:t>أ</w:t>
      </w:r>
      <w:r w:rsidR="00E66221" w:rsidRPr="00E66221">
        <w:rPr>
          <w:rFonts w:hint="cs"/>
          <w:rtl/>
        </w:rPr>
        <w:t xml:space="preserve">ن </w:t>
      </w:r>
      <w:r w:rsidR="0093788A">
        <w:rPr>
          <w:rFonts w:hint="cs"/>
          <w:rtl/>
        </w:rPr>
        <w:t xml:space="preserve">إتاحة </w:t>
      </w:r>
      <w:r w:rsidR="00E66221" w:rsidRPr="00E66221">
        <w:rPr>
          <w:rFonts w:hint="cs"/>
          <w:rtl/>
        </w:rPr>
        <w:t>الصورة في أ</w:t>
      </w:r>
      <w:r w:rsidR="0093788A">
        <w:rPr>
          <w:rFonts w:hint="cs"/>
          <w:rtl/>
        </w:rPr>
        <w:t>ن</w:t>
      </w:r>
      <w:r w:rsidR="00E66221" w:rsidRPr="00E66221">
        <w:rPr>
          <w:rFonts w:hint="cs"/>
          <w:rtl/>
        </w:rPr>
        <w:t xml:space="preserve">ساق ميسرة. وأجرت </w:t>
      </w:r>
      <w:r w:rsidR="00E66221" w:rsidRPr="00E66221">
        <w:rPr>
          <w:rtl/>
        </w:rPr>
        <w:t>المجموعة الدولية لتنظيم النشر الإلكتروني</w:t>
      </w:r>
      <w:r w:rsidR="00E66221" w:rsidRPr="00E66221">
        <w:rPr>
          <w:rFonts w:hint="cs"/>
          <w:rtl/>
        </w:rPr>
        <w:t xml:space="preserve"> تدريبا </w:t>
      </w:r>
      <w:r w:rsidR="0093788A">
        <w:rPr>
          <w:rFonts w:hint="cs"/>
          <w:rtl/>
        </w:rPr>
        <w:t>ل</w:t>
      </w:r>
      <w:r w:rsidR="00E66221" w:rsidRPr="00E66221">
        <w:rPr>
          <w:rFonts w:hint="cs"/>
          <w:rtl/>
        </w:rPr>
        <w:t xml:space="preserve">ساعتين بشأن النفاذ في أنساق ميسرة في معرض الكتاب في فرانكفورت </w:t>
      </w:r>
      <w:r w:rsidR="0093788A">
        <w:rPr>
          <w:rFonts w:hint="cs"/>
          <w:rtl/>
        </w:rPr>
        <w:t>و</w:t>
      </w:r>
      <w:r w:rsidR="00E66221" w:rsidRPr="00E66221">
        <w:rPr>
          <w:rFonts w:hint="cs"/>
          <w:rtl/>
        </w:rPr>
        <w:t>حضره حوالي 45 مندوبا.</w:t>
      </w:r>
    </w:p>
    <w:p w:rsidR="0093788A" w:rsidRPr="0093788A" w:rsidRDefault="0093788A" w:rsidP="0093788A">
      <w:pPr>
        <w:pStyle w:val="NormalParaAR"/>
        <w:numPr>
          <w:ilvl w:val="0"/>
          <w:numId w:val="11"/>
        </w:numPr>
      </w:pPr>
      <w:r w:rsidRPr="0093788A">
        <w:rPr>
          <w:rFonts w:hint="cs"/>
          <w:rtl/>
        </w:rPr>
        <w:t>وتقرر تسمية المشروع مشروع النشر المراعي لكل الاحتياجات من أجل تجسيد أكثر دقة للموضوع الذي يركز عليه.</w:t>
      </w:r>
    </w:p>
    <w:p w:rsidR="000F61E5" w:rsidRPr="0093788A" w:rsidRDefault="000F61E5" w:rsidP="000F61E5">
      <w:pPr>
        <w:pStyle w:val="NormalParaAR"/>
        <w:rPr>
          <w:b/>
          <w:bCs/>
          <w:rtl/>
        </w:rPr>
      </w:pPr>
      <w:r w:rsidRPr="0093788A">
        <w:rPr>
          <w:rFonts w:hint="cs"/>
          <w:b/>
          <w:bCs/>
          <w:rtl/>
        </w:rPr>
        <w:t>تكوين الكفاءات</w:t>
      </w:r>
    </w:p>
    <w:p w:rsidR="0093788A" w:rsidRDefault="0093788A" w:rsidP="00C446C7">
      <w:pPr>
        <w:pStyle w:val="NormalParaAR"/>
        <w:numPr>
          <w:ilvl w:val="0"/>
          <w:numId w:val="11"/>
        </w:numPr>
      </w:pPr>
      <w:r w:rsidRPr="0093788A">
        <w:rPr>
          <w:rFonts w:hint="cs"/>
          <w:rtl/>
        </w:rPr>
        <w:t xml:space="preserve">أفاد </w:t>
      </w:r>
      <w:r>
        <w:rPr>
          <w:rFonts w:hint="cs"/>
          <w:rtl/>
        </w:rPr>
        <w:t>الفريق العامل المعني بتكوين الكفاءات</w:t>
      </w:r>
      <w:r w:rsidRPr="0093788A">
        <w:rPr>
          <w:rFonts w:hint="cs"/>
          <w:rtl/>
        </w:rPr>
        <w:t xml:space="preserve"> المنشأ</w:t>
      </w:r>
      <w:r>
        <w:rPr>
          <w:rFonts w:hint="cs"/>
          <w:rtl/>
        </w:rPr>
        <w:t xml:space="preserve"> حديثا أنه يدرس في النظام </w:t>
      </w:r>
      <w:r w:rsidR="00BB19DC">
        <w:rPr>
          <w:rFonts w:hint="cs"/>
          <w:rtl/>
        </w:rPr>
        <w:t>برمته</w:t>
      </w:r>
      <w:r>
        <w:rPr>
          <w:rFonts w:hint="cs"/>
          <w:rtl/>
        </w:rPr>
        <w:t xml:space="preserve"> في بعض من البلدان المستفيدة المحتملة، ومن جملة ما ينظر في</w:t>
      </w:r>
      <w:r w:rsidR="00BB19DC">
        <w:rPr>
          <w:rFonts w:hint="cs"/>
          <w:rtl/>
        </w:rPr>
        <w:t>ه</w:t>
      </w:r>
      <w:r>
        <w:rPr>
          <w:rFonts w:hint="cs"/>
          <w:rtl/>
        </w:rPr>
        <w:t xml:space="preserve"> الفريق التكنولوجيا وتكوين كفاءات المستخدمين والدعم من الوسطاء الموثوق بهم وأصحاب </w:t>
      </w:r>
      <w:r w:rsidR="00C446C7">
        <w:rPr>
          <w:rFonts w:hint="cs"/>
          <w:rtl/>
        </w:rPr>
        <w:t>الحقوق</w:t>
      </w:r>
      <w:r>
        <w:rPr>
          <w:rFonts w:hint="cs"/>
          <w:rtl/>
        </w:rPr>
        <w:t xml:space="preserve">. وقُدمت خطة أولية للمشروع. ويحاول الفريق العامل </w:t>
      </w:r>
      <w:r w:rsidR="00BB19DC">
        <w:rPr>
          <w:rFonts w:hint="cs"/>
          <w:rtl/>
        </w:rPr>
        <w:t>اختيار</w:t>
      </w:r>
      <w:r>
        <w:rPr>
          <w:rFonts w:hint="cs"/>
          <w:rtl/>
        </w:rPr>
        <w:t xml:space="preserve"> ستة بلدان </w:t>
      </w:r>
      <w:r w:rsidR="00BB19DC">
        <w:rPr>
          <w:rFonts w:hint="cs"/>
          <w:rtl/>
        </w:rPr>
        <w:t>ثم</w:t>
      </w:r>
      <w:r>
        <w:rPr>
          <w:rFonts w:hint="cs"/>
          <w:rtl/>
        </w:rPr>
        <w:t xml:space="preserve"> </w:t>
      </w:r>
      <w:r w:rsidR="00BB19DC">
        <w:rPr>
          <w:rFonts w:hint="cs"/>
          <w:rtl/>
        </w:rPr>
        <w:t xml:space="preserve">بعد ذلك </w:t>
      </w:r>
      <w:r>
        <w:rPr>
          <w:rFonts w:hint="cs"/>
          <w:rtl/>
        </w:rPr>
        <w:t xml:space="preserve">رسم خطة بشأن </w:t>
      </w:r>
      <w:r w:rsidR="00BB19DC">
        <w:rPr>
          <w:rFonts w:hint="cs"/>
          <w:rtl/>
        </w:rPr>
        <w:t xml:space="preserve">أجزاء النظام التي يمكن أن يتناولها المشروع. وينبغي مراعاة التوازن الجغرافي في اختيار تلك البلدان. واقترح ممثل كل من ناميبيا وتنزانيا العمل عبر </w:t>
      </w:r>
      <w:r w:rsidR="000101A3">
        <w:rPr>
          <w:rFonts w:hint="cs"/>
          <w:rtl/>
        </w:rPr>
        <w:t>المكتبة</w:t>
      </w:r>
      <w:r w:rsidR="00BB19DC">
        <w:rPr>
          <w:rFonts w:hint="cs"/>
          <w:rtl/>
        </w:rPr>
        <w:t xml:space="preserve"> الوطني</w:t>
      </w:r>
      <w:r w:rsidR="000101A3">
        <w:rPr>
          <w:rFonts w:hint="cs"/>
          <w:rtl/>
        </w:rPr>
        <w:t>ة</w:t>
      </w:r>
      <w:r w:rsidR="000101A3" w:rsidRPr="000101A3">
        <w:rPr>
          <w:rFonts w:hint="cs"/>
          <w:rtl/>
        </w:rPr>
        <w:t xml:space="preserve"> </w:t>
      </w:r>
      <w:r w:rsidR="000101A3">
        <w:rPr>
          <w:rFonts w:hint="cs"/>
          <w:rtl/>
        </w:rPr>
        <w:t>لكل من البلدين، التي يمكن أن تعمل كوسيط موثوق به</w:t>
      </w:r>
      <w:r w:rsidR="00BB19DC">
        <w:rPr>
          <w:rFonts w:hint="cs"/>
          <w:rtl/>
        </w:rPr>
        <w:t xml:space="preserve">. وفي كلا الحالتين، </w:t>
      </w:r>
      <w:r w:rsidR="000101A3">
        <w:rPr>
          <w:rFonts w:hint="cs"/>
          <w:rtl/>
        </w:rPr>
        <w:t>تُعزى</w:t>
      </w:r>
      <w:r w:rsidR="00BB19DC">
        <w:rPr>
          <w:rFonts w:hint="cs"/>
          <w:rtl/>
        </w:rPr>
        <w:t xml:space="preserve"> الصعوبات الحالية </w:t>
      </w:r>
      <w:r w:rsidR="000101A3">
        <w:rPr>
          <w:rFonts w:hint="cs"/>
          <w:rtl/>
        </w:rPr>
        <w:t xml:space="preserve">بالأساس </w:t>
      </w:r>
      <w:r w:rsidR="00BB19DC">
        <w:rPr>
          <w:rFonts w:hint="cs"/>
          <w:rtl/>
        </w:rPr>
        <w:t>إلى نقص في الموارد المتاحة. كما تمت الإشارة إلى الحاجة إلى</w:t>
      </w:r>
      <w:r w:rsidR="000101A3">
        <w:rPr>
          <w:rFonts w:hint="cs"/>
          <w:rtl/>
        </w:rPr>
        <w:t xml:space="preserve"> تحديد</w:t>
      </w:r>
      <w:r w:rsidR="00BB19DC">
        <w:rPr>
          <w:rFonts w:hint="cs"/>
          <w:rtl/>
        </w:rPr>
        <w:t xml:space="preserve"> نقط اتصال محلية في كل بلد مستفيد.</w:t>
      </w:r>
    </w:p>
    <w:p w:rsidR="00BB19DC" w:rsidRDefault="000101A3" w:rsidP="000101A3">
      <w:pPr>
        <w:pStyle w:val="NormalParaAR"/>
        <w:numPr>
          <w:ilvl w:val="0"/>
          <w:numId w:val="11"/>
        </w:numPr>
      </w:pPr>
      <w:r>
        <w:rPr>
          <w:rFonts w:hint="cs"/>
          <w:rtl/>
        </w:rPr>
        <w:t>واتفق المشاركون على جعل احتياجات تكوين الكفاءات أولوية من أولويات المنصة من الآن فصاعدا. واعتُبر مشروع تيغار زبونا للفريق العامل المعني بتكوين الكفاءات وطُلب منهما العمل معا لاختيار البلدان المستفيدة.</w:t>
      </w:r>
    </w:p>
    <w:p w:rsidR="000101A3" w:rsidRPr="0093788A" w:rsidRDefault="000101A3" w:rsidP="000101A3">
      <w:pPr>
        <w:pStyle w:val="NormalParaAR"/>
        <w:numPr>
          <w:ilvl w:val="0"/>
          <w:numId w:val="11"/>
        </w:numPr>
      </w:pPr>
      <w:r>
        <w:rPr>
          <w:rFonts w:hint="cs"/>
          <w:rtl/>
        </w:rPr>
        <w:t>وتتاح بعض الصناديق الاستئمانية الأسترالية لدعم مجال العمل الأولي للفريق في بضعة بلدان.</w:t>
      </w:r>
    </w:p>
    <w:p w:rsidR="000F61E5" w:rsidRPr="000101A3" w:rsidRDefault="00167635" w:rsidP="000F61E5">
      <w:pPr>
        <w:pStyle w:val="NormalParaAR"/>
        <w:rPr>
          <w:b/>
          <w:bCs/>
        </w:rPr>
      </w:pPr>
      <w:r>
        <w:rPr>
          <w:rFonts w:hint="cs"/>
          <w:b/>
          <w:bCs/>
          <w:rtl/>
        </w:rPr>
        <w:t>الخطوات</w:t>
      </w:r>
      <w:r w:rsidR="000F61E5" w:rsidRPr="000101A3">
        <w:rPr>
          <w:rFonts w:hint="cs"/>
          <w:b/>
          <w:bCs/>
          <w:rtl/>
        </w:rPr>
        <w:t xml:space="preserve"> المقبلة</w:t>
      </w:r>
    </w:p>
    <w:p w:rsidR="000F61E5" w:rsidRPr="000101A3" w:rsidRDefault="000F61E5" w:rsidP="000F61E5">
      <w:pPr>
        <w:pStyle w:val="NormalParaAR"/>
        <w:numPr>
          <w:ilvl w:val="0"/>
          <w:numId w:val="11"/>
        </w:numPr>
      </w:pPr>
      <w:r w:rsidRPr="000101A3">
        <w:rPr>
          <w:rFonts w:hint="cs"/>
          <w:rtl/>
        </w:rPr>
        <w:t>اتفق أصحاب المصالح، فيما يخص الأعمال التي ينبغي إنجازها في المستقبل، على ما يلي:</w:t>
      </w:r>
    </w:p>
    <w:p w:rsidR="000F61E5" w:rsidRDefault="000F61E5" w:rsidP="000101A3">
      <w:pPr>
        <w:pStyle w:val="NormalParaAR"/>
        <w:rPr>
          <w:rtl/>
        </w:rPr>
      </w:pPr>
      <w:r w:rsidRPr="000101A3">
        <w:rPr>
          <w:rFonts w:hint="cs"/>
          <w:rtl/>
        </w:rPr>
        <w:t>(أ)</w:t>
      </w:r>
      <w:r w:rsidRPr="000101A3">
        <w:rPr>
          <w:rFonts w:hint="cs"/>
          <w:rtl/>
        </w:rPr>
        <w:tab/>
      </w:r>
      <w:r w:rsidR="000101A3">
        <w:rPr>
          <w:rFonts w:hint="cs"/>
          <w:rtl/>
        </w:rPr>
        <w:t xml:space="preserve">رسم خطة انتقالية إلى هيئة تعمل على مستوى أكثر مهنية مع وضع الهياكل الإدارية المناسبة والقدرة على </w:t>
      </w:r>
      <w:r w:rsidR="00FF2B5E">
        <w:rPr>
          <w:rFonts w:hint="cs"/>
          <w:rtl/>
        </w:rPr>
        <w:t>حشد الأموال.</w:t>
      </w:r>
    </w:p>
    <w:p w:rsidR="00FF2B5E" w:rsidRDefault="00FF2B5E" w:rsidP="00C446C7">
      <w:pPr>
        <w:pStyle w:val="NormalParaAR"/>
        <w:rPr>
          <w:rtl/>
        </w:rPr>
      </w:pPr>
      <w:r>
        <w:rPr>
          <w:rFonts w:hint="cs"/>
          <w:rtl/>
        </w:rPr>
        <w:t>(ب)</w:t>
      </w:r>
      <w:r>
        <w:rPr>
          <w:rFonts w:hint="cs"/>
          <w:rtl/>
        </w:rPr>
        <w:tab/>
        <w:t xml:space="preserve">مشروع تيغار -- الطلب من اللجنة الدائمة لمشروع تيغار وضع استراتيجية للاتصالات والتسويق وخطة لتوسيع العضوية لتشمل الوسطاء الموثوق بهم وأصحاب </w:t>
      </w:r>
      <w:r w:rsidR="00C446C7">
        <w:rPr>
          <w:rFonts w:hint="cs"/>
          <w:rtl/>
        </w:rPr>
        <w:t>الحقوق</w:t>
      </w:r>
      <w:r>
        <w:rPr>
          <w:rFonts w:hint="cs"/>
          <w:rtl/>
        </w:rPr>
        <w:t xml:space="preserve"> وا</w:t>
      </w:r>
      <w:r w:rsidRPr="00FF2B5E">
        <w:rPr>
          <w:rtl/>
        </w:rPr>
        <w:t xml:space="preserve">لمنظمات المعنية بحقوق </w:t>
      </w:r>
      <w:r>
        <w:rPr>
          <w:rFonts w:hint="cs"/>
          <w:rtl/>
        </w:rPr>
        <w:t>إعادة النسخ.</w:t>
      </w:r>
    </w:p>
    <w:p w:rsidR="00FF2B5E" w:rsidRDefault="00FF2B5E" w:rsidP="00C446C7">
      <w:pPr>
        <w:pStyle w:val="NormalParaAR"/>
        <w:rPr>
          <w:rtl/>
        </w:rPr>
      </w:pPr>
      <w:r>
        <w:rPr>
          <w:rFonts w:hint="cs"/>
          <w:rtl/>
        </w:rPr>
        <w:t>(ج)</w:t>
      </w:r>
      <w:r>
        <w:rPr>
          <w:rFonts w:hint="cs"/>
          <w:rtl/>
        </w:rPr>
        <w:tab/>
        <w:t xml:space="preserve">النسخ المراعي لجميع الاحتياجات -- بحث الانتقال إلى النشر المراعي لكل الاحتياجات من أجل تحديد الثغرات، ووضع مواصفات </w:t>
      </w:r>
      <w:r w:rsidR="008D4AA9">
        <w:rPr>
          <w:rFonts w:hint="cs"/>
          <w:rtl/>
        </w:rPr>
        <w:t>لمشر</w:t>
      </w:r>
      <w:r w:rsidR="00291296">
        <w:rPr>
          <w:rFonts w:hint="cs"/>
          <w:rtl/>
        </w:rPr>
        <w:t xml:space="preserve">وع النشر المراعي لكل الاحتياجات، وتعيين رئيس مشارك لأصحاب </w:t>
      </w:r>
      <w:r w:rsidR="00C446C7">
        <w:rPr>
          <w:rFonts w:hint="cs"/>
          <w:rtl/>
        </w:rPr>
        <w:t>الحقوق</w:t>
      </w:r>
      <w:r w:rsidR="00291296">
        <w:rPr>
          <w:rFonts w:hint="cs"/>
          <w:rtl/>
        </w:rPr>
        <w:t xml:space="preserve"> للعمل مع المشروع.</w:t>
      </w:r>
    </w:p>
    <w:p w:rsidR="00291296" w:rsidRDefault="00291296" w:rsidP="00291296">
      <w:pPr>
        <w:pStyle w:val="NormalParaAR"/>
        <w:rPr>
          <w:rtl/>
        </w:rPr>
      </w:pPr>
      <w:r>
        <w:rPr>
          <w:rFonts w:hint="cs"/>
          <w:rtl/>
        </w:rPr>
        <w:t>(د)</w:t>
      </w:r>
      <w:r>
        <w:rPr>
          <w:rFonts w:hint="cs"/>
          <w:rtl/>
        </w:rPr>
        <w:tab/>
        <w:t>تكوين الكفاءات -- إجراء تحليل للثغرات لتحديد عناصر النظام اللازمة من أجل إتاحة النفاذ إلى المواد المنشورة في البلدان النامية واختيار ستة بلدان مستفيدة.</w:t>
      </w:r>
    </w:p>
    <w:p w:rsidR="002E012E" w:rsidRDefault="002E012E" w:rsidP="001C7BB1">
      <w:pPr>
        <w:pStyle w:val="NormalParaAR"/>
        <w:numPr>
          <w:ilvl w:val="0"/>
          <w:numId w:val="11"/>
        </w:numPr>
      </w:pPr>
      <w:r>
        <w:rPr>
          <w:rFonts w:hint="cs"/>
          <w:rtl/>
        </w:rPr>
        <w:t xml:space="preserve">ومن المتوقع تنظيم الاجتماع المقبل لمنصة أصحاب المصالح في </w:t>
      </w:r>
      <w:r w:rsidR="001C7BB1">
        <w:rPr>
          <w:rFonts w:hint="cs"/>
          <w:rtl/>
        </w:rPr>
        <w:t>الفصل</w:t>
      </w:r>
      <w:r>
        <w:rPr>
          <w:rFonts w:hint="cs"/>
          <w:rtl/>
        </w:rPr>
        <w:t xml:space="preserve"> الأول من سنة 2013.</w:t>
      </w:r>
    </w:p>
    <w:p w:rsidR="002E012E" w:rsidRDefault="002E012E" w:rsidP="002E012E">
      <w:pPr>
        <w:pStyle w:val="DecisionParaAR"/>
      </w:pPr>
      <w:r>
        <w:rPr>
          <w:rFonts w:hint="cs"/>
          <w:rtl/>
        </w:rPr>
        <w:t>إن اللجنة مدعو إلى الإحاطة علما بمضمون هذه الوثيقة.</w:t>
      </w:r>
    </w:p>
    <w:p w:rsidR="002E012E" w:rsidRDefault="002E012E" w:rsidP="002E012E">
      <w:pPr>
        <w:pStyle w:val="EndofDocumentAR"/>
        <w:rPr>
          <w:rtl/>
        </w:rPr>
      </w:pPr>
      <w:r>
        <w:rPr>
          <w:rFonts w:hint="cs"/>
          <w:rtl/>
        </w:rPr>
        <w:t>[يلي ذلك المرفق]</w:t>
      </w:r>
    </w:p>
    <w:p w:rsidR="002D2A5B" w:rsidRPr="002D2A5B" w:rsidRDefault="002D2A5B" w:rsidP="002D2A5B">
      <w:pPr>
        <w:pStyle w:val="NormalParaAR"/>
        <w:rPr>
          <w:rtl/>
        </w:rPr>
      </w:pPr>
    </w:p>
    <w:p w:rsidR="002D2A5B" w:rsidRDefault="002D2A5B" w:rsidP="002D2A5B">
      <w:pPr>
        <w:pStyle w:val="NormalParaAR"/>
        <w:rPr>
          <w:rtl/>
        </w:rPr>
        <w:sectPr w:rsidR="002D2A5B" w:rsidSect="00EB7752">
          <w:headerReference w:type="default" r:id="rId10"/>
          <w:pgSz w:w="11907" w:h="16840" w:code="9"/>
          <w:pgMar w:top="567" w:right="1418" w:bottom="1418" w:left="1134" w:header="510" w:footer="1021" w:gutter="0"/>
          <w:cols w:space="720"/>
          <w:titlePg/>
          <w:docGrid w:linePitch="299"/>
        </w:sectPr>
      </w:pPr>
    </w:p>
    <w:p w:rsidR="001A19DA" w:rsidRPr="001E268B" w:rsidRDefault="001A19DA" w:rsidP="001E268B">
      <w:pPr>
        <w:pStyle w:val="NumberedParaAR"/>
        <w:numPr>
          <w:ilvl w:val="0"/>
          <w:numId w:val="0"/>
        </w:numPr>
        <w:spacing w:after="120"/>
        <w:rPr>
          <w:b/>
          <w:bCs/>
          <w:rtl/>
        </w:rPr>
      </w:pPr>
      <w:r w:rsidRPr="001E268B">
        <w:rPr>
          <w:b/>
          <w:bCs/>
          <w:rtl/>
        </w:rPr>
        <w:t>قائمة</w:t>
      </w:r>
      <w:r w:rsidRPr="001E268B">
        <w:rPr>
          <w:rFonts w:hint="cs"/>
          <w:b/>
          <w:bCs/>
          <w:rtl/>
        </w:rPr>
        <w:t xml:space="preserve"> </w:t>
      </w:r>
      <w:r w:rsidRPr="001E268B">
        <w:rPr>
          <w:b/>
          <w:bCs/>
          <w:rtl/>
        </w:rPr>
        <w:t>المشار</w:t>
      </w:r>
      <w:r w:rsidRPr="001E268B">
        <w:rPr>
          <w:rFonts w:hint="cs"/>
          <w:b/>
          <w:bCs/>
          <w:rtl/>
        </w:rPr>
        <w:t>ك</w:t>
      </w:r>
      <w:r w:rsidRPr="001E268B">
        <w:rPr>
          <w:b/>
          <w:bCs/>
          <w:rtl/>
        </w:rPr>
        <w:t>ين</w:t>
      </w:r>
    </w:p>
    <w:p w:rsidR="001A19DA" w:rsidRPr="001E268B" w:rsidRDefault="001A19DA" w:rsidP="001E268B">
      <w:pPr>
        <w:pStyle w:val="NumberedParaAR"/>
        <w:numPr>
          <w:ilvl w:val="0"/>
          <w:numId w:val="0"/>
        </w:numPr>
        <w:spacing w:after="120"/>
        <w:rPr>
          <w:b/>
          <w:bCs/>
          <w:rtl/>
        </w:rPr>
      </w:pPr>
      <w:r w:rsidRPr="001E268B">
        <w:rPr>
          <w:b/>
          <w:bCs/>
          <w:rtl/>
        </w:rPr>
        <w:t xml:space="preserve">الاجتماع </w:t>
      </w:r>
      <w:r w:rsidRPr="001E268B">
        <w:rPr>
          <w:rFonts w:hint="cs"/>
          <w:b/>
          <w:bCs/>
          <w:rtl/>
        </w:rPr>
        <w:t>السابع</w:t>
      </w:r>
      <w:r w:rsidRPr="001E268B">
        <w:rPr>
          <w:b/>
          <w:bCs/>
          <w:rtl/>
        </w:rPr>
        <w:t xml:space="preserve"> لمنصة أصحاب المصالح</w:t>
      </w:r>
    </w:p>
    <w:p w:rsidR="001A19DA" w:rsidRPr="001E268B" w:rsidRDefault="00296EFA" w:rsidP="00296EFA">
      <w:pPr>
        <w:pStyle w:val="NumberedParaAR"/>
        <w:numPr>
          <w:ilvl w:val="0"/>
          <w:numId w:val="0"/>
        </w:numPr>
        <w:rPr>
          <w:b/>
          <w:bCs/>
          <w:rtl/>
        </w:rPr>
      </w:pPr>
      <w:r w:rsidRPr="001E268B">
        <w:rPr>
          <w:rFonts w:hint="cs"/>
          <w:b/>
          <w:bCs/>
          <w:rtl/>
        </w:rPr>
        <w:t>بانكوك</w:t>
      </w:r>
      <w:r w:rsidR="001A19DA" w:rsidRPr="001E268B">
        <w:rPr>
          <w:b/>
          <w:bCs/>
          <w:rtl/>
        </w:rPr>
        <w:t>،</w:t>
      </w:r>
      <w:r w:rsidRPr="001E268B">
        <w:rPr>
          <w:rFonts w:hint="cs"/>
          <w:b/>
          <w:bCs/>
          <w:rtl/>
        </w:rPr>
        <w:t xml:space="preserve"> تايلند،</w:t>
      </w:r>
      <w:r w:rsidR="001A19DA" w:rsidRPr="001E268B">
        <w:rPr>
          <w:b/>
          <w:bCs/>
          <w:rtl/>
        </w:rPr>
        <w:t xml:space="preserve"> </w:t>
      </w:r>
      <w:r w:rsidRPr="001E268B">
        <w:rPr>
          <w:rFonts w:hint="cs"/>
          <w:b/>
          <w:bCs/>
          <w:rtl/>
        </w:rPr>
        <w:t>16</w:t>
      </w:r>
      <w:r w:rsidR="001A19DA" w:rsidRPr="001E268B">
        <w:rPr>
          <w:b/>
          <w:bCs/>
          <w:rtl/>
        </w:rPr>
        <w:t xml:space="preserve"> نوفمبر </w:t>
      </w:r>
      <w:r w:rsidRPr="001E268B">
        <w:rPr>
          <w:rFonts w:hint="cs"/>
          <w:b/>
          <w:bCs/>
          <w:rtl/>
        </w:rPr>
        <w:t>2012</w:t>
      </w:r>
    </w:p>
    <w:p w:rsidR="001E268B" w:rsidRDefault="001E268B" w:rsidP="001E268B">
      <w:pPr>
        <w:pStyle w:val="NormalParaAR"/>
        <w:rPr>
          <w:sz w:val="40"/>
          <w:szCs w:val="40"/>
          <w:rtl/>
          <w:lang w:val="en-GB"/>
        </w:rPr>
      </w:pPr>
    </w:p>
    <w:p w:rsidR="001E268B" w:rsidRPr="002414B3" w:rsidRDefault="001E268B" w:rsidP="001E268B">
      <w:pPr>
        <w:pStyle w:val="NormalParaAR"/>
        <w:rPr>
          <w:u w:val="single"/>
        </w:rPr>
      </w:pPr>
      <w:r w:rsidRPr="002414B3">
        <w:rPr>
          <w:rFonts w:hint="cs"/>
          <w:sz w:val="40"/>
          <w:szCs w:val="40"/>
          <w:rtl/>
          <w:lang w:val="en-GB"/>
        </w:rPr>
        <w:t>أولا</w:t>
      </w:r>
      <w:r w:rsidRPr="002414B3">
        <w:rPr>
          <w:rFonts w:hint="cs"/>
          <w:sz w:val="40"/>
          <w:szCs w:val="40"/>
          <w:rtl/>
          <w:lang w:val="en-GB"/>
        </w:rPr>
        <w:tab/>
      </w:r>
      <w:r w:rsidRPr="002414B3">
        <w:rPr>
          <w:rFonts w:hint="cs"/>
          <w:sz w:val="40"/>
          <w:szCs w:val="40"/>
          <w:u w:val="single"/>
          <w:rtl/>
          <w:lang w:val="en-GB"/>
        </w:rPr>
        <w:t>ممثّلو قطاع الأشخاص معاقي البصر وأصحاب الحقوق</w:t>
      </w:r>
    </w:p>
    <w:p w:rsidR="005B307C" w:rsidRPr="001A19DA" w:rsidRDefault="005B307C" w:rsidP="001E268B">
      <w:pPr>
        <w:pStyle w:val="NumberedParaAR"/>
        <w:numPr>
          <w:ilvl w:val="0"/>
          <w:numId w:val="0"/>
        </w:numPr>
        <w:rPr>
          <w:rtl/>
        </w:rPr>
      </w:pPr>
      <w:r w:rsidRPr="001A19DA">
        <w:rPr>
          <w:rFonts w:hint="cs"/>
          <w:rtl/>
        </w:rPr>
        <w:t>ينس باميل، الأمين العام للرابطة الدولي</w:t>
      </w:r>
      <w:r w:rsidR="00732441">
        <w:rPr>
          <w:rFonts w:hint="cs"/>
          <w:rtl/>
        </w:rPr>
        <w:t>ة</w:t>
      </w:r>
      <w:r w:rsidRPr="001A19DA">
        <w:rPr>
          <w:rFonts w:hint="cs"/>
          <w:rtl/>
        </w:rPr>
        <w:t xml:space="preserve"> للناشرين (</w:t>
      </w:r>
      <w:r w:rsidRPr="001A19DA">
        <w:t>IPA</w:t>
      </w:r>
      <w:r w:rsidRPr="001A19DA">
        <w:rPr>
          <w:rFonts w:hint="cs"/>
          <w:rtl/>
        </w:rPr>
        <w:t>)</w:t>
      </w:r>
    </w:p>
    <w:p w:rsidR="001E268B" w:rsidRPr="001E268B" w:rsidRDefault="001E268B" w:rsidP="001E268B">
      <w:pPr>
        <w:pStyle w:val="NormalParaAR"/>
        <w:rPr>
          <w:rtl/>
          <w:lang w:val="en-GB"/>
        </w:rPr>
      </w:pPr>
      <w:r w:rsidRPr="001E268B">
        <w:rPr>
          <w:rFonts w:hint="cs"/>
          <w:rtl/>
          <w:lang w:val="en-GB"/>
        </w:rPr>
        <w:t xml:space="preserve">برنارد هينسير، </w:t>
      </w:r>
      <w:r>
        <w:rPr>
          <w:rFonts w:hint="cs"/>
          <w:rtl/>
          <w:lang w:val="en-GB"/>
        </w:rPr>
        <w:t>مساعد مدير المشروع (</w:t>
      </w:r>
      <w:r w:rsidRPr="001E268B">
        <w:rPr>
          <w:rFonts w:hint="cs"/>
          <w:rtl/>
          <w:lang w:val="en-GB"/>
        </w:rPr>
        <w:t>مشروع تيغار</w:t>
      </w:r>
      <w:r>
        <w:rPr>
          <w:rFonts w:hint="cs"/>
          <w:rtl/>
          <w:lang w:val="en-GB"/>
        </w:rPr>
        <w:t xml:space="preserve">)، مسار الوسطاء الموثوق بهم، </w:t>
      </w:r>
      <w:r w:rsidRPr="001E268B">
        <w:rPr>
          <w:rFonts w:hint="cs"/>
          <w:rtl/>
          <w:lang w:val="en-GB"/>
        </w:rPr>
        <w:t>اتحاد ديزي</w:t>
      </w:r>
    </w:p>
    <w:p w:rsidR="005B307C" w:rsidRDefault="005B307C" w:rsidP="00732441">
      <w:pPr>
        <w:pStyle w:val="NormalParaAR"/>
        <w:rPr>
          <w:rtl/>
          <w:lang w:val="en-GB"/>
        </w:rPr>
      </w:pPr>
      <w:r w:rsidRPr="002414B3">
        <w:rPr>
          <w:rFonts w:hint="cs"/>
          <w:rtl/>
          <w:lang w:val="en-GB"/>
        </w:rPr>
        <w:t xml:space="preserve">فرانسوا هاندريكز، مدير </w:t>
      </w:r>
      <w:r>
        <w:rPr>
          <w:rFonts w:hint="cs"/>
          <w:rtl/>
          <w:lang w:val="en-GB"/>
        </w:rPr>
        <w:t>مكتبة المكفوفين بجنوب أفريقيا</w:t>
      </w:r>
      <w:r w:rsidR="001E268B">
        <w:rPr>
          <w:rFonts w:hint="cs"/>
          <w:rtl/>
          <w:lang w:val="en-GB"/>
        </w:rPr>
        <w:t xml:space="preserve">، </w:t>
      </w:r>
      <w:r w:rsidR="00732441" w:rsidRPr="00732441">
        <w:rPr>
          <w:rtl/>
          <w:lang w:val="en-GB"/>
        </w:rPr>
        <w:t>مقاطع</w:t>
      </w:r>
      <w:r w:rsidR="00732441">
        <w:rPr>
          <w:rFonts w:hint="cs"/>
          <w:rtl/>
          <w:lang w:val="en-GB"/>
        </w:rPr>
        <w:t>ة</w:t>
      </w:r>
      <w:r w:rsidR="00732441" w:rsidRPr="00732441">
        <w:rPr>
          <w:rtl/>
          <w:lang w:val="en-GB"/>
        </w:rPr>
        <w:t xml:space="preserve"> كيب الشرقية</w:t>
      </w:r>
      <w:r w:rsidR="00732441">
        <w:rPr>
          <w:rFonts w:hint="cs"/>
          <w:rtl/>
          <w:lang w:val="en-GB"/>
        </w:rPr>
        <w:t>، جنوب أفريقيا</w:t>
      </w:r>
    </w:p>
    <w:p w:rsidR="005B307C" w:rsidRPr="002414B3" w:rsidRDefault="00732441" w:rsidP="00732441">
      <w:pPr>
        <w:pStyle w:val="NormalParaAR"/>
        <w:rPr>
          <w:rtl/>
          <w:lang w:val="en-GB"/>
        </w:rPr>
      </w:pPr>
      <w:r>
        <w:rPr>
          <w:rFonts w:hint="cs"/>
          <w:rtl/>
          <w:lang w:val="en-GB"/>
        </w:rPr>
        <w:t>تراسفن جيتيديشاراك، جمعية الناشرين وبائعي الكتب في تايلند (</w:t>
      </w:r>
      <w:r w:rsidRPr="00732441">
        <w:rPr>
          <w:lang w:val="en-GB"/>
        </w:rPr>
        <w:t>PUBAT</w:t>
      </w:r>
      <w:r>
        <w:rPr>
          <w:rFonts w:hint="cs"/>
          <w:rtl/>
          <w:lang w:val="en-GB"/>
        </w:rPr>
        <w:t>) واللجنة التنفيذية ل</w:t>
      </w:r>
      <w:r w:rsidRPr="001A19DA">
        <w:rPr>
          <w:rFonts w:hint="cs"/>
          <w:rtl/>
        </w:rPr>
        <w:t>لرابطة الدولي</w:t>
      </w:r>
      <w:r>
        <w:rPr>
          <w:rFonts w:hint="cs"/>
          <w:rtl/>
        </w:rPr>
        <w:t>ة</w:t>
      </w:r>
      <w:r w:rsidRPr="001A19DA">
        <w:rPr>
          <w:rFonts w:hint="cs"/>
          <w:rtl/>
        </w:rPr>
        <w:t xml:space="preserve"> للناشرين</w:t>
      </w:r>
      <w:r>
        <w:rPr>
          <w:rFonts w:hint="eastAsia"/>
          <w:rtl/>
        </w:rPr>
        <w:t> </w:t>
      </w:r>
      <w:r w:rsidRPr="001A19DA">
        <w:rPr>
          <w:rFonts w:hint="cs"/>
          <w:rtl/>
        </w:rPr>
        <w:t>(</w:t>
      </w:r>
      <w:r w:rsidRPr="001A19DA">
        <w:t>IPA</w:t>
      </w:r>
      <w:r w:rsidRPr="001A19DA">
        <w:rPr>
          <w:rFonts w:hint="cs"/>
          <w:rtl/>
        </w:rPr>
        <w:t>)</w:t>
      </w:r>
    </w:p>
    <w:p w:rsidR="005B307C" w:rsidRDefault="005B307C" w:rsidP="005B307C">
      <w:pPr>
        <w:pStyle w:val="NormalParaAR"/>
        <w:rPr>
          <w:rtl/>
          <w:lang w:val="en-GB"/>
        </w:rPr>
      </w:pPr>
      <w:r w:rsidRPr="002414B3">
        <w:rPr>
          <w:rFonts w:hint="cs"/>
          <w:rtl/>
          <w:lang w:val="en-GB"/>
        </w:rPr>
        <w:t>جورج كيرشير، الأمين العام لاتحاد ديزي</w:t>
      </w:r>
      <w:r w:rsidR="00732441">
        <w:rPr>
          <w:rFonts w:hint="cs"/>
          <w:rtl/>
          <w:lang w:val="en-GB"/>
        </w:rPr>
        <w:t>، ومنظمة التسجيل لفائدة المكفوفين و</w:t>
      </w:r>
      <w:r w:rsidR="00D46E0B">
        <w:rPr>
          <w:rFonts w:hint="cs"/>
          <w:rtl/>
          <w:lang w:val="en-GB"/>
        </w:rPr>
        <w:t>ذوي الخلل في القراءة (</w:t>
      </w:r>
      <w:r w:rsidR="00D46E0B" w:rsidRPr="00D46E0B">
        <w:rPr>
          <w:lang w:val="en-GB"/>
        </w:rPr>
        <w:t>RFB&amp;D</w:t>
      </w:r>
      <w:r w:rsidR="00D46E0B">
        <w:rPr>
          <w:rFonts w:hint="cs"/>
          <w:rtl/>
          <w:lang w:val="en-GB"/>
        </w:rPr>
        <w:t>)</w:t>
      </w:r>
    </w:p>
    <w:p w:rsidR="005B307C" w:rsidRPr="00AF3748" w:rsidRDefault="005B307C" w:rsidP="005B307C">
      <w:pPr>
        <w:pStyle w:val="NumberedParaAR"/>
        <w:numPr>
          <w:ilvl w:val="0"/>
          <w:numId w:val="0"/>
        </w:numPr>
        <w:rPr>
          <w:rtl/>
        </w:rPr>
      </w:pPr>
      <w:r w:rsidRPr="00AF3748">
        <w:rPr>
          <w:rFonts w:hint="cs"/>
          <w:rtl/>
        </w:rPr>
        <w:t>ستيفن كينغ، رئيس اتحاد ديزي، المعهد الوطني الملكي للمكفوفين</w:t>
      </w:r>
      <w:r>
        <w:rPr>
          <w:rFonts w:hint="cs"/>
          <w:rtl/>
        </w:rPr>
        <w:t xml:space="preserve"> (</w:t>
      </w:r>
      <w:r>
        <w:t>RNIB</w:t>
      </w:r>
      <w:r w:rsidR="00767A64">
        <w:rPr>
          <w:rFonts w:hint="cs"/>
          <w:rtl/>
        </w:rPr>
        <w:t>)</w:t>
      </w:r>
    </w:p>
    <w:p w:rsidR="005B307C" w:rsidRPr="00AF3748" w:rsidRDefault="005B307C" w:rsidP="00D46E0B">
      <w:pPr>
        <w:pStyle w:val="NumberedParaAR"/>
        <w:numPr>
          <w:ilvl w:val="0"/>
          <w:numId w:val="0"/>
        </w:numPr>
        <w:rPr>
          <w:rtl/>
        </w:rPr>
      </w:pPr>
      <w:r w:rsidRPr="00AF3748">
        <w:rPr>
          <w:rFonts w:hint="cs"/>
          <w:rtl/>
        </w:rPr>
        <w:t>ديبيندرا مانوشا، رئيس تحالف البلدان النامية</w:t>
      </w:r>
      <w:r w:rsidR="00D46E0B">
        <w:rPr>
          <w:rFonts w:hint="cs"/>
          <w:rtl/>
        </w:rPr>
        <w:t>، اتحاد ديزي</w:t>
      </w:r>
    </w:p>
    <w:p w:rsidR="005B307C" w:rsidRPr="00AF3748" w:rsidRDefault="005B307C" w:rsidP="00D46E0B">
      <w:pPr>
        <w:pStyle w:val="NumberedParaAR"/>
        <w:numPr>
          <w:ilvl w:val="0"/>
          <w:numId w:val="0"/>
        </w:numPr>
        <w:rPr>
          <w:rtl/>
        </w:rPr>
      </w:pPr>
      <w:r w:rsidRPr="00AF3748">
        <w:rPr>
          <w:rFonts w:hint="cs"/>
          <w:rtl/>
        </w:rPr>
        <w:t>مارغريت ماكغروري، نائبة الرئيس والمدير</w:t>
      </w:r>
      <w:r w:rsidR="00767A64">
        <w:rPr>
          <w:rFonts w:hint="cs"/>
          <w:rtl/>
        </w:rPr>
        <w:t>ة</w:t>
      </w:r>
      <w:r w:rsidRPr="00AF3748">
        <w:rPr>
          <w:rFonts w:hint="cs"/>
          <w:rtl/>
        </w:rPr>
        <w:t xml:space="preserve"> التنفيذية لمكتبة المعهد الوطني الكندي للمكفوفين</w:t>
      </w:r>
      <w:r>
        <w:rPr>
          <w:rFonts w:hint="cs"/>
          <w:rtl/>
        </w:rPr>
        <w:t xml:space="preserve"> (</w:t>
      </w:r>
      <w:r>
        <w:t>CNIB</w:t>
      </w:r>
      <w:r w:rsidR="00D46E0B">
        <w:rPr>
          <w:rFonts w:hint="cs"/>
          <w:rtl/>
        </w:rPr>
        <w:t>)</w:t>
      </w:r>
    </w:p>
    <w:p w:rsidR="002D2A5B" w:rsidRDefault="00D46E0B" w:rsidP="002D2A5B">
      <w:pPr>
        <w:pStyle w:val="NormalParaAR"/>
        <w:rPr>
          <w:rtl/>
        </w:rPr>
      </w:pPr>
      <w:r>
        <w:rPr>
          <w:rFonts w:hint="cs"/>
          <w:rtl/>
        </w:rPr>
        <w:t>علي مشارازو، المدير العام، مجلس خدمات مكتبة تنزانيا</w:t>
      </w:r>
    </w:p>
    <w:p w:rsidR="005B307C" w:rsidRPr="00AF3748" w:rsidRDefault="00F20183" w:rsidP="00D46E0B">
      <w:pPr>
        <w:pStyle w:val="NumberedParaAR"/>
        <w:numPr>
          <w:ilvl w:val="0"/>
          <w:numId w:val="0"/>
        </w:numPr>
        <w:rPr>
          <w:rtl/>
        </w:rPr>
      </w:pPr>
      <w:r w:rsidRPr="00AF3748">
        <w:rPr>
          <w:rFonts w:hint="cs"/>
          <w:rtl/>
        </w:rPr>
        <w:t>بيدرو ميلي، كبير المص</w:t>
      </w:r>
      <w:r>
        <w:rPr>
          <w:rFonts w:hint="cs"/>
          <w:rtl/>
        </w:rPr>
        <w:t>م</w:t>
      </w:r>
      <w:r w:rsidRPr="00AF3748">
        <w:rPr>
          <w:rFonts w:hint="cs"/>
          <w:rtl/>
        </w:rPr>
        <w:t>م</w:t>
      </w:r>
      <w:r>
        <w:rPr>
          <w:rFonts w:hint="cs"/>
          <w:rtl/>
        </w:rPr>
        <w:t>ي</w:t>
      </w:r>
      <w:r w:rsidRPr="00AF3748">
        <w:rPr>
          <w:rFonts w:hint="cs"/>
          <w:rtl/>
        </w:rPr>
        <w:t xml:space="preserve">ن ومهندسي </w:t>
      </w:r>
      <w:r>
        <w:rPr>
          <w:rFonts w:hint="cs"/>
          <w:rtl/>
        </w:rPr>
        <w:t>المعلومات، مؤسسة دورينا نوفيل للمكفوفين</w:t>
      </w:r>
    </w:p>
    <w:p w:rsidR="005B307C" w:rsidRDefault="00D46E0B" w:rsidP="00767A64">
      <w:pPr>
        <w:pStyle w:val="NormalParaAR"/>
        <w:rPr>
          <w:rtl/>
        </w:rPr>
      </w:pPr>
      <w:r>
        <w:rPr>
          <w:rFonts w:hint="cs"/>
          <w:rtl/>
        </w:rPr>
        <w:t xml:space="preserve">شارل ملامبو، رئيس المكتبة الوطنية </w:t>
      </w:r>
      <w:r w:rsidR="00F20183">
        <w:rPr>
          <w:rFonts w:hint="cs"/>
          <w:rtl/>
        </w:rPr>
        <w:t>لناميبي</w:t>
      </w:r>
      <w:r w:rsidR="00F20183">
        <w:rPr>
          <w:rFonts w:hint="eastAsia"/>
          <w:rtl/>
        </w:rPr>
        <w:t>ا</w:t>
      </w:r>
    </w:p>
    <w:p w:rsidR="00D46E0B" w:rsidRDefault="00D46E0B" w:rsidP="00D46E0B">
      <w:pPr>
        <w:pStyle w:val="NormalParaAR"/>
        <w:rPr>
          <w:rtl/>
        </w:rPr>
      </w:pPr>
      <w:r>
        <w:rPr>
          <w:rFonts w:hint="cs"/>
          <w:rtl/>
        </w:rPr>
        <w:t xml:space="preserve">جيم روسل، </w:t>
      </w:r>
      <w:r>
        <w:rPr>
          <w:rFonts w:hint="cs"/>
          <w:rtl/>
          <w:lang w:val="en-GB"/>
        </w:rPr>
        <w:t>مساعد مدير المشروع (</w:t>
      </w:r>
      <w:r w:rsidRPr="001E268B">
        <w:rPr>
          <w:rFonts w:hint="cs"/>
          <w:rtl/>
          <w:lang w:val="en-GB"/>
        </w:rPr>
        <w:t>مشروع تيغار</w:t>
      </w:r>
      <w:r>
        <w:rPr>
          <w:rFonts w:hint="cs"/>
          <w:rtl/>
          <w:lang w:val="en-GB"/>
        </w:rPr>
        <w:t xml:space="preserve">)، مسار أصحاب الحقوق، شركة </w:t>
      </w:r>
      <w:r>
        <w:rPr>
          <w:rFonts w:hint="cs"/>
          <w:rtl/>
        </w:rPr>
        <w:t xml:space="preserve">جيم روسل وشركاؤه </w:t>
      </w:r>
      <w:r w:rsidR="00C446C7">
        <w:rPr>
          <w:rFonts w:hint="cs"/>
          <w:rtl/>
        </w:rPr>
        <w:t xml:space="preserve">لتخطيط الموارد </w:t>
      </w:r>
      <w:r w:rsidR="00DB4A2F">
        <w:rPr>
          <w:rFonts w:hint="cs"/>
          <w:rtl/>
        </w:rPr>
        <w:t>و</w:t>
      </w:r>
      <w:r w:rsidR="00C446C7">
        <w:rPr>
          <w:rFonts w:hint="cs"/>
          <w:rtl/>
        </w:rPr>
        <w:t>الإدارة</w:t>
      </w:r>
    </w:p>
    <w:p w:rsidR="005B307C" w:rsidRPr="00AF3748" w:rsidRDefault="005B307C" w:rsidP="005B307C">
      <w:pPr>
        <w:pStyle w:val="NumberedParaAR"/>
        <w:numPr>
          <w:ilvl w:val="0"/>
          <w:numId w:val="0"/>
        </w:numPr>
        <w:rPr>
          <w:rtl/>
        </w:rPr>
      </w:pPr>
      <w:r w:rsidRPr="00AF3748">
        <w:rPr>
          <w:rFonts w:hint="cs"/>
          <w:rtl/>
        </w:rPr>
        <w:t xml:space="preserve">كارلو سكولو لافيزاري، مستشار قانوني، </w:t>
      </w:r>
      <w:r w:rsidRPr="00AF3748">
        <w:rPr>
          <w:rtl/>
        </w:rPr>
        <w:t>المجموعة الدولية للناشرين في مجال العلوم والتكنولوجيا والطب</w:t>
      </w:r>
      <w:r w:rsidRPr="00AF3748">
        <w:rPr>
          <w:rFonts w:hint="cs"/>
          <w:rtl/>
        </w:rPr>
        <w:t xml:space="preserve"> (</w:t>
      </w:r>
      <w:r w:rsidRPr="00AF3748">
        <w:t>STM</w:t>
      </w:r>
      <w:r w:rsidRPr="00AF3748">
        <w:rPr>
          <w:rFonts w:hint="cs"/>
          <w:rtl/>
        </w:rPr>
        <w:t>)</w:t>
      </w:r>
      <w:r w:rsidR="00DB4A2F">
        <w:rPr>
          <w:rFonts w:hint="cs"/>
          <w:rtl/>
        </w:rPr>
        <w:t xml:space="preserve"> (عبر الهاتف)</w:t>
      </w:r>
    </w:p>
    <w:p w:rsidR="005B307C" w:rsidRPr="002414B3" w:rsidRDefault="005B307C" w:rsidP="00DB4A2F">
      <w:pPr>
        <w:pStyle w:val="NormalParaAR"/>
        <w:rPr>
          <w:rtl/>
          <w:lang w:val="en-GB"/>
        </w:rPr>
      </w:pPr>
      <w:r w:rsidRPr="002414B3">
        <w:rPr>
          <w:rFonts w:hint="cs"/>
          <w:rtl/>
          <w:lang w:val="en-GB"/>
        </w:rPr>
        <w:t>أولاف ستوكمو،</w:t>
      </w:r>
      <w:r>
        <w:rPr>
          <w:rFonts w:hint="cs"/>
          <w:rtl/>
          <w:lang w:val="en-GB"/>
        </w:rPr>
        <w:t xml:space="preserve"> </w:t>
      </w:r>
      <w:r w:rsidRPr="002414B3">
        <w:rPr>
          <w:rFonts w:hint="cs"/>
          <w:rtl/>
          <w:lang w:val="en-GB"/>
        </w:rPr>
        <w:t xml:space="preserve">الرئيس التنفيذي والأمين العام للاتحاد الدولي للمنظمات المعنية بحقوق </w:t>
      </w:r>
      <w:r w:rsidR="00DB4A2F">
        <w:rPr>
          <w:rFonts w:hint="cs"/>
          <w:rtl/>
          <w:lang w:val="en-GB"/>
        </w:rPr>
        <w:t>إعادة النسخ</w:t>
      </w:r>
      <w:r w:rsidRPr="002414B3">
        <w:rPr>
          <w:rFonts w:hint="cs"/>
          <w:rtl/>
          <w:lang w:val="en-GB"/>
        </w:rPr>
        <w:t xml:space="preserve"> (</w:t>
      </w:r>
      <w:r w:rsidRPr="002414B3">
        <w:t>IFRRO</w:t>
      </w:r>
      <w:r w:rsidRPr="002414B3">
        <w:rPr>
          <w:rFonts w:hint="cs"/>
          <w:rtl/>
          <w:lang w:val="en-GB"/>
        </w:rPr>
        <w:t>)</w:t>
      </w:r>
    </w:p>
    <w:p w:rsidR="00855230" w:rsidRPr="002414B3" w:rsidRDefault="00855230" w:rsidP="00DB4A2F">
      <w:pPr>
        <w:pStyle w:val="NormalParaAR"/>
        <w:rPr>
          <w:rtl/>
          <w:lang w:val="en-GB"/>
        </w:rPr>
      </w:pPr>
      <w:r w:rsidRPr="002414B3">
        <w:rPr>
          <w:rFonts w:hint="cs"/>
          <w:rtl/>
          <w:lang w:val="en-GB"/>
        </w:rPr>
        <w:t xml:space="preserve">أليسيا وايز، مديرة شؤون </w:t>
      </w:r>
      <w:r w:rsidR="00DB4A2F">
        <w:rPr>
          <w:rFonts w:hint="cs"/>
          <w:rtl/>
          <w:lang w:val="en-GB"/>
        </w:rPr>
        <w:t>النفاذ</w:t>
      </w:r>
      <w:r w:rsidRPr="002414B3">
        <w:rPr>
          <w:rFonts w:hint="cs"/>
          <w:rtl/>
          <w:lang w:val="en-GB"/>
        </w:rPr>
        <w:t xml:space="preserve"> الشامل بمؤسسة إيلسفير (</w:t>
      </w:r>
      <w:r w:rsidRPr="002414B3">
        <w:t>Elsevier</w:t>
      </w:r>
      <w:r w:rsidRPr="002414B3">
        <w:rPr>
          <w:rFonts w:hint="cs"/>
          <w:rtl/>
          <w:lang w:val="en-GB"/>
        </w:rPr>
        <w:t>)</w:t>
      </w:r>
    </w:p>
    <w:p w:rsidR="005D1631" w:rsidRDefault="005D1631">
      <w:pPr>
        <w:rPr>
          <w:rFonts w:ascii="Arabic Typesetting" w:hAnsi="Arabic Typesetting" w:cs="Arabic Typesetting"/>
          <w:sz w:val="36"/>
          <w:szCs w:val="36"/>
          <w:rtl/>
        </w:rPr>
      </w:pPr>
      <w:r>
        <w:rPr>
          <w:rtl/>
        </w:rPr>
        <w:br w:type="page"/>
      </w:r>
    </w:p>
    <w:p w:rsidR="00855230" w:rsidRPr="00E87A55" w:rsidRDefault="00855230" w:rsidP="00855230">
      <w:pPr>
        <w:pStyle w:val="NumberedParaAR"/>
        <w:numPr>
          <w:ilvl w:val="0"/>
          <w:numId w:val="0"/>
        </w:numPr>
        <w:rPr>
          <w:sz w:val="40"/>
          <w:szCs w:val="40"/>
          <w:u w:val="single"/>
          <w:rtl/>
        </w:rPr>
      </w:pPr>
      <w:r>
        <w:rPr>
          <w:rFonts w:hint="cs"/>
          <w:sz w:val="40"/>
          <w:szCs w:val="40"/>
          <w:rtl/>
        </w:rPr>
        <w:t>ثانيا</w:t>
      </w:r>
      <w:r>
        <w:rPr>
          <w:rFonts w:hint="cs"/>
          <w:sz w:val="40"/>
          <w:szCs w:val="40"/>
          <w:rtl/>
        </w:rPr>
        <w:tab/>
      </w:r>
      <w:r w:rsidRPr="00E87A55">
        <w:rPr>
          <w:rFonts w:hint="cs"/>
          <w:sz w:val="40"/>
          <w:szCs w:val="40"/>
          <w:u w:val="single"/>
          <w:rtl/>
        </w:rPr>
        <w:t>ا</w:t>
      </w:r>
      <w:r w:rsidR="00167635">
        <w:rPr>
          <w:rFonts w:hint="cs"/>
          <w:sz w:val="40"/>
          <w:szCs w:val="40"/>
          <w:u w:val="single"/>
          <w:rtl/>
        </w:rPr>
        <w:t>لمنظمة العالمية للملكية الفكرية</w:t>
      </w:r>
    </w:p>
    <w:p w:rsidR="00855230" w:rsidRDefault="00855230" w:rsidP="00855230">
      <w:pPr>
        <w:pStyle w:val="NumberedParaAR"/>
        <w:numPr>
          <w:ilvl w:val="0"/>
          <w:numId w:val="0"/>
        </w:numPr>
        <w:rPr>
          <w:rtl/>
        </w:rPr>
      </w:pPr>
      <w:r w:rsidRPr="00DB528D">
        <w:rPr>
          <w:rFonts w:hint="cs"/>
          <w:rtl/>
        </w:rPr>
        <w:t xml:space="preserve">فرانسس </w:t>
      </w:r>
      <w:r>
        <w:rPr>
          <w:rFonts w:hint="cs"/>
          <w:rtl/>
        </w:rPr>
        <w:t>غري، المدير العام</w:t>
      </w:r>
    </w:p>
    <w:p w:rsidR="005D1631" w:rsidRDefault="005D1631" w:rsidP="00767A64">
      <w:pPr>
        <w:pStyle w:val="NumberedParaAR"/>
        <w:numPr>
          <w:ilvl w:val="0"/>
          <w:numId w:val="0"/>
        </w:numPr>
        <w:rPr>
          <w:rtl/>
        </w:rPr>
      </w:pPr>
      <w:r>
        <w:rPr>
          <w:rFonts w:hint="cs"/>
          <w:rtl/>
        </w:rPr>
        <w:t xml:space="preserve">سواشبوان سينغ، سفير الهند السابق، المستشار الشرفي للمدير العام للويبو </w:t>
      </w:r>
      <w:r w:rsidR="00767A64">
        <w:rPr>
          <w:rFonts w:hint="cs"/>
          <w:rtl/>
        </w:rPr>
        <w:t>المعني</w:t>
      </w:r>
      <w:r>
        <w:rPr>
          <w:rFonts w:hint="cs"/>
          <w:rtl/>
        </w:rPr>
        <w:t xml:space="preserve"> </w:t>
      </w:r>
      <w:r w:rsidR="00767A64">
        <w:rPr>
          <w:rFonts w:hint="cs"/>
          <w:rtl/>
        </w:rPr>
        <w:t>ب</w:t>
      </w:r>
      <w:r>
        <w:rPr>
          <w:rFonts w:hint="cs"/>
          <w:rtl/>
        </w:rPr>
        <w:t>مبادرة الأشخاص معاقي البصر</w:t>
      </w:r>
    </w:p>
    <w:p w:rsidR="00855230" w:rsidRDefault="00855230" w:rsidP="005D1631">
      <w:pPr>
        <w:pStyle w:val="NormalParaAR"/>
        <w:rPr>
          <w:rtl/>
          <w:lang w:val="en-GB"/>
        </w:rPr>
      </w:pPr>
      <w:r>
        <w:rPr>
          <w:rFonts w:hint="cs"/>
          <w:rtl/>
          <w:lang w:val="en-GB"/>
        </w:rPr>
        <w:t>ميشيل وود</w:t>
      </w:r>
      <w:r w:rsidR="005D1631">
        <w:rPr>
          <w:rFonts w:hint="cs"/>
          <w:rtl/>
          <w:lang w:val="en-GB"/>
        </w:rPr>
        <w:t>ز</w:t>
      </w:r>
      <w:r>
        <w:rPr>
          <w:rFonts w:hint="cs"/>
          <w:rtl/>
          <w:lang w:val="en-GB"/>
        </w:rPr>
        <w:t xml:space="preserve">، مديرة شعبة قانون حق المؤلف، </w:t>
      </w:r>
      <w:r w:rsidRPr="00B00971">
        <w:rPr>
          <w:rFonts w:hint="cs"/>
          <w:rtl/>
          <w:lang w:val="en-GB"/>
        </w:rPr>
        <w:t>ق</w:t>
      </w:r>
      <w:r>
        <w:rPr>
          <w:rFonts w:hint="cs"/>
          <w:rtl/>
          <w:lang w:val="en-GB"/>
        </w:rPr>
        <w:t>طاع الثقافة والصناعات الإبداعية</w:t>
      </w:r>
    </w:p>
    <w:p w:rsidR="00855230" w:rsidRDefault="00855230" w:rsidP="00767A64">
      <w:pPr>
        <w:pStyle w:val="NumberedParaAR"/>
        <w:numPr>
          <w:ilvl w:val="0"/>
          <w:numId w:val="0"/>
        </w:numPr>
        <w:rPr>
          <w:rtl/>
          <w:lang w:val="en-GB"/>
        </w:rPr>
      </w:pPr>
      <w:r>
        <w:rPr>
          <w:rFonts w:hint="cs"/>
          <w:rtl/>
        </w:rPr>
        <w:t xml:space="preserve">أندرو تو، </w:t>
      </w:r>
      <w:r w:rsidR="00767A64">
        <w:rPr>
          <w:rFonts w:hint="cs"/>
          <w:rtl/>
        </w:rPr>
        <w:t xml:space="preserve">المشرف العام </w:t>
      </w:r>
      <w:r>
        <w:rPr>
          <w:rFonts w:hint="cs"/>
          <w:rtl/>
        </w:rPr>
        <w:t>(</w:t>
      </w:r>
      <w:r w:rsidR="00767A64">
        <w:rPr>
          <w:rFonts w:hint="cs"/>
          <w:rtl/>
        </w:rPr>
        <w:t>مشروع تيغار</w:t>
      </w:r>
      <w:r>
        <w:rPr>
          <w:rFonts w:hint="cs"/>
          <w:rtl/>
        </w:rPr>
        <w:t xml:space="preserve">)، </w:t>
      </w:r>
      <w:r w:rsidR="00767A64">
        <w:rPr>
          <w:rFonts w:hint="cs"/>
          <w:rtl/>
        </w:rPr>
        <w:t xml:space="preserve">وكبير المستشارين، شعبة البنية التحتية لحق المؤلف، </w:t>
      </w:r>
      <w:r w:rsidR="00767A64" w:rsidRPr="00B00971">
        <w:rPr>
          <w:rFonts w:hint="cs"/>
          <w:rtl/>
          <w:lang w:val="en-GB"/>
        </w:rPr>
        <w:t>ق</w:t>
      </w:r>
      <w:r w:rsidR="00767A64">
        <w:rPr>
          <w:rFonts w:hint="cs"/>
          <w:rtl/>
          <w:lang w:val="en-GB"/>
        </w:rPr>
        <w:t>طاع الثقافة والصناعات الإبداعية.</w:t>
      </w:r>
    </w:p>
    <w:p w:rsidR="00767A64" w:rsidRDefault="00767A64" w:rsidP="00767A64">
      <w:pPr>
        <w:pStyle w:val="EndofDocumentAR"/>
        <w:rPr>
          <w:rtl/>
        </w:rPr>
      </w:pPr>
      <w:r>
        <w:rPr>
          <w:rFonts w:hint="cs"/>
          <w:rtl/>
          <w:lang w:val="en-GB"/>
        </w:rPr>
        <w:t>[نهاية المرفق والوثيقة]</w:t>
      </w:r>
    </w:p>
    <w:sectPr w:rsidR="00767A64" w:rsidSect="00767A64">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A68" w:rsidRDefault="00435A68">
      <w:r>
        <w:separator/>
      </w:r>
    </w:p>
  </w:endnote>
  <w:endnote w:type="continuationSeparator" w:id="0">
    <w:p w:rsidR="00435A68" w:rsidRDefault="0043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A68" w:rsidRDefault="00435A68" w:rsidP="009622BF">
      <w:pPr>
        <w:bidi/>
      </w:pPr>
      <w:bookmarkStart w:id="0" w:name="OLE_LINK1"/>
      <w:bookmarkStart w:id="1" w:name="OLE_LINK2"/>
      <w:r>
        <w:separator/>
      </w:r>
      <w:bookmarkEnd w:id="0"/>
      <w:bookmarkEnd w:id="1"/>
    </w:p>
  </w:footnote>
  <w:footnote w:type="continuationSeparator" w:id="0">
    <w:p w:rsidR="00435A68" w:rsidRDefault="00435A6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E7ED7" w:rsidP="00795196">
    <w:r>
      <w:t>SC</w:t>
    </w:r>
    <w:r w:rsidR="00983389">
      <w:t>C</w:t>
    </w:r>
    <w:r>
      <w:t>R</w:t>
    </w:r>
    <w:r w:rsidR="002F77FC">
      <w:t>/</w:t>
    </w:r>
    <w:r w:rsidR="00772E46">
      <w:t>2</w:t>
    </w:r>
    <w:r>
      <w:t>6</w:t>
    </w:r>
    <w:r w:rsidR="002F77FC">
      <w:t>/</w:t>
    </w:r>
    <w:r w:rsidR="00795196">
      <w:t>5</w:t>
    </w:r>
  </w:p>
  <w:p w:rsidR="002F77FC" w:rsidRDefault="002F77FC" w:rsidP="00D61541">
    <w:r>
      <w:fldChar w:fldCharType="begin"/>
    </w:r>
    <w:r>
      <w:instrText xml:space="preserve"> PAGE  \* MERGEFORMAT </w:instrText>
    </w:r>
    <w:r>
      <w:fldChar w:fldCharType="separate"/>
    </w:r>
    <w:r w:rsidR="009969B3">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A64" w:rsidRDefault="00767A64" w:rsidP="00795196">
    <w:pPr>
      <w:rPr>
        <w:rtl/>
      </w:rPr>
    </w:pPr>
    <w:r>
      <w:t>SCCR/26/5</w:t>
    </w:r>
  </w:p>
  <w:p w:rsidR="00767A64" w:rsidRDefault="00767A64" w:rsidP="00795196">
    <w:r>
      <w:t>Annex</w:t>
    </w:r>
  </w:p>
  <w:p w:rsidR="00767A64" w:rsidRDefault="00767A64" w:rsidP="00D61541">
    <w:r>
      <w:fldChar w:fldCharType="begin"/>
    </w:r>
    <w:r>
      <w:instrText xml:space="preserve"> PAGE   \* MERGEFORMAT </w:instrText>
    </w:r>
    <w:r>
      <w:fldChar w:fldCharType="separate"/>
    </w:r>
    <w:r w:rsidR="009969B3">
      <w:rPr>
        <w:noProof/>
      </w:rPr>
      <w:t>2</w:t>
    </w:r>
    <w:r>
      <w:rPr>
        <w:noProof/>
      </w:rPr>
      <w:fldChar w:fldCharType="end"/>
    </w:r>
  </w:p>
  <w:p w:rsidR="00767A64" w:rsidRDefault="00767A64"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5B" w:rsidRPr="002D2A5B" w:rsidRDefault="002D2A5B" w:rsidP="002D2A5B">
    <w:pPr>
      <w:pStyle w:val="Header"/>
    </w:pPr>
    <w:r w:rsidRPr="002D2A5B">
      <w:t>SCCR/26/5</w:t>
    </w:r>
  </w:p>
  <w:p w:rsidR="002D2A5B" w:rsidRPr="002D2A5B" w:rsidRDefault="002D2A5B" w:rsidP="002D2A5B">
    <w:pPr>
      <w:pStyle w:val="Header"/>
    </w:pPr>
    <w:r w:rsidRPr="002D2A5B">
      <w:t>ANNEX</w:t>
    </w:r>
  </w:p>
  <w:p w:rsidR="002D2A5B" w:rsidRPr="002D2A5B" w:rsidRDefault="002D2A5B" w:rsidP="002D2A5B">
    <w:pPr>
      <w:pStyle w:val="Header"/>
      <w:rPr>
        <w:rFonts w:ascii="Arabic Typesetting" w:hAnsi="Arabic Typesetting" w:cs="Arabic Typesetting"/>
        <w:sz w:val="36"/>
        <w:szCs w:val="36"/>
        <w:rtl/>
      </w:rPr>
    </w:pPr>
    <w:r w:rsidRPr="002D2A5B">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7FC6CF0"/>
    <w:multiLevelType w:val="hybridMultilevel"/>
    <w:tmpl w:val="C5D8826E"/>
    <w:lvl w:ilvl="0" w:tplc="2B4A21BE">
      <w:start w:val="6"/>
      <w:numFmt w:val="bullet"/>
      <w:lvlText w:val="-"/>
      <w:lvlJc w:val="left"/>
      <w:pPr>
        <w:tabs>
          <w:tab w:val="num" w:pos="720"/>
        </w:tabs>
        <w:ind w:left="720" w:hanging="360"/>
      </w:pPr>
      <w:rPr>
        <w:rFonts w:ascii="Arabic Typesetting" w:eastAsia="Times New Roman" w:hAnsi="Arabic Typesetting" w:cs="Arabic Typesetting"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ACA7B6F"/>
    <w:multiLevelType w:val="hybridMultilevel"/>
    <w:tmpl w:val="53C6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19"/>
  </w:num>
  <w:num w:numId="5">
    <w:abstractNumId w:val="8"/>
  </w:num>
  <w:num w:numId="6">
    <w:abstractNumId w:val="20"/>
  </w:num>
  <w:num w:numId="7">
    <w:abstractNumId w:val="15"/>
  </w:num>
  <w:num w:numId="8">
    <w:abstractNumId w:val="18"/>
  </w:num>
  <w:num w:numId="9">
    <w:abstractNumId w:val="17"/>
  </w:num>
  <w:num w:numId="10">
    <w:abstractNumId w:val="21"/>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A68"/>
    <w:rsid w:val="00002CBE"/>
    <w:rsid w:val="00003232"/>
    <w:rsid w:val="000033DA"/>
    <w:rsid w:val="0000579F"/>
    <w:rsid w:val="000074D1"/>
    <w:rsid w:val="000076BD"/>
    <w:rsid w:val="000101A3"/>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B1A"/>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0A3"/>
    <w:rsid w:val="000C523D"/>
    <w:rsid w:val="000C52A5"/>
    <w:rsid w:val="000C563F"/>
    <w:rsid w:val="000C5DF9"/>
    <w:rsid w:val="000C5F21"/>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61E5"/>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7A9"/>
    <w:rsid w:val="00130FC9"/>
    <w:rsid w:val="001310EE"/>
    <w:rsid w:val="0013191A"/>
    <w:rsid w:val="00131E8F"/>
    <w:rsid w:val="00135C24"/>
    <w:rsid w:val="00136389"/>
    <w:rsid w:val="00136A1A"/>
    <w:rsid w:val="00136A96"/>
    <w:rsid w:val="001376B6"/>
    <w:rsid w:val="00140A35"/>
    <w:rsid w:val="0014166B"/>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635"/>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9D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BB1"/>
    <w:rsid w:val="001D0474"/>
    <w:rsid w:val="001D141D"/>
    <w:rsid w:val="001D1EBD"/>
    <w:rsid w:val="001D2184"/>
    <w:rsid w:val="001D24F3"/>
    <w:rsid w:val="001D2678"/>
    <w:rsid w:val="001D2DC4"/>
    <w:rsid w:val="001D5146"/>
    <w:rsid w:val="001D6A48"/>
    <w:rsid w:val="001E1043"/>
    <w:rsid w:val="001E10E1"/>
    <w:rsid w:val="001E175F"/>
    <w:rsid w:val="001E19F7"/>
    <w:rsid w:val="001E2669"/>
    <w:rsid w:val="001E268B"/>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1D8"/>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1296"/>
    <w:rsid w:val="00292CEE"/>
    <w:rsid w:val="00292D22"/>
    <w:rsid w:val="0029470D"/>
    <w:rsid w:val="00296EFA"/>
    <w:rsid w:val="00297B80"/>
    <w:rsid w:val="002A076C"/>
    <w:rsid w:val="002A1059"/>
    <w:rsid w:val="002A1660"/>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A5B"/>
    <w:rsid w:val="002D3506"/>
    <w:rsid w:val="002D3670"/>
    <w:rsid w:val="002D4807"/>
    <w:rsid w:val="002D5DDC"/>
    <w:rsid w:val="002D5F16"/>
    <w:rsid w:val="002D62F1"/>
    <w:rsid w:val="002D6FD8"/>
    <w:rsid w:val="002D727B"/>
    <w:rsid w:val="002D7EAD"/>
    <w:rsid w:val="002E012E"/>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AF7"/>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548"/>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D7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64B"/>
    <w:rsid w:val="003E4907"/>
    <w:rsid w:val="003E521A"/>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7ED"/>
    <w:rsid w:val="004032D2"/>
    <w:rsid w:val="00403C4F"/>
    <w:rsid w:val="004058B4"/>
    <w:rsid w:val="00405C45"/>
    <w:rsid w:val="004062EF"/>
    <w:rsid w:val="004062F0"/>
    <w:rsid w:val="00406CB5"/>
    <w:rsid w:val="00410B8F"/>
    <w:rsid w:val="00411B01"/>
    <w:rsid w:val="00412057"/>
    <w:rsid w:val="004126C1"/>
    <w:rsid w:val="00413BA5"/>
    <w:rsid w:val="00414FD0"/>
    <w:rsid w:val="00417E93"/>
    <w:rsid w:val="00422A2A"/>
    <w:rsid w:val="00424BB4"/>
    <w:rsid w:val="004258CD"/>
    <w:rsid w:val="004261D2"/>
    <w:rsid w:val="004303D1"/>
    <w:rsid w:val="00433C0A"/>
    <w:rsid w:val="004349FA"/>
    <w:rsid w:val="00435A68"/>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172"/>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39F"/>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144"/>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84A"/>
    <w:rsid w:val="00516256"/>
    <w:rsid w:val="005162CF"/>
    <w:rsid w:val="00517A63"/>
    <w:rsid w:val="00517C8D"/>
    <w:rsid w:val="00517FD1"/>
    <w:rsid w:val="00520017"/>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07C"/>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813"/>
    <w:rsid w:val="005D0AE3"/>
    <w:rsid w:val="005D1103"/>
    <w:rsid w:val="005D1631"/>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290"/>
    <w:rsid w:val="006319C2"/>
    <w:rsid w:val="00631FF6"/>
    <w:rsid w:val="006326AB"/>
    <w:rsid w:val="0063292C"/>
    <w:rsid w:val="0063312C"/>
    <w:rsid w:val="00633DBC"/>
    <w:rsid w:val="00634CA3"/>
    <w:rsid w:val="006351AD"/>
    <w:rsid w:val="00635A2A"/>
    <w:rsid w:val="0063601E"/>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05D"/>
    <w:rsid w:val="00682AAD"/>
    <w:rsid w:val="0068525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5D0"/>
    <w:rsid w:val="006C480B"/>
    <w:rsid w:val="006C570B"/>
    <w:rsid w:val="006C572E"/>
    <w:rsid w:val="006C5997"/>
    <w:rsid w:val="006C5CD2"/>
    <w:rsid w:val="006C7EE1"/>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2441"/>
    <w:rsid w:val="00733416"/>
    <w:rsid w:val="0073377E"/>
    <w:rsid w:val="00733E05"/>
    <w:rsid w:val="00735C8A"/>
    <w:rsid w:val="00735FE2"/>
    <w:rsid w:val="0073719A"/>
    <w:rsid w:val="00737C62"/>
    <w:rsid w:val="00737C91"/>
    <w:rsid w:val="0074130E"/>
    <w:rsid w:val="00742B86"/>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67A64"/>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196"/>
    <w:rsid w:val="00795460"/>
    <w:rsid w:val="00796CF7"/>
    <w:rsid w:val="007A0313"/>
    <w:rsid w:val="007A0A83"/>
    <w:rsid w:val="007A328E"/>
    <w:rsid w:val="007A4BB3"/>
    <w:rsid w:val="007A6307"/>
    <w:rsid w:val="007A6822"/>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3AE"/>
    <w:rsid w:val="00846956"/>
    <w:rsid w:val="00846CF1"/>
    <w:rsid w:val="00847622"/>
    <w:rsid w:val="008505B8"/>
    <w:rsid w:val="00851005"/>
    <w:rsid w:val="00851ADD"/>
    <w:rsid w:val="00855230"/>
    <w:rsid w:val="00855CA6"/>
    <w:rsid w:val="00860323"/>
    <w:rsid w:val="00860F4F"/>
    <w:rsid w:val="008610B9"/>
    <w:rsid w:val="00862656"/>
    <w:rsid w:val="00863013"/>
    <w:rsid w:val="00863F67"/>
    <w:rsid w:val="0086483A"/>
    <w:rsid w:val="00864B94"/>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AA9"/>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88A"/>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757"/>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69B3"/>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15"/>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754C"/>
    <w:rsid w:val="00A20562"/>
    <w:rsid w:val="00A20F75"/>
    <w:rsid w:val="00A212B1"/>
    <w:rsid w:val="00A24578"/>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9DC"/>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867"/>
    <w:rsid w:val="00C12DAD"/>
    <w:rsid w:val="00C12E17"/>
    <w:rsid w:val="00C14741"/>
    <w:rsid w:val="00C1544B"/>
    <w:rsid w:val="00C1665A"/>
    <w:rsid w:val="00C1739F"/>
    <w:rsid w:val="00C177FF"/>
    <w:rsid w:val="00C222FF"/>
    <w:rsid w:val="00C2338E"/>
    <w:rsid w:val="00C235FD"/>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6C7"/>
    <w:rsid w:val="00C44DDC"/>
    <w:rsid w:val="00C5128B"/>
    <w:rsid w:val="00C51423"/>
    <w:rsid w:val="00C51F27"/>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03A"/>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892"/>
    <w:rsid w:val="00CA19A6"/>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993"/>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E0B"/>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A2F"/>
    <w:rsid w:val="00DB71DB"/>
    <w:rsid w:val="00DB71E1"/>
    <w:rsid w:val="00DB7B0F"/>
    <w:rsid w:val="00DB7CB3"/>
    <w:rsid w:val="00DC0D57"/>
    <w:rsid w:val="00DC16F7"/>
    <w:rsid w:val="00DC1CA3"/>
    <w:rsid w:val="00DC2641"/>
    <w:rsid w:val="00DC2B1E"/>
    <w:rsid w:val="00DC7481"/>
    <w:rsid w:val="00DC7591"/>
    <w:rsid w:val="00DD0839"/>
    <w:rsid w:val="00DD26D0"/>
    <w:rsid w:val="00DD2957"/>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2749"/>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503A"/>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221"/>
    <w:rsid w:val="00E667A7"/>
    <w:rsid w:val="00E679B3"/>
    <w:rsid w:val="00E70526"/>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3C4"/>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183"/>
    <w:rsid w:val="00F20706"/>
    <w:rsid w:val="00F21496"/>
    <w:rsid w:val="00F21E77"/>
    <w:rsid w:val="00F24D27"/>
    <w:rsid w:val="00F2520C"/>
    <w:rsid w:val="00F25BCB"/>
    <w:rsid w:val="00F25ECC"/>
    <w:rsid w:val="00F264C1"/>
    <w:rsid w:val="00F26D7F"/>
    <w:rsid w:val="00F27305"/>
    <w:rsid w:val="00F30790"/>
    <w:rsid w:val="00F31570"/>
    <w:rsid w:val="00F31CDA"/>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4F43"/>
    <w:rsid w:val="00F75896"/>
    <w:rsid w:val="00F76666"/>
    <w:rsid w:val="00F76ECB"/>
    <w:rsid w:val="00F76EF7"/>
    <w:rsid w:val="00F776B7"/>
    <w:rsid w:val="00F77758"/>
    <w:rsid w:val="00F77BDB"/>
    <w:rsid w:val="00F8031F"/>
    <w:rsid w:val="00F80C5C"/>
    <w:rsid w:val="00F818A5"/>
    <w:rsid w:val="00F8197C"/>
    <w:rsid w:val="00F8465D"/>
    <w:rsid w:val="00F848B3"/>
    <w:rsid w:val="00F8531A"/>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0EE"/>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B5E"/>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91282-BD94-42CE-A9A7-2EA6B874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1573</Words>
  <Characters>8533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SCCR/26/5 (Arabic)</vt:lpstr>
    </vt:vector>
  </TitlesOfParts>
  <Company>World Intellectual Property Organization</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SCCR/26/5 (Arabic)</dc:title>
  <dc:subject>التقرير المرحلي السادس لمنصة أصحاب المصالح</dc:subject>
  <dc:creator>من إعداد الأمانة</dc:creator>
  <cp:lastModifiedBy>HAIZEL Francesca</cp:lastModifiedBy>
  <cp:revision>2</cp:revision>
  <cp:lastPrinted>2013-12-17T10:37:00Z</cp:lastPrinted>
  <dcterms:created xsi:type="dcterms:W3CDTF">2013-12-17T10:50:00Z</dcterms:created>
  <dcterms:modified xsi:type="dcterms:W3CDTF">2013-12-17T10:50:00Z</dcterms:modified>
</cp:coreProperties>
</file>