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D24" w:rsidRPr="00447125" w:rsidRDefault="00FE3D24" w:rsidP="00447125">
      <w:pPr>
        <w:pStyle w:val="Heading1"/>
        <w:spacing w:beforeLines="100" w:afterLines="50" w:after="120" w:line="340" w:lineRule="atLeast"/>
        <w:rPr>
          <w:rFonts w:ascii="SimHei" w:eastAsia="SimHei" w:hAnsi="SimHei"/>
          <w:b w:val="0"/>
          <w:sz w:val="21"/>
          <w:lang w:eastAsia="zh-CN"/>
        </w:rPr>
      </w:pPr>
      <w:bookmarkStart w:id="0" w:name="_GoBack"/>
      <w:bookmarkEnd w:id="0"/>
      <w:r w:rsidRPr="00447125">
        <w:rPr>
          <w:rFonts w:ascii="SimHei" w:eastAsia="SimHei" w:hAnsi="SimHei"/>
          <w:b w:val="0"/>
          <w:sz w:val="21"/>
          <w:lang w:eastAsia="zh-CN"/>
        </w:rPr>
        <w:t>IPC修订路线图的更新</w:t>
      </w:r>
    </w:p>
    <w:p w:rsidR="00FE3D24" w:rsidRPr="00447125" w:rsidRDefault="00FE3D24" w:rsidP="0044712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lang w:eastAsia="zh-CN"/>
        </w:rPr>
      </w:pPr>
      <w:r w:rsidRPr="00447125">
        <w:rPr>
          <w:rFonts w:ascii="SimSun" w:eastAsia="SimSun" w:hAnsi="SimSun"/>
          <w:sz w:val="21"/>
          <w:lang w:eastAsia="zh-CN"/>
        </w:rPr>
        <w:t>IPC专家委员会（委员会）在确定今后几年应修订的IPC</w:t>
      </w:r>
      <w:r w:rsidR="001876B1" w:rsidRPr="00447125">
        <w:rPr>
          <w:rFonts w:ascii="SimSun" w:eastAsia="SimSun" w:hAnsi="SimSun"/>
          <w:sz w:val="21"/>
          <w:lang w:eastAsia="zh-CN"/>
        </w:rPr>
        <w:t>领域时，决定采取一种积极主动的做法，</w:t>
      </w:r>
      <w:r w:rsidR="001876B1" w:rsidRPr="00447125">
        <w:rPr>
          <w:rFonts w:ascii="SimSun" w:eastAsia="SimSun" w:hAnsi="SimSun" w:hint="eastAsia"/>
          <w:sz w:val="21"/>
          <w:lang w:eastAsia="zh-CN"/>
        </w:rPr>
        <w:t>同时</w:t>
      </w:r>
      <w:r w:rsidRPr="00447125">
        <w:rPr>
          <w:rFonts w:ascii="SimSun" w:eastAsia="SimSun" w:hAnsi="SimSun"/>
          <w:sz w:val="21"/>
          <w:lang w:eastAsia="zh-CN"/>
        </w:rPr>
        <w:t>IPC社群一直在根据2013年商定的IPC修订路线图开展工作。从那时至今，正如在每届会议上向委员会所报告的那样，修订工作一直保持着良好</w:t>
      </w:r>
      <w:r w:rsidR="00465182" w:rsidRPr="00447125">
        <w:rPr>
          <w:rFonts w:ascii="SimSun" w:eastAsia="SimSun" w:hAnsi="SimSun" w:hint="eastAsia"/>
          <w:sz w:val="21"/>
          <w:lang w:eastAsia="zh-CN"/>
        </w:rPr>
        <w:t>进展</w:t>
      </w:r>
      <w:r w:rsidRPr="00447125">
        <w:rPr>
          <w:rFonts w:ascii="SimSun" w:eastAsia="SimSun" w:hAnsi="SimSun"/>
          <w:sz w:val="21"/>
          <w:lang w:eastAsia="zh-CN"/>
        </w:rPr>
        <w:t>。考虑到IPC修订路线图对这一成就所作的贡献，IPC修订路线图中所提出的方向和要素应继续得到实施，并应</w:t>
      </w:r>
      <w:r w:rsidR="001F71C0" w:rsidRPr="00447125">
        <w:rPr>
          <w:rFonts w:ascii="SimSun" w:eastAsia="SimSun" w:hAnsi="SimSun" w:hint="eastAsia"/>
          <w:sz w:val="21"/>
          <w:lang w:eastAsia="zh-CN"/>
        </w:rPr>
        <w:t>适用于</w:t>
      </w:r>
      <w:r w:rsidRPr="00447125">
        <w:rPr>
          <w:rFonts w:ascii="SimSun" w:eastAsia="SimSun" w:hAnsi="SimSun"/>
          <w:sz w:val="21"/>
          <w:lang w:eastAsia="zh-CN"/>
        </w:rPr>
        <w:t>2017年之后的IPC修订工</w:t>
      </w:r>
      <w:r w:rsidR="00447125">
        <w:rPr>
          <w:rFonts w:ascii="SimSun" w:eastAsia="SimSun" w:hAnsi="SimSun"/>
          <w:sz w:val="21"/>
          <w:lang w:eastAsia="zh-CN"/>
        </w:rPr>
        <w:t>‍</w:t>
      </w:r>
      <w:r w:rsidRPr="00447125">
        <w:rPr>
          <w:rFonts w:ascii="SimSun" w:eastAsia="SimSun" w:hAnsi="SimSun"/>
          <w:sz w:val="21"/>
          <w:lang w:eastAsia="zh-CN"/>
        </w:rPr>
        <w:t>作。</w:t>
      </w:r>
    </w:p>
    <w:p w:rsidR="00FE3D24" w:rsidRPr="00447125" w:rsidRDefault="00FE3D24" w:rsidP="0044712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lang w:eastAsia="zh-CN"/>
        </w:rPr>
      </w:pPr>
      <w:r w:rsidRPr="00447125">
        <w:rPr>
          <w:rFonts w:ascii="SimSun" w:eastAsia="SimSun" w:hAnsi="SimSun"/>
          <w:sz w:val="21"/>
          <w:lang w:eastAsia="zh-CN"/>
        </w:rPr>
        <w:t>在2016年的WIPO大会上，成员国注意到</w:t>
      </w:r>
      <w:r w:rsidR="001F71C0" w:rsidRPr="00447125">
        <w:rPr>
          <w:rFonts w:ascii="SimSun" w:eastAsia="SimSun" w:hAnsi="SimSun" w:hint="eastAsia"/>
          <w:sz w:val="21"/>
          <w:lang w:eastAsia="zh-CN"/>
        </w:rPr>
        <w:t>“</w:t>
      </w:r>
      <w:r w:rsidRPr="00447125">
        <w:rPr>
          <w:rFonts w:ascii="SimSun" w:eastAsia="SimSun" w:hAnsi="SimSun"/>
          <w:sz w:val="21"/>
          <w:lang w:eastAsia="zh-CN"/>
        </w:rPr>
        <w:t>世界知识产权组织（WIPO）2016-2021年中期战略计划</w:t>
      </w:r>
      <w:r w:rsidR="001F71C0" w:rsidRPr="00447125">
        <w:rPr>
          <w:rFonts w:ascii="SimSun" w:eastAsia="SimSun" w:hAnsi="SimSun" w:hint="eastAsia"/>
          <w:sz w:val="21"/>
          <w:lang w:eastAsia="zh-CN"/>
        </w:rPr>
        <w:t>”</w:t>
      </w:r>
      <w:r w:rsidRPr="00447125">
        <w:rPr>
          <w:rFonts w:ascii="SimSun" w:eastAsia="SimSun" w:hAnsi="SimSun"/>
          <w:sz w:val="21"/>
          <w:lang w:eastAsia="zh-CN"/>
        </w:rPr>
        <w:t>，其中谈到了关于IPC的战略，提及合作专利分类（CPC）的内容如下：</w:t>
      </w:r>
    </w:p>
    <w:p w:rsidR="00FE3D24" w:rsidRPr="00447125" w:rsidRDefault="001F71C0" w:rsidP="0044712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</w:rPr>
      </w:pPr>
      <w:r w:rsidRPr="00447125">
        <w:rPr>
          <w:rFonts w:ascii="SimSun" w:eastAsia="SimSun" w:hAnsi="SimSun" w:hint="eastAsia"/>
          <w:sz w:val="21"/>
          <w:lang w:eastAsia="zh-CN"/>
        </w:rPr>
        <w:t>“</w:t>
      </w:r>
      <w:r w:rsidR="00FE3D24" w:rsidRPr="00447125">
        <w:rPr>
          <w:rFonts w:ascii="SimSun" w:eastAsia="SimSun" w:hAnsi="SimSun"/>
          <w:sz w:val="21"/>
          <w:lang w:eastAsia="zh-CN"/>
        </w:rPr>
        <w:t>国际专利分类（IPC）仍然是全球专利分类的统一体系。五局中某些成员所采用的共同分类体系提供了一个基于IPC之上的更精细、更先进的分类体系。目标是继续保持两个体系的关联，以最大限度地确保专利分类在国际上的统一。</w:t>
      </w:r>
      <w:r w:rsidRPr="00447125">
        <w:rPr>
          <w:rFonts w:ascii="SimSun" w:eastAsia="SimSun" w:hAnsi="SimSun" w:hint="eastAsia"/>
          <w:sz w:val="21"/>
          <w:lang w:eastAsia="zh-CN"/>
        </w:rPr>
        <w:t>”</w:t>
      </w:r>
    </w:p>
    <w:p w:rsidR="00FE3D24" w:rsidRPr="00447125" w:rsidRDefault="00FE3D24" w:rsidP="0044712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lang w:eastAsia="zh-CN"/>
        </w:rPr>
      </w:pPr>
      <w:r w:rsidRPr="00447125">
        <w:rPr>
          <w:rFonts w:ascii="SimSun" w:eastAsia="SimSun" w:hAnsi="SimSun"/>
          <w:sz w:val="21"/>
          <w:lang w:eastAsia="zh-CN"/>
        </w:rPr>
        <w:t>可能影响到IPC修订路线图的一个因素是CPC覆盖区域的显著扩大。有些领域有来自新兴国家</w:t>
      </w:r>
      <w:r w:rsidR="001F71C0" w:rsidRPr="00447125">
        <w:rPr>
          <w:rFonts w:ascii="SimSun" w:eastAsia="SimSun" w:hAnsi="SimSun"/>
          <w:sz w:val="21"/>
          <w:lang w:eastAsia="zh-CN"/>
        </w:rPr>
        <w:t>增长显著的大量专利申请</w:t>
      </w:r>
      <w:r w:rsidRPr="00447125">
        <w:rPr>
          <w:rFonts w:ascii="SimSun" w:eastAsia="SimSun" w:hAnsi="SimSun"/>
          <w:sz w:val="21"/>
          <w:lang w:eastAsia="zh-CN"/>
        </w:rPr>
        <w:t>，而IPC的小组数量不足以进行有效检索，在这种情况下，这些领域作为修订工作的候选领域仍很重要，原因如下：(1)在这些领域以</w:t>
      </w:r>
      <w:r w:rsidR="00465182" w:rsidRPr="00447125">
        <w:rPr>
          <w:rFonts w:ascii="SimSun" w:eastAsia="SimSun" w:hAnsi="SimSun" w:hint="eastAsia"/>
          <w:sz w:val="21"/>
          <w:lang w:eastAsia="zh-CN"/>
        </w:rPr>
        <w:t>兼顾</w:t>
      </w:r>
      <w:r w:rsidRPr="00447125">
        <w:rPr>
          <w:rFonts w:ascii="SimSun" w:eastAsia="SimSun" w:hAnsi="SimSun"/>
          <w:sz w:val="21"/>
          <w:lang w:eastAsia="zh-CN"/>
        </w:rPr>
        <w:t>两个</w:t>
      </w:r>
      <w:r w:rsidR="001F71C0" w:rsidRPr="00447125">
        <w:rPr>
          <w:rFonts w:ascii="SimSun" w:eastAsia="SimSun" w:hAnsi="SimSun" w:hint="eastAsia"/>
          <w:sz w:val="21"/>
          <w:lang w:eastAsia="zh-CN"/>
        </w:rPr>
        <w:t>体系</w:t>
      </w:r>
      <w:r w:rsidR="001F71C0" w:rsidRPr="00447125">
        <w:rPr>
          <w:rFonts w:ascii="SimSun" w:eastAsia="SimSun" w:hAnsi="SimSun"/>
          <w:sz w:val="21"/>
          <w:lang w:eastAsia="zh-CN"/>
        </w:rPr>
        <w:t>的合作方式进行修订有利于保持两个</w:t>
      </w:r>
      <w:r w:rsidR="001F71C0" w:rsidRPr="00447125">
        <w:rPr>
          <w:rFonts w:ascii="SimSun" w:eastAsia="SimSun" w:hAnsi="SimSun" w:hint="eastAsia"/>
          <w:sz w:val="21"/>
          <w:lang w:eastAsia="zh-CN"/>
        </w:rPr>
        <w:t>体系</w:t>
      </w:r>
      <w:r w:rsidRPr="00447125">
        <w:rPr>
          <w:rFonts w:ascii="SimSun" w:eastAsia="SimSun" w:hAnsi="SimSun"/>
          <w:sz w:val="21"/>
          <w:lang w:eastAsia="zh-CN"/>
        </w:rPr>
        <w:t>之间的一致性；</w:t>
      </w:r>
      <w:r w:rsidR="001F71C0" w:rsidRPr="00447125">
        <w:rPr>
          <w:rFonts w:ascii="SimSun" w:eastAsia="SimSun" w:hAnsi="SimSun" w:hint="eastAsia"/>
          <w:sz w:val="21"/>
          <w:lang w:eastAsia="zh-CN"/>
        </w:rPr>
        <w:t>(</w:t>
      </w:r>
      <w:r w:rsidRPr="00447125">
        <w:rPr>
          <w:rFonts w:ascii="SimSun" w:eastAsia="SimSun" w:hAnsi="SimSun"/>
          <w:sz w:val="21"/>
          <w:lang w:eastAsia="zh-CN"/>
        </w:rPr>
        <w:t>2</w:t>
      </w:r>
      <w:r w:rsidR="001F71C0" w:rsidRPr="00447125">
        <w:rPr>
          <w:rFonts w:ascii="SimSun" w:eastAsia="SimSun" w:hAnsi="SimSun" w:hint="eastAsia"/>
          <w:sz w:val="21"/>
          <w:lang w:eastAsia="zh-CN"/>
        </w:rPr>
        <w:t>)</w:t>
      </w:r>
      <w:r w:rsidRPr="00447125">
        <w:rPr>
          <w:rFonts w:ascii="SimSun" w:eastAsia="SimSun" w:hAnsi="SimSun"/>
          <w:sz w:val="21"/>
          <w:lang w:eastAsia="zh-CN"/>
        </w:rPr>
        <w:t>这些技术领域作为可能的新兴技术领域，对其他国家而言也很重要，应当反映在统一的全球专利分类体系，即IPC中。由此观之，IPC修订路线图所附的候选领域清单应由国际局不断更新，并由委员会在IPC修订的背景下进行审议。别的因素可能也会影响</w:t>
      </w:r>
      <w:r w:rsidR="00184146">
        <w:rPr>
          <w:rFonts w:ascii="SimSun" w:eastAsia="SimSun" w:hAnsi="SimSun" w:hint="eastAsia"/>
          <w:sz w:val="21"/>
          <w:lang w:eastAsia="zh-CN"/>
        </w:rPr>
        <w:t>IPC修订路线</w:t>
      </w:r>
      <w:r w:rsidR="008D4853">
        <w:rPr>
          <w:rFonts w:ascii="SimSun" w:eastAsia="SimSun" w:hAnsi="SimSun"/>
          <w:sz w:val="21"/>
          <w:lang w:eastAsia="zh-CN"/>
        </w:rPr>
        <w:t>‍</w:t>
      </w:r>
      <w:r w:rsidR="00184146">
        <w:rPr>
          <w:rFonts w:ascii="SimSun" w:eastAsia="SimSun" w:hAnsi="SimSun" w:hint="eastAsia"/>
          <w:sz w:val="21"/>
          <w:lang w:eastAsia="zh-CN"/>
        </w:rPr>
        <w:t>图</w:t>
      </w:r>
      <w:r w:rsidRPr="00447125">
        <w:rPr>
          <w:rFonts w:ascii="SimSun" w:eastAsia="SimSun" w:hAnsi="SimSun"/>
          <w:sz w:val="21"/>
          <w:lang w:eastAsia="zh-CN"/>
        </w:rPr>
        <w:t>。</w:t>
      </w:r>
    </w:p>
    <w:p w:rsidR="00FE3D24" w:rsidRPr="00447125" w:rsidRDefault="00FE3D24" w:rsidP="0044712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lang w:eastAsia="zh-CN"/>
        </w:rPr>
      </w:pPr>
      <w:r w:rsidRPr="00447125">
        <w:rPr>
          <w:rFonts w:ascii="SimSun" w:eastAsia="SimSun" w:hAnsi="SimSun"/>
          <w:sz w:val="21"/>
          <w:lang w:eastAsia="zh-CN"/>
        </w:rPr>
        <w:t>除了有来自新兴国家的大量专利申请的领域之外，新兴技术（NET），比如物联网（</w:t>
      </w:r>
      <w:proofErr w:type="spellStart"/>
      <w:r w:rsidRPr="00447125">
        <w:rPr>
          <w:rFonts w:ascii="SimSun" w:eastAsia="SimSun" w:hAnsi="SimSun"/>
          <w:sz w:val="21"/>
          <w:lang w:eastAsia="zh-CN"/>
        </w:rPr>
        <w:t>IoT</w:t>
      </w:r>
      <w:proofErr w:type="spellEnd"/>
      <w:r w:rsidRPr="00447125">
        <w:rPr>
          <w:rFonts w:ascii="SimSun" w:eastAsia="SimSun" w:hAnsi="SimSun"/>
          <w:sz w:val="21"/>
          <w:lang w:eastAsia="zh-CN"/>
        </w:rPr>
        <w:t>），作为修订的候选领域也很重要。必须快速、及时地对这些领域进行修订，以最大限度地实现IPC作为新技术的有效检索工具的功能。尤其是在这种意义上，一旦有计划在CPC或FI中增加与新兴技术相关的新领域，则涉及新兴技术的修订要求也可能由EPO、美利坚合众国或日本提出，以便使IPC的好处最大化，也使CPC或FI</w:t>
      </w:r>
      <w:r w:rsidR="00465182" w:rsidRPr="00447125">
        <w:rPr>
          <w:rFonts w:ascii="SimSun" w:eastAsia="SimSun" w:hAnsi="SimSun"/>
          <w:sz w:val="21"/>
          <w:lang w:eastAsia="zh-CN"/>
        </w:rPr>
        <w:t>的好处最大化。如果是</w:t>
      </w:r>
      <w:r w:rsidR="00465182" w:rsidRPr="00447125">
        <w:rPr>
          <w:rFonts w:ascii="SimSun" w:eastAsia="SimSun" w:hAnsi="SimSun" w:hint="eastAsia"/>
          <w:sz w:val="21"/>
          <w:lang w:eastAsia="zh-CN"/>
        </w:rPr>
        <w:t>在</w:t>
      </w:r>
      <w:r w:rsidRPr="00447125">
        <w:rPr>
          <w:rFonts w:ascii="SimSun" w:eastAsia="SimSun" w:hAnsi="SimSun"/>
          <w:sz w:val="21"/>
          <w:lang w:eastAsia="zh-CN"/>
        </w:rPr>
        <w:t>五局阶段</w:t>
      </w:r>
      <w:r w:rsidR="00465182" w:rsidRPr="00447125">
        <w:rPr>
          <w:rFonts w:ascii="SimSun" w:eastAsia="SimSun" w:hAnsi="SimSun" w:hint="eastAsia"/>
          <w:sz w:val="21"/>
          <w:lang w:eastAsia="zh-CN"/>
        </w:rPr>
        <w:t>对此</w:t>
      </w:r>
      <w:r w:rsidRPr="00447125">
        <w:rPr>
          <w:rFonts w:ascii="SimSun" w:eastAsia="SimSun" w:hAnsi="SimSun"/>
          <w:sz w:val="21"/>
          <w:lang w:eastAsia="zh-CN"/>
        </w:rPr>
        <w:t>进行讨论，则五局阶段与IPC阶段应当好好协调，通过兼顾速度和细节方面，</w:t>
      </w:r>
      <w:r w:rsidR="00465182" w:rsidRPr="00447125">
        <w:rPr>
          <w:rFonts w:ascii="SimSun" w:eastAsia="SimSun" w:hAnsi="SimSun" w:hint="eastAsia"/>
          <w:sz w:val="21"/>
          <w:lang w:eastAsia="zh-CN"/>
        </w:rPr>
        <w:t>在</w:t>
      </w:r>
      <w:r w:rsidRPr="00447125">
        <w:rPr>
          <w:rFonts w:ascii="SimSun" w:eastAsia="SimSun" w:hAnsi="SimSun"/>
          <w:sz w:val="21"/>
          <w:lang w:eastAsia="zh-CN"/>
        </w:rPr>
        <w:t>这两个阶段</w:t>
      </w:r>
      <w:r w:rsidR="00465182" w:rsidRPr="00447125">
        <w:rPr>
          <w:rFonts w:ascii="SimSun" w:eastAsia="SimSun" w:hAnsi="SimSun" w:hint="eastAsia"/>
          <w:sz w:val="21"/>
          <w:lang w:eastAsia="zh-CN"/>
        </w:rPr>
        <w:t>之间实现</w:t>
      </w:r>
      <w:r w:rsidRPr="00447125">
        <w:rPr>
          <w:rFonts w:ascii="SimSun" w:eastAsia="SimSun" w:hAnsi="SimSun"/>
          <w:sz w:val="21"/>
          <w:lang w:eastAsia="zh-CN"/>
        </w:rPr>
        <w:t>顺利过渡。在确定新兴技术时，反映产业界的意见也很重要，委员会应当考虑如何以有效的方式做到这点。</w:t>
      </w:r>
    </w:p>
    <w:p w:rsidR="00FE3D24" w:rsidRPr="00447125" w:rsidRDefault="00FE3D24" w:rsidP="0044712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lang w:eastAsia="zh-CN"/>
        </w:rPr>
      </w:pPr>
      <w:r w:rsidRPr="00447125">
        <w:rPr>
          <w:rFonts w:ascii="SimSun" w:eastAsia="SimSun" w:hAnsi="SimSun"/>
          <w:sz w:val="21"/>
          <w:lang w:eastAsia="zh-CN"/>
        </w:rPr>
        <w:t>还应当确定开展IPC修订和相关工作的领域，并适当考虑以下方面：</w:t>
      </w:r>
    </w:p>
    <w:p w:rsidR="00FE3D24" w:rsidRPr="00447125" w:rsidRDefault="00FE3D24" w:rsidP="00447125">
      <w:pPr>
        <w:pStyle w:val="ONUME"/>
        <w:numPr>
          <w:ilvl w:val="0"/>
          <w:numId w:val="9"/>
        </w:numPr>
        <w:overflowPunct w:val="0"/>
        <w:spacing w:afterLines="50" w:after="120" w:line="340" w:lineRule="atLeast"/>
        <w:ind w:left="924" w:hanging="357"/>
        <w:jc w:val="both"/>
        <w:rPr>
          <w:rFonts w:ascii="SimSun" w:eastAsia="SimSun" w:hAnsi="SimSun"/>
          <w:sz w:val="21"/>
          <w:lang w:eastAsia="zh-CN"/>
        </w:rPr>
      </w:pPr>
      <w:r w:rsidRPr="00447125">
        <w:rPr>
          <w:rFonts w:ascii="SimSun" w:eastAsia="SimSun" w:hAnsi="SimSun"/>
          <w:sz w:val="21"/>
          <w:lang w:eastAsia="zh-CN"/>
        </w:rPr>
        <w:t>过于复杂的结构。这样的结构可能是准确分类的障碍，即便对审查员而言也是如此；以及</w:t>
      </w:r>
    </w:p>
    <w:p w:rsidR="00FE3D24" w:rsidRPr="00447125" w:rsidRDefault="00551E23" w:rsidP="00447125">
      <w:pPr>
        <w:pStyle w:val="ONUME"/>
        <w:numPr>
          <w:ilvl w:val="0"/>
          <w:numId w:val="9"/>
        </w:numPr>
        <w:overflowPunct w:val="0"/>
        <w:spacing w:afterLines="50" w:after="120" w:line="340" w:lineRule="atLeast"/>
        <w:ind w:left="924" w:hanging="357"/>
        <w:jc w:val="both"/>
        <w:rPr>
          <w:rFonts w:ascii="SimSun" w:eastAsia="SimSun" w:hAnsi="SimSun"/>
          <w:sz w:val="21"/>
          <w:lang w:eastAsia="zh-CN"/>
        </w:rPr>
      </w:pPr>
      <w:r w:rsidRPr="00447125">
        <w:rPr>
          <w:rFonts w:ascii="SimSun" w:eastAsia="SimSun" w:hAnsi="SimSun"/>
          <w:sz w:val="21"/>
          <w:lang w:eastAsia="zh-CN"/>
        </w:rPr>
        <w:t>需要修订的某个领域在分类</w:t>
      </w:r>
      <w:r w:rsidRPr="00447125">
        <w:rPr>
          <w:rFonts w:ascii="SimSun" w:eastAsia="SimSun" w:hAnsi="SimSun" w:hint="eastAsia"/>
          <w:sz w:val="21"/>
          <w:lang w:eastAsia="zh-CN"/>
        </w:rPr>
        <w:t>做法上</w:t>
      </w:r>
      <w:r w:rsidR="00FE3D24" w:rsidRPr="00447125">
        <w:rPr>
          <w:rFonts w:ascii="SimSun" w:eastAsia="SimSun" w:hAnsi="SimSun"/>
          <w:sz w:val="21"/>
          <w:lang w:eastAsia="zh-CN"/>
        </w:rPr>
        <w:t>的差异。</w:t>
      </w:r>
    </w:p>
    <w:p w:rsidR="00FE3D24" w:rsidRPr="00447125" w:rsidRDefault="00FE3D24" w:rsidP="0044712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lang w:eastAsia="zh-CN"/>
        </w:rPr>
      </w:pPr>
      <w:r w:rsidRPr="00447125">
        <w:rPr>
          <w:rFonts w:ascii="SimSun" w:eastAsia="SimSun" w:hAnsi="SimSun"/>
          <w:sz w:val="21"/>
          <w:lang w:eastAsia="zh-CN"/>
        </w:rPr>
        <w:t>以上两个方面也可能影响到将人工智能、机器学习和文本分类等新兴技术用于分类的目的。</w:t>
      </w:r>
    </w:p>
    <w:p w:rsidR="00FE3D24" w:rsidRPr="00447125" w:rsidRDefault="00FE3D24" w:rsidP="00447125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eastAsia="SimSun" w:hAnsi="SimSun"/>
          <w:sz w:val="21"/>
          <w:lang w:eastAsia="zh-CN"/>
        </w:rPr>
      </w:pPr>
      <w:r w:rsidRPr="00447125">
        <w:rPr>
          <w:rFonts w:ascii="SimSun" w:eastAsia="SimSun" w:hAnsi="SimSun"/>
          <w:sz w:val="21"/>
          <w:lang w:eastAsia="zh-CN"/>
        </w:rPr>
        <w:t>随着修订工作变得更加复杂，IPC社群要求提高</w:t>
      </w:r>
      <w:r w:rsidR="00CF2364">
        <w:rPr>
          <w:rFonts w:ascii="SimSun" w:eastAsia="SimSun" w:hAnsi="SimSun" w:hint="eastAsia"/>
          <w:sz w:val="21"/>
          <w:lang w:eastAsia="zh-CN"/>
        </w:rPr>
        <w:t>修订工作</w:t>
      </w:r>
      <w:r w:rsidR="001F71C0" w:rsidRPr="00447125">
        <w:rPr>
          <w:rFonts w:ascii="SimSun" w:eastAsia="SimSun" w:hAnsi="SimSun" w:hint="eastAsia"/>
          <w:sz w:val="21"/>
          <w:lang w:eastAsia="zh-CN"/>
        </w:rPr>
        <w:t>的</w:t>
      </w:r>
      <w:r w:rsidRPr="00447125">
        <w:rPr>
          <w:rFonts w:ascii="SimSun" w:eastAsia="SimSun" w:hAnsi="SimSun"/>
          <w:sz w:val="21"/>
          <w:lang w:eastAsia="zh-CN"/>
        </w:rPr>
        <w:t>效率，除了现行IPC修订路线图中</w:t>
      </w:r>
      <w:r w:rsidR="00551E23" w:rsidRPr="00447125">
        <w:rPr>
          <w:rFonts w:ascii="SimSun" w:eastAsia="SimSun" w:hAnsi="SimSun" w:hint="eastAsia"/>
          <w:sz w:val="21"/>
          <w:lang w:eastAsia="zh-CN"/>
        </w:rPr>
        <w:t>提出</w:t>
      </w:r>
      <w:r w:rsidRPr="00447125">
        <w:rPr>
          <w:rFonts w:ascii="SimSun" w:eastAsia="SimSun" w:hAnsi="SimSun"/>
          <w:sz w:val="21"/>
          <w:lang w:eastAsia="zh-CN"/>
        </w:rPr>
        <w:t>的要素之外，还应当考虑有效地利用工作队/专家组等更灵活、更高效的工作形式。当修订项目的复杂性和/或修订项目的期限需要采取上述工作形式时，IPC修订工作组有权通过上述形式。</w:t>
      </w:r>
    </w:p>
    <w:p w:rsidR="00447125" w:rsidRDefault="00447125" w:rsidP="00447125">
      <w:pPr>
        <w:spacing w:afterLines="50" w:after="120" w:line="340" w:lineRule="atLeast"/>
        <w:ind w:left="5534"/>
        <w:rPr>
          <w:rFonts w:ascii="KaiTi" w:eastAsia="KaiTi" w:hAnsi="KaiTi" w:cs="Arial"/>
          <w:sz w:val="21"/>
          <w:szCs w:val="20"/>
          <w:lang w:eastAsia="zh-CN"/>
        </w:rPr>
      </w:pPr>
    </w:p>
    <w:p w:rsidR="00FE3D24" w:rsidRPr="00447125" w:rsidRDefault="00FE3D24" w:rsidP="00447125">
      <w:pPr>
        <w:spacing w:afterLines="50" w:after="120" w:line="340" w:lineRule="atLeast"/>
        <w:ind w:left="5534"/>
        <w:rPr>
          <w:rFonts w:ascii="KaiTi" w:eastAsia="KaiTi" w:hAnsi="KaiTi" w:cs="Arial"/>
          <w:sz w:val="21"/>
          <w:szCs w:val="20"/>
          <w:lang w:val="en-GB" w:eastAsia="ja-JP"/>
        </w:rPr>
      </w:pPr>
      <w:r w:rsidRPr="00447125">
        <w:rPr>
          <w:rFonts w:ascii="KaiTi" w:eastAsia="KaiTi" w:hAnsi="KaiTi" w:cs="Arial"/>
          <w:sz w:val="21"/>
          <w:szCs w:val="20"/>
        </w:rPr>
        <w:t>[</w:t>
      </w:r>
      <w:r w:rsidR="00461702" w:rsidRPr="00447125">
        <w:rPr>
          <w:rFonts w:ascii="KaiTi" w:eastAsia="KaiTi" w:hAnsi="KaiTi" w:cs="Arial" w:hint="eastAsia"/>
          <w:sz w:val="21"/>
          <w:szCs w:val="20"/>
          <w:lang w:eastAsia="zh-CN"/>
        </w:rPr>
        <w:t>附件三和文件完</w:t>
      </w:r>
      <w:r w:rsidRPr="00447125">
        <w:rPr>
          <w:rFonts w:ascii="KaiTi" w:eastAsia="KaiTi" w:hAnsi="KaiTi" w:cs="Arial"/>
          <w:sz w:val="21"/>
          <w:szCs w:val="20"/>
        </w:rPr>
        <w:t>]</w:t>
      </w:r>
    </w:p>
    <w:sectPr w:rsidR="00FE3D24" w:rsidRPr="00447125" w:rsidSect="00447125">
      <w:headerReference w:type="default" r:id="rId8"/>
      <w:footerReference w:type="default" r:id="rId9"/>
      <w:headerReference w:type="first" r:id="rId10"/>
      <w:pgSz w:w="11900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55B" w:rsidRDefault="008C155B" w:rsidP="00FE3D24">
      <w:r>
        <w:separator/>
      </w:r>
    </w:p>
  </w:endnote>
  <w:endnote w:type="continuationSeparator" w:id="0">
    <w:p w:rsidR="008C155B" w:rsidRDefault="008C155B" w:rsidP="00FE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07F" w:rsidRDefault="00C12054">
    <w:pPr>
      <w:tabs>
        <w:tab w:val="left" w:pos="0"/>
        <w:tab w:val="center" w:pos="4153"/>
        <w:tab w:val="center" w:pos="4816"/>
        <w:tab w:val="right" w:pos="8306"/>
        <w:tab w:val="right" w:pos="9632"/>
      </w:tabs>
      <w:outlineLvl w:val="0"/>
      <w:rPr>
        <w:rFonts w:eastAsia="Arial Unicode MS"/>
        <w:color w:val="00000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55B" w:rsidRDefault="008C155B" w:rsidP="00FE3D24">
      <w:r>
        <w:separator/>
      </w:r>
    </w:p>
  </w:footnote>
  <w:footnote w:type="continuationSeparator" w:id="0">
    <w:p w:rsidR="008C155B" w:rsidRDefault="008C155B" w:rsidP="00FE3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4F8" w:rsidRPr="00447125" w:rsidRDefault="00F60B8D" w:rsidP="007136CB">
    <w:pPr>
      <w:pStyle w:val="Header"/>
      <w:jc w:val="right"/>
      <w:rPr>
        <w:rFonts w:ascii="SimSun" w:eastAsia="SimSun" w:hAnsi="SimSun"/>
        <w:sz w:val="21"/>
        <w:szCs w:val="22"/>
        <w:lang w:val="fr-CH"/>
      </w:rPr>
    </w:pPr>
    <w:r w:rsidRPr="00447125">
      <w:rPr>
        <w:rFonts w:ascii="SimSun" w:eastAsia="SimSun" w:hAnsi="SimSun"/>
        <w:sz w:val="21"/>
        <w:szCs w:val="22"/>
      </w:rPr>
      <w:t>IPC/CE/49/2</w:t>
    </w:r>
  </w:p>
  <w:p w:rsidR="00A024F8" w:rsidRPr="00447125" w:rsidRDefault="00461702" w:rsidP="007136CB">
    <w:pPr>
      <w:pStyle w:val="Header"/>
      <w:jc w:val="right"/>
      <w:rPr>
        <w:rFonts w:ascii="SimSun" w:eastAsia="SimSun" w:hAnsi="SimSun"/>
        <w:sz w:val="21"/>
        <w:szCs w:val="22"/>
        <w:lang w:val="fr-CH" w:eastAsia="zh-CN"/>
      </w:rPr>
    </w:pPr>
    <w:r w:rsidRPr="00447125">
      <w:rPr>
        <w:rFonts w:ascii="SimSun" w:eastAsia="SimSun" w:hAnsi="SimSun" w:hint="eastAsia"/>
        <w:sz w:val="21"/>
        <w:szCs w:val="22"/>
        <w:lang w:eastAsia="zh-CN"/>
      </w:rPr>
      <w:t>附件三第</w:t>
    </w:r>
    <w:r w:rsidR="00F60B8D" w:rsidRPr="00447125">
      <w:rPr>
        <w:rFonts w:ascii="SimSun" w:eastAsia="SimSun" w:hAnsi="SimSun"/>
        <w:sz w:val="21"/>
        <w:szCs w:val="22"/>
      </w:rPr>
      <w:t>2</w:t>
    </w:r>
    <w:r w:rsidRPr="00447125">
      <w:rPr>
        <w:rFonts w:ascii="SimSun" w:eastAsia="SimSun" w:hAnsi="SimSun" w:hint="eastAsia"/>
        <w:sz w:val="21"/>
        <w:szCs w:val="22"/>
        <w:lang w:eastAsia="zh-CN"/>
      </w:rPr>
      <w:t>页</w:t>
    </w:r>
  </w:p>
  <w:p w:rsidR="00A024F8" w:rsidRPr="00447125" w:rsidRDefault="00C12054" w:rsidP="007136CB">
    <w:pPr>
      <w:pStyle w:val="Header"/>
      <w:jc w:val="right"/>
      <w:rPr>
        <w:rFonts w:ascii="SimSun" w:eastAsia="SimSun" w:hAnsi="SimSun"/>
        <w:sz w:val="21"/>
        <w:szCs w:val="22"/>
        <w:lang w:val="fr-CH"/>
      </w:rPr>
    </w:pPr>
  </w:p>
  <w:p w:rsidR="00A024F8" w:rsidRPr="00447125" w:rsidRDefault="00C12054" w:rsidP="007136CB">
    <w:pPr>
      <w:pStyle w:val="Header"/>
      <w:jc w:val="right"/>
      <w:rPr>
        <w:rFonts w:ascii="SimSun" w:eastAsia="SimSun" w:hAnsi="SimSun"/>
        <w:sz w:val="21"/>
        <w:szCs w:val="22"/>
        <w:lang w:val="fr-CH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183" w:rsidRPr="00447125" w:rsidRDefault="00F60B8D" w:rsidP="007136CB">
    <w:pPr>
      <w:pStyle w:val="Header"/>
      <w:jc w:val="right"/>
      <w:rPr>
        <w:rFonts w:ascii="SimSun" w:eastAsia="SimSun" w:hAnsi="SimSun"/>
        <w:sz w:val="21"/>
        <w:szCs w:val="22"/>
        <w:lang w:eastAsia="zh-CN"/>
      </w:rPr>
    </w:pPr>
    <w:r w:rsidRPr="00447125">
      <w:rPr>
        <w:rFonts w:ascii="SimSun" w:eastAsia="SimSun" w:hAnsi="SimSun"/>
        <w:sz w:val="21"/>
        <w:szCs w:val="22"/>
      </w:rPr>
      <w:t>IPC/CE/49/2</w:t>
    </w:r>
  </w:p>
  <w:p w:rsidR="00283183" w:rsidRPr="00447125" w:rsidRDefault="00461702" w:rsidP="007136CB">
    <w:pPr>
      <w:pStyle w:val="Header"/>
      <w:jc w:val="right"/>
      <w:rPr>
        <w:rFonts w:ascii="SimSun" w:eastAsia="SimSun" w:hAnsi="SimSun"/>
        <w:sz w:val="21"/>
        <w:szCs w:val="22"/>
      </w:rPr>
    </w:pPr>
    <w:r w:rsidRPr="00447125">
      <w:rPr>
        <w:rFonts w:ascii="SimSun" w:eastAsia="SimSun" w:hAnsi="SimSun" w:hint="eastAsia"/>
        <w:sz w:val="21"/>
        <w:szCs w:val="22"/>
        <w:lang w:eastAsia="zh-CN"/>
      </w:rPr>
      <w:t>附件三</w:t>
    </w:r>
  </w:p>
  <w:p w:rsidR="00283183" w:rsidRPr="00447125" w:rsidRDefault="00C12054" w:rsidP="007136CB">
    <w:pPr>
      <w:pStyle w:val="Header"/>
      <w:jc w:val="right"/>
      <w:rPr>
        <w:rFonts w:ascii="SimSun" w:eastAsia="SimSun" w:hAnsi="SimSun"/>
        <w:sz w:val="21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8662B47"/>
    <w:multiLevelType w:val="hybridMultilevel"/>
    <w:tmpl w:val="F45C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8A6622"/>
    <w:multiLevelType w:val="hybridMultilevel"/>
    <w:tmpl w:val="DE7272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4CA4AF8"/>
    <w:multiLevelType w:val="hybridMultilevel"/>
    <w:tmpl w:val="9B22F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8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8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6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24"/>
    <w:rsid w:val="000F5E56"/>
    <w:rsid w:val="00184146"/>
    <w:rsid w:val="001876B1"/>
    <w:rsid w:val="001A36F3"/>
    <w:rsid w:val="001F71C0"/>
    <w:rsid w:val="00310E10"/>
    <w:rsid w:val="00431118"/>
    <w:rsid w:val="00447125"/>
    <w:rsid w:val="00461702"/>
    <w:rsid w:val="00465182"/>
    <w:rsid w:val="00551E23"/>
    <w:rsid w:val="005D7374"/>
    <w:rsid w:val="00633284"/>
    <w:rsid w:val="006A2A77"/>
    <w:rsid w:val="006E7E7D"/>
    <w:rsid w:val="006F247C"/>
    <w:rsid w:val="00722399"/>
    <w:rsid w:val="00772461"/>
    <w:rsid w:val="007B240C"/>
    <w:rsid w:val="007B5AB4"/>
    <w:rsid w:val="007D53C7"/>
    <w:rsid w:val="00804DB7"/>
    <w:rsid w:val="008C155B"/>
    <w:rsid w:val="008D4853"/>
    <w:rsid w:val="009D7013"/>
    <w:rsid w:val="00A71A74"/>
    <w:rsid w:val="00C12054"/>
    <w:rsid w:val="00CC3D01"/>
    <w:rsid w:val="00CF2364"/>
    <w:rsid w:val="00D350D9"/>
    <w:rsid w:val="00DC2EE2"/>
    <w:rsid w:val="00E07385"/>
    <w:rsid w:val="00E35AC5"/>
    <w:rsid w:val="00F60B8D"/>
    <w:rsid w:val="00FB741A"/>
    <w:rsid w:val="00FE3D24"/>
    <w:rsid w:val="00FF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3D24"/>
    <w:rPr>
      <w:sz w:val="24"/>
      <w:szCs w:val="24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ascii="Arial" w:eastAsia="SimSun" w:hAnsi="Arial" w:cs="Arial"/>
      <w:b/>
      <w:bCs/>
      <w:caps/>
      <w:kern w:val="32"/>
      <w:sz w:val="2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ascii="Arial" w:eastAsia="SimSun" w:hAnsi="Arial" w:cs="Arial"/>
      <w:bCs/>
      <w:iCs/>
      <w:caps/>
      <w:sz w:val="22"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ascii="Arial" w:eastAsia="SimSun" w:hAnsi="Arial" w:cs="Arial"/>
      <w:bCs/>
      <w:sz w:val="22"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ascii="Arial" w:eastAsia="SimSun" w:hAnsi="Arial" w:cs="Arial"/>
      <w:bCs/>
      <w:i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ascii="Arial" w:hAnsi="Arial" w:cs="Arial"/>
      <w:sz w:val="22"/>
      <w:szCs w:val="20"/>
    </w:r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  <w:rPr>
      <w:rFonts w:ascii="Arial" w:hAnsi="Arial" w:cs="Arial"/>
      <w:sz w:val="22"/>
      <w:szCs w:val="20"/>
    </w:rPr>
  </w:style>
  <w:style w:type="paragraph" w:styleId="Salutation">
    <w:name w:val="Salutation"/>
    <w:basedOn w:val="Normal"/>
    <w:next w:val="Normal"/>
    <w:semiHidden/>
    <w:rsid w:val="00804DB7"/>
    <w:rPr>
      <w:rFonts w:ascii="Arial" w:hAnsi="Arial" w:cs="Arial"/>
      <w:sz w:val="22"/>
      <w:szCs w:val="20"/>
    </w:rPr>
  </w:style>
  <w:style w:type="paragraph" w:styleId="Signature">
    <w:name w:val="Signature"/>
    <w:basedOn w:val="Normal"/>
    <w:semiHidden/>
    <w:rsid w:val="00804DB7"/>
    <w:pPr>
      <w:ind w:left="5250"/>
    </w:pPr>
    <w:rPr>
      <w:rFonts w:ascii="Arial" w:hAnsi="Arial" w:cs="Arial"/>
      <w:sz w:val="22"/>
      <w:szCs w:val="20"/>
    </w:rPr>
  </w:style>
  <w:style w:type="paragraph" w:styleId="FootnoteText">
    <w:name w:val="footnote text"/>
    <w:basedOn w:val="Normal"/>
    <w:semiHidden/>
    <w:rsid w:val="00804DB7"/>
    <w:rPr>
      <w:rFonts w:ascii="Arial" w:hAnsi="Arial" w:cs="Arial"/>
      <w:sz w:val="18"/>
      <w:szCs w:val="20"/>
    </w:rPr>
  </w:style>
  <w:style w:type="paragraph" w:styleId="EndnoteText">
    <w:name w:val="endnote text"/>
    <w:basedOn w:val="Normal"/>
    <w:semiHidden/>
    <w:rsid w:val="00804DB7"/>
    <w:rPr>
      <w:rFonts w:ascii="Arial" w:hAnsi="Arial" w:cs="Arial"/>
      <w:sz w:val="18"/>
      <w:szCs w:val="20"/>
    </w:rPr>
  </w:style>
  <w:style w:type="paragraph" w:styleId="Caption">
    <w:name w:val="caption"/>
    <w:basedOn w:val="Normal"/>
    <w:next w:val="Normal"/>
    <w:qFormat/>
    <w:rsid w:val="00804DB7"/>
    <w:rPr>
      <w:rFonts w:ascii="Arial" w:hAnsi="Arial" w:cs="Arial"/>
      <w:b/>
      <w:bCs/>
      <w:sz w:val="18"/>
      <w:szCs w:val="20"/>
    </w:rPr>
  </w:style>
  <w:style w:type="paragraph" w:styleId="CommentText">
    <w:name w:val="annotation text"/>
    <w:basedOn w:val="Normal"/>
    <w:semiHidden/>
    <w:rsid w:val="00804DB7"/>
    <w:rPr>
      <w:rFonts w:ascii="Arial" w:hAnsi="Arial" w:cs="Arial"/>
      <w:sz w:val="18"/>
      <w:szCs w:val="20"/>
    </w:rPr>
  </w:style>
  <w:style w:type="paragraph" w:styleId="BodyText">
    <w:name w:val="Body Text"/>
    <w:basedOn w:val="Normal"/>
    <w:link w:val="BodyTextChar"/>
    <w:rsid w:val="00804DB7"/>
    <w:pPr>
      <w:spacing w:after="220"/>
    </w:pPr>
    <w:rPr>
      <w:rFonts w:ascii="Arial" w:hAnsi="Arial" w:cs="Arial"/>
      <w:sz w:val="22"/>
      <w:szCs w:val="20"/>
    </w:r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  <w:rPr>
      <w:rFonts w:ascii="Arial" w:hAnsi="Arial" w:cs="Arial"/>
      <w:sz w:val="22"/>
      <w:szCs w:val="20"/>
    </w:rPr>
  </w:style>
  <w:style w:type="character" w:customStyle="1" w:styleId="BodyTextChar">
    <w:name w:val="Body Text Char"/>
    <w:link w:val="BodyText"/>
    <w:rsid w:val="00FE3D24"/>
    <w:rPr>
      <w:rFonts w:ascii="Arial" w:hAnsi="Arial" w:cs="Arial"/>
      <w:sz w:val="22"/>
    </w:rPr>
  </w:style>
  <w:style w:type="character" w:customStyle="1" w:styleId="HeaderChar">
    <w:name w:val="Header Char"/>
    <w:link w:val="Header"/>
    <w:rsid w:val="00FE3D24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E3D24"/>
    <w:rPr>
      <w:sz w:val="24"/>
      <w:szCs w:val="24"/>
    </w:rPr>
  </w:style>
  <w:style w:type="paragraph" w:styleId="Heading1">
    <w:name w:val="heading 1"/>
    <w:basedOn w:val="Normal"/>
    <w:next w:val="Normal"/>
    <w:qFormat/>
    <w:rsid w:val="00804DB7"/>
    <w:pPr>
      <w:keepNext/>
      <w:spacing w:before="240" w:after="60"/>
      <w:outlineLvl w:val="0"/>
    </w:pPr>
    <w:rPr>
      <w:rFonts w:ascii="Arial" w:eastAsia="SimSun" w:hAnsi="Arial" w:cs="Arial"/>
      <w:b/>
      <w:bCs/>
      <w:caps/>
      <w:kern w:val="32"/>
      <w:sz w:val="22"/>
      <w:szCs w:val="32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rFonts w:ascii="Arial" w:eastAsia="SimSun" w:hAnsi="Arial" w:cs="Arial"/>
      <w:bCs/>
      <w:iCs/>
      <w:caps/>
      <w:sz w:val="22"/>
      <w:szCs w:val="28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rFonts w:ascii="Arial" w:eastAsia="SimSun" w:hAnsi="Arial" w:cs="Arial"/>
      <w:bCs/>
      <w:sz w:val="22"/>
      <w:szCs w:val="26"/>
      <w:u w:val="single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rFonts w:ascii="Arial" w:eastAsia="SimSun" w:hAnsi="Arial" w:cs="Arial"/>
      <w:bCs/>
      <w:i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  <w:rPr>
      <w:rFonts w:ascii="Arial" w:hAnsi="Arial" w:cs="Arial"/>
      <w:sz w:val="22"/>
      <w:szCs w:val="20"/>
    </w:r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  <w:rPr>
      <w:rFonts w:ascii="Arial" w:hAnsi="Arial" w:cs="Arial"/>
      <w:sz w:val="22"/>
      <w:szCs w:val="20"/>
    </w:rPr>
  </w:style>
  <w:style w:type="paragraph" w:styleId="Salutation">
    <w:name w:val="Salutation"/>
    <w:basedOn w:val="Normal"/>
    <w:next w:val="Normal"/>
    <w:semiHidden/>
    <w:rsid w:val="00804DB7"/>
    <w:rPr>
      <w:rFonts w:ascii="Arial" w:hAnsi="Arial" w:cs="Arial"/>
      <w:sz w:val="22"/>
      <w:szCs w:val="20"/>
    </w:rPr>
  </w:style>
  <w:style w:type="paragraph" w:styleId="Signature">
    <w:name w:val="Signature"/>
    <w:basedOn w:val="Normal"/>
    <w:semiHidden/>
    <w:rsid w:val="00804DB7"/>
    <w:pPr>
      <w:ind w:left="5250"/>
    </w:pPr>
    <w:rPr>
      <w:rFonts w:ascii="Arial" w:hAnsi="Arial" w:cs="Arial"/>
      <w:sz w:val="22"/>
      <w:szCs w:val="20"/>
    </w:rPr>
  </w:style>
  <w:style w:type="paragraph" w:styleId="FootnoteText">
    <w:name w:val="footnote text"/>
    <w:basedOn w:val="Normal"/>
    <w:semiHidden/>
    <w:rsid w:val="00804DB7"/>
    <w:rPr>
      <w:rFonts w:ascii="Arial" w:hAnsi="Arial" w:cs="Arial"/>
      <w:sz w:val="18"/>
      <w:szCs w:val="20"/>
    </w:rPr>
  </w:style>
  <w:style w:type="paragraph" w:styleId="EndnoteText">
    <w:name w:val="endnote text"/>
    <w:basedOn w:val="Normal"/>
    <w:semiHidden/>
    <w:rsid w:val="00804DB7"/>
    <w:rPr>
      <w:rFonts w:ascii="Arial" w:hAnsi="Arial" w:cs="Arial"/>
      <w:sz w:val="18"/>
      <w:szCs w:val="20"/>
    </w:rPr>
  </w:style>
  <w:style w:type="paragraph" w:styleId="Caption">
    <w:name w:val="caption"/>
    <w:basedOn w:val="Normal"/>
    <w:next w:val="Normal"/>
    <w:qFormat/>
    <w:rsid w:val="00804DB7"/>
    <w:rPr>
      <w:rFonts w:ascii="Arial" w:hAnsi="Arial" w:cs="Arial"/>
      <w:b/>
      <w:bCs/>
      <w:sz w:val="18"/>
      <w:szCs w:val="20"/>
    </w:rPr>
  </w:style>
  <w:style w:type="paragraph" w:styleId="CommentText">
    <w:name w:val="annotation text"/>
    <w:basedOn w:val="Normal"/>
    <w:semiHidden/>
    <w:rsid w:val="00804DB7"/>
    <w:rPr>
      <w:rFonts w:ascii="Arial" w:hAnsi="Arial" w:cs="Arial"/>
      <w:sz w:val="18"/>
      <w:szCs w:val="20"/>
    </w:rPr>
  </w:style>
  <w:style w:type="paragraph" w:styleId="BodyText">
    <w:name w:val="Body Text"/>
    <w:basedOn w:val="Normal"/>
    <w:link w:val="BodyTextChar"/>
    <w:rsid w:val="00804DB7"/>
    <w:pPr>
      <w:spacing w:after="220"/>
    </w:pPr>
    <w:rPr>
      <w:rFonts w:ascii="Arial" w:hAnsi="Arial" w:cs="Arial"/>
      <w:sz w:val="22"/>
      <w:szCs w:val="20"/>
    </w:r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  <w:rPr>
      <w:rFonts w:ascii="Arial" w:hAnsi="Arial" w:cs="Arial"/>
      <w:sz w:val="22"/>
      <w:szCs w:val="20"/>
    </w:rPr>
  </w:style>
  <w:style w:type="character" w:customStyle="1" w:styleId="BodyTextChar">
    <w:name w:val="Body Text Char"/>
    <w:link w:val="BodyText"/>
    <w:rsid w:val="00FE3D24"/>
    <w:rPr>
      <w:rFonts w:ascii="Arial" w:hAnsi="Arial" w:cs="Arial"/>
      <w:sz w:val="22"/>
    </w:rPr>
  </w:style>
  <w:style w:type="character" w:customStyle="1" w:styleId="HeaderChar">
    <w:name w:val="Header Char"/>
    <w:link w:val="Header"/>
    <w:rsid w:val="00FE3D24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1151</Words>
  <Characters>96</Characters>
  <Application>Microsoft Office Word</Application>
  <DocSecurity>4</DocSecurity>
  <Lines>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IPC/CE/49/2, Report, Annex III - Renewal of the IPC Revision Roadmap , 49th Session IPC Committee of Experts</vt:lpstr>
    </vt:vector>
  </TitlesOfParts>
  <Company>World Intellectual Property Organization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IPC/CE/49/2, Report, Annex III - Renewal of the IPC Revision Roadmap , 49th Session IPC Committee of Experts</dc:title>
  <dc:subject>Renewal of the IPC Revision Roadmap , 49th Session IPC Committee of Experts (IPC Union), February 22 and 23, 2017</dc:subject>
  <dc:creator>WIPO</dc:creator>
  <cp:keywords>IPC</cp:keywords>
  <cp:lastModifiedBy>MALANGA SALAZAR Isabelle</cp:lastModifiedBy>
  <cp:revision>2</cp:revision>
  <cp:lastPrinted>2017-02-28T09:45:00Z</cp:lastPrinted>
  <dcterms:created xsi:type="dcterms:W3CDTF">2017-04-10T12:26:00Z</dcterms:created>
  <dcterms:modified xsi:type="dcterms:W3CDTF">2017-04-10T12:26:00Z</dcterms:modified>
</cp:coreProperties>
</file>