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1202FA" w:rsidRPr="00787390" w:rsidTr="00A8118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202FA" w:rsidRPr="00787390" w:rsidRDefault="001202FA" w:rsidP="00A81183">
            <w:pPr>
              <w:jc w:val="both"/>
            </w:pPr>
            <w:bookmarkStart w:id="0" w:name="_GoBack"/>
            <w:bookmarkEnd w:id="0"/>
            <w:r w:rsidRPr="00787390">
              <w:rPr>
                <w:rFonts w:hint="eastAsia"/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3238D550" wp14:editId="495C313C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02FA" w:rsidRPr="00787390" w:rsidRDefault="001202FA" w:rsidP="00A8118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02FA" w:rsidRPr="00787390" w:rsidRDefault="001202FA" w:rsidP="00A81183">
            <w:pPr>
              <w:jc w:val="right"/>
            </w:pPr>
            <w:r w:rsidRPr="00787390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1202FA" w:rsidRPr="00787390" w:rsidTr="00A8118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202FA" w:rsidRPr="00787390" w:rsidRDefault="001202FA" w:rsidP="002F64A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CE</w:t>
            </w:r>
            <w:r w:rsidR="002F64A4">
              <w:rPr>
                <w:rFonts w:ascii="Arial Black" w:hAnsi="Arial Black" w:hint="eastAsia"/>
                <w:caps/>
                <w:sz w:val="15"/>
              </w:rPr>
              <w:t>L</w:t>
            </w:r>
            <w:r w:rsidRPr="00787390">
              <w:rPr>
                <w:rFonts w:ascii="Arial Black" w:hAnsi="Arial Black" w:hint="eastAsia"/>
                <w:caps/>
                <w:sz w:val="15"/>
              </w:rPr>
              <w:t>/</w:t>
            </w:r>
            <w:r w:rsidR="002F64A4">
              <w:rPr>
                <w:rFonts w:ascii="Arial Black" w:hAnsi="Arial Black" w:hint="eastAsia"/>
                <w:caps/>
                <w:sz w:val="15"/>
              </w:rPr>
              <w:t>13</w:t>
            </w:r>
            <w:r w:rsidRPr="00787390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1" w:name="Code"/>
            <w:bookmarkEnd w:id="1"/>
            <w:r w:rsidR="003820BC"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1202FA" w:rsidRPr="00787390" w:rsidTr="00A8118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202FA" w:rsidRPr="00787390" w:rsidRDefault="001202FA" w:rsidP="00A8118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1202FA" w:rsidRPr="00787390" w:rsidTr="00A8118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202FA" w:rsidRPr="00787390" w:rsidRDefault="001202FA" w:rsidP="00042B9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78739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 w:rsidR="00042B9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3820B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12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3820BC">
              <w:rPr>
                <w:rFonts w:ascii="Arial Black" w:eastAsia="SimHei" w:hAnsi="Arial Black" w:hint="eastAsia"/>
                <w:b/>
                <w:sz w:val="15"/>
                <w:szCs w:val="15"/>
              </w:rPr>
              <w:t>22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1202FA" w:rsidRPr="00787390" w:rsidRDefault="001202FA" w:rsidP="001202FA"/>
    <w:p w:rsidR="001202FA" w:rsidRPr="00787390" w:rsidRDefault="001202FA" w:rsidP="001202FA"/>
    <w:p w:rsidR="001202FA" w:rsidRPr="00787390" w:rsidRDefault="001202FA" w:rsidP="001202FA"/>
    <w:p w:rsidR="001202FA" w:rsidRPr="00787390" w:rsidRDefault="001202FA" w:rsidP="001202FA"/>
    <w:p w:rsidR="001202FA" w:rsidRPr="00787390" w:rsidRDefault="001202FA" w:rsidP="001202FA"/>
    <w:p w:rsidR="001202FA" w:rsidRDefault="00E950C9" w:rsidP="00CD4F06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工业品外观设计</w:t>
      </w:r>
      <w:r w:rsidR="001202FA" w:rsidRPr="00787390">
        <w:rPr>
          <w:rFonts w:ascii="SimHei" w:eastAsia="SimHei" w:hint="eastAsia"/>
          <w:sz w:val="28"/>
          <w:szCs w:val="28"/>
        </w:rPr>
        <w:t>国际分类专门联盟</w:t>
      </w:r>
      <w:r>
        <w:rPr>
          <w:rFonts w:ascii="SimHei" w:eastAsia="SimHei" w:hint="eastAsia"/>
          <w:sz w:val="28"/>
          <w:szCs w:val="28"/>
        </w:rPr>
        <w:t>（洛迦诺</w:t>
      </w:r>
      <w:r w:rsidR="001202FA" w:rsidRPr="00787390">
        <w:rPr>
          <w:rFonts w:ascii="SimHei" w:eastAsia="SimHei" w:hint="eastAsia"/>
          <w:sz w:val="28"/>
          <w:szCs w:val="28"/>
        </w:rPr>
        <w:t>联盟</w:t>
      </w:r>
      <w:r>
        <w:rPr>
          <w:rFonts w:ascii="SimHei" w:eastAsia="SimHei" w:hint="eastAsia"/>
          <w:sz w:val="28"/>
          <w:szCs w:val="28"/>
        </w:rPr>
        <w:t>）</w:t>
      </w:r>
    </w:p>
    <w:p w:rsidR="00CD4F06" w:rsidRDefault="00CD4F06" w:rsidP="00CD4F06"/>
    <w:p w:rsidR="00CD4F06" w:rsidRPr="00CD4F06" w:rsidRDefault="00CD4F06" w:rsidP="00CD4F06"/>
    <w:p w:rsidR="001202FA" w:rsidRPr="00787390" w:rsidRDefault="001202FA" w:rsidP="00CD4F06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专家委员会</w:t>
      </w:r>
    </w:p>
    <w:p w:rsidR="001202FA" w:rsidRPr="00CD4F06" w:rsidRDefault="001202FA" w:rsidP="001202FA"/>
    <w:p w:rsidR="001202FA" w:rsidRPr="00CD4F06" w:rsidRDefault="001202FA" w:rsidP="001202FA"/>
    <w:p w:rsidR="001202FA" w:rsidRPr="00787390" w:rsidRDefault="001202FA" w:rsidP="001202FA">
      <w:pPr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十</w:t>
      </w:r>
      <w:r w:rsidR="00E950C9">
        <w:rPr>
          <w:rFonts w:ascii="KaiTi" w:eastAsia="KaiTi" w:hint="eastAsia"/>
          <w:b/>
          <w:sz w:val="24"/>
          <w:szCs w:val="24"/>
        </w:rPr>
        <w:t>三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1202FA" w:rsidRPr="00787390" w:rsidRDefault="001202FA" w:rsidP="001202FA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787390">
        <w:rPr>
          <w:rFonts w:ascii="KaiTi" w:eastAsia="KaiTi" w:hAnsi="KaiTi" w:hint="eastAsia"/>
          <w:sz w:val="24"/>
          <w:szCs w:val="24"/>
        </w:rPr>
        <w:t>201</w:t>
      </w:r>
      <w:r w:rsidR="00E950C9">
        <w:rPr>
          <w:rFonts w:ascii="KaiTi" w:eastAsia="KaiTi" w:hAnsi="KaiTi" w:hint="eastAsia"/>
          <w:sz w:val="24"/>
          <w:szCs w:val="24"/>
        </w:rPr>
        <w:t>7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 w:rsidR="00E950C9">
        <w:rPr>
          <w:rFonts w:ascii="KaiTi" w:eastAsia="KaiTi" w:hAnsi="KaiTi" w:hint="eastAsia"/>
          <w:sz w:val="24"/>
          <w:szCs w:val="24"/>
        </w:rPr>
        <w:t>11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</w:t>
      </w:r>
      <w:r w:rsidR="00E950C9">
        <w:rPr>
          <w:rFonts w:ascii="KaiTi" w:eastAsia="KaiTi" w:hAnsi="KaiTi" w:hint="eastAsia"/>
          <w:sz w:val="24"/>
          <w:szCs w:val="24"/>
        </w:rPr>
        <w:t>7</w:t>
      </w:r>
      <w:r w:rsidRPr="00787390">
        <w:rPr>
          <w:rFonts w:ascii="KaiTi" w:eastAsia="KaiTi" w:hAnsi="KaiTi" w:hint="eastAsia"/>
          <w:b/>
          <w:sz w:val="24"/>
          <w:szCs w:val="24"/>
        </w:rPr>
        <w:t>日至</w:t>
      </w:r>
      <w:r w:rsidR="00E950C9">
        <w:rPr>
          <w:rFonts w:ascii="KaiTi" w:eastAsia="KaiTi" w:hAnsi="KaiTi" w:hint="eastAsia"/>
          <w:sz w:val="24"/>
          <w:szCs w:val="24"/>
        </w:rPr>
        <w:t>12</w:t>
      </w:r>
      <w:r w:rsidR="00E950C9" w:rsidRPr="00E950C9">
        <w:rPr>
          <w:rFonts w:ascii="KaiTi" w:eastAsia="KaiTi" w:hAnsi="KaiTi" w:hint="eastAsia"/>
          <w:b/>
          <w:sz w:val="24"/>
          <w:szCs w:val="24"/>
        </w:rPr>
        <w:t>月</w:t>
      </w:r>
      <w:r w:rsidR="00E950C9">
        <w:rPr>
          <w:rFonts w:ascii="KaiTi" w:eastAsia="KaiTi" w:hAnsi="KaiTi" w:hint="eastAsia"/>
          <w:sz w:val="24"/>
          <w:szCs w:val="24"/>
        </w:rPr>
        <w:t>1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1202FA" w:rsidRPr="00787390" w:rsidRDefault="001202FA" w:rsidP="001202FA"/>
    <w:p w:rsidR="001202FA" w:rsidRPr="00787390" w:rsidRDefault="001202FA" w:rsidP="001202FA"/>
    <w:p w:rsidR="001202FA" w:rsidRPr="00787390" w:rsidRDefault="001202FA" w:rsidP="001202FA"/>
    <w:p w:rsidR="001202FA" w:rsidRPr="00787390" w:rsidRDefault="003820BC" w:rsidP="001202FA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5946EA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1202FA" w:rsidRPr="00CD4F06" w:rsidRDefault="001202FA" w:rsidP="001202FA"/>
    <w:p w:rsidR="001202FA" w:rsidRPr="00BD59E3" w:rsidRDefault="001C1E20" w:rsidP="001202FA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bookmarkEnd w:id="5"/>
      <w:r>
        <w:rPr>
          <w:rFonts w:ascii="KaiTi" w:eastAsia="KaiTi" w:hAnsi="KaiTi" w:cs="Times New Roman" w:hint="eastAsia"/>
          <w:kern w:val="2"/>
          <w:sz w:val="21"/>
          <w:szCs w:val="24"/>
        </w:rPr>
        <w:t>经专</w:t>
      </w:r>
      <w:r w:rsidR="003820BC">
        <w:rPr>
          <w:rFonts w:ascii="KaiTi" w:eastAsia="KaiTi" w:hAnsi="KaiTi" w:cs="Times New Roman" w:hint="eastAsia"/>
          <w:kern w:val="2"/>
          <w:sz w:val="21"/>
          <w:szCs w:val="24"/>
        </w:rPr>
        <w:t>家委员会通过</w:t>
      </w:r>
    </w:p>
    <w:p w:rsidR="001202FA" w:rsidRPr="00CD4F06" w:rsidRDefault="001202FA" w:rsidP="001202FA"/>
    <w:p w:rsidR="001202FA" w:rsidRPr="00CD4F06" w:rsidRDefault="001202FA" w:rsidP="001202FA"/>
    <w:p w:rsidR="001202FA" w:rsidRPr="00CD4F06" w:rsidRDefault="001202FA" w:rsidP="001202FA"/>
    <w:p w:rsidR="001202FA" w:rsidRPr="00CD4F06" w:rsidRDefault="001202FA" w:rsidP="001202FA"/>
    <w:p w:rsidR="000530A7" w:rsidRPr="00CC7C32" w:rsidRDefault="000530A7" w:rsidP="000530A7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CC7C32">
        <w:rPr>
          <w:rFonts w:ascii="SimHei" w:eastAsia="SimHei" w:hAnsi="SimHei" w:hint="eastAsia"/>
          <w:b w:val="0"/>
          <w:sz w:val="21"/>
        </w:rPr>
        <w:t>导</w:t>
      </w:r>
      <w:r>
        <w:rPr>
          <w:rFonts w:ascii="SimHei" w:eastAsia="SimHei" w:hAnsi="SimHei" w:hint="eastAsia"/>
          <w:b w:val="0"/>
          <w:sz w:val="21"/>
        </w:rPr>
        <w:t xml:space="preserve">　</w:t>
      </w:r>
      <w:r w:rsidRPr="00CC7C32">
        <w:rPr>
          <w:rFonts w:ascii="SimHei" w:eastAsia="SimHei" w:hAnsi="SimHei" w:hint="eastAsia"/>
          <w:b w:val="0"/>
          <w:sz w:val="21"/>
        </w:rPr>
        <w:t>言</w:t>
      </w:r>
    </w:p>
    <w:p w:rsidR="000530A7" w:rsidRPr="000530A7" w:rsidRDefault="000530A7" w:rsidP="000530A7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 w:cs="Arial"/>
          <w:sz w:val="21"/>
          <w:szCs w:val="20"/>
          <w:lang w:eastAsia="zh-CN"/>
        </w:rPr>
      </w:pPr>
      <w:r>
        <w:rPr>
          <w:rFonts w:ascii="SimSun" w:hAnsi="SimSun" w:cs="Arial" w:hint="eastAsia"/>
          <w:sz w:val="21"/>
          <w:szCs w:val="20"/>
          <w:lang w:eastAsia="zh-CN"/>
        </w:rPr>
        <w:t>洛迦诺联盟专家委员会（下称“委员会”）于2017年11月27日至12月1日在日内瓦举行了第十三届会议。委员会下列成员出席了会议：</w:t>
      </w:r>
      <w:r w:rsidR="00A00A1B" w:rsidRPr="00A00A1B">
        <w:rPr>
          <w:rFonts w:ascii="SimSun" w:hAnsi="SimSun" w:hint="eastAsia"/>
          <w:sz w:val="21"/>
          <w:lang w:eastAsia="zh-CN"/>
        </w:rPr>
        <w:t>大韩民国、丹麦、德国、俄罗斯联邦、法国、荷兰、</w:t>
      </w:r>
      <w:r w:rsidRPr="00A00A1B">
        <w:rPr>
          <w:rFonts w:ascii="SimSun" w:hAnsi="SimSun" w:hint="eastAsia"/>
          <w:sz w:val="21"/>
          <w:lang w:eastAsia="zh-CN"/>
        </w:rPr>
        <w:t>捷克共和国、</w:t>
      </w:r>
      <w:r w:rsidR="00A00A1B" w:rsidRPr="00A00A1B">
        <w:rPr>
          <w:rFonts w:ascii="SimSun" w:hAnsi="SimSun" w:hint="eastAsia"/>
          <w:sz w:val="21"/>
          <w:lang w:eastAsia="zh-CN"/>
        </w:rPr>
        <w:t>克罗地亚、联合王国、罗马尼亚、挪威、波兰、日本、瑞典、瑞士、西班牙、</w:t>
      </w:r>
      <w:r w:rsidRPr="00A00A1B">
        <w:rPr>
          <w:rFonts w:ascii="SimSun" w:hAnsi="SimSun" w:hint="eastAsia"/>
          <w:sz w:val="21"/>
          <w:lang w:eastAsia="zh-CN"/>
        </w:rPr>
        <w:t>希腊、匈牙利、意大利和</w:t>
      </w:r>
      <w:r w:rsidR="00A00A1B" w:rsidRPr="00A00A1B">
        <w:rPr>
          <w:rFonts w:ascii="SimSun" w:hAnsi="SimSun" w:hint="eastAsia"/>
          <w:sz w:val="21"/>
          <w:lang w:eastAsia="zh-CN"/>
        </w:rPr>
        <w:t>中国</w:t>
      </w:r>
      <w:r w:rsidRPr="000530A7">
        <w:rPr>
          <w:rFonts w:ascii="SimSun" w:hAnsi="SimSun" w:hint="eastAsia"/>
          <w:sz w:val="21"/>
          <w:lang w:eastAsia="zh-CN"/>
        </w:rPr>
        <w:t>（20</w:t>
      </w:r>
      <w:r>
        <w:rPr>
          <w:rFonts w:ascii="SimSun" w:hAnsi="SimSun" w:hint="eastAsia"/>
          <w:sz w:val="21"/>
          <w:lang w:eastAsia="zh-CN"/>
        </w:rPr>
        <w:t>个</w:t>
      </w:r>
      <w:r w:rsidRPr="000530A7">
        <w:rPr>
          <w:rFonts w:ascii="SimSun" w:hAnsi="SimSun" w:hint="eastAsia"/>
          <w:sz w:val="21"/>
          <w:lang w:eastAsia="zh-CN"/>
        </w:rPr>
        <w:t>）</w:t>
      </w:r>
      <w:r w:rsidRPr="000530A7">
        <w:rPr>
          <w:rFonts w:ascii="SimSun" w:hAnsi="SimSun" w:cs="Arial" w:hint="eastAsia"/>
          <w:sz w:val="21"/>
          <w:szCs w:val="20"/>
          <w:lang w:eastAsia="zh-CN"/>
        </w:rPr>
        <w:t>。下列国家派观察员出席了会议：</w:t>
      </w:r>
      <w:r w:rsidR="00A00A1B">
        <w:rPr>
          <w:rFonts w:ascii="SimSun" w:hAnsi="SimSun" w:cs="Arial" w:hint="eastAsia"/>
          <w:sz w:val="21"/>
          <w:szCs w:val="20"/>
          <w:lang w:eastAsia="zh-CN"/>
        </w:rPr>
        <w:t>美利坚合众国</w:t>
      </w:r>
      <w:r w:rsidRPr="000530A7">
        <w:rPr>
          <w:rFonts w:ascii="SimSun" w:hAnsi="SimSun" w:cs="Arial" w:hint="eastAsia"/>
          <w:sz w:val="21"/>
          <w:szCs w:val="20"/>
          <w:lang w:eastAsia="zh-CN"/>
        </w:rPr>
        <w:t>、沙特阿拉伯</w:t>
      </w:r>
      <w:r>
        <w:rPr>
          <w:rFonts w:ascii="SimSun" w:hAnsi="SimSun" w:cs="Arial" w:hint="eastAsia"/>
          <w:sz w:val="21"/>
          <w:szCs w:val="20"/>
          <w:lang w:eastAsia="zh-CN"/>
        </w:rPr>
        <w:t>、</w:t>
      </w:r>
      <w:r w:rsidRPr="000530A7">
        <w:rPr>
          <w:rFonts w:ascii="SimSun" w:hAnsi="SimSun" w:cs="Arial" w:hint="eastAsia"/>
          <w:sz w:val="21"/>
          <w:szCs w:val="20"/>
          <w:lang w:eastAsia="zh-CN"/>
        </w:rPr>
        <w:t>泰国</w:t>
      </w:r>
      <w:r>
        <w:rPr>
          <w:rFonts w:ascii="SimSun" w:hAnsi="SimSun" w:cs="Arial" w:hint="eastAsia"/>
          <w:sz w:val="21"/>
          <w:szCs w:val="20"/>
          <w:lang w:eastAsia="zh-CN"/>
        </w:rPr>
        <w:t>和</w:t>
      </w:r>
      <w:r w:rsidR="00A00A1B">
        <w:rPr>
          <w:rFonts w:ascii="SimSun" w:hAnsi="SimSun" w:cs="Arial" w:hint="eastAsia"/>
          <w:sz w:val="21"/>
          <w:szCs w:val="20"/>
          <w:lang w:eastAsia="zh-CN"/>
        </w:rPr>
        <w:t>以色列</w:t>
      </w:r>
      <w:r w:rsidRPr="000530A7">
        <w:rPr>
          <w:rFonts w:ascii="SimSun" w:hAnsi="SimSun" w:cs="Arial" w:hint="eastAsia"/>
          <w:sz w:val="21"/>
          <w:szCs w:val="20"/>
          <w:lang w:eastAsia="zh-CN"/>
        </w:rPr>
        <w:t>（4个）。下列国际政府间组织的代表以观察员身份参加了会议：比荷卢知识产权局（BOIP）和欧洲联盟（欧盟）。下列非政府组织的代表以观察员身份参加了会议：</w:t>
      </w:r>
      <w:r w:rsidRPr="000530A7">
        <w:rPr>
          <w:rFonts w:ascii="SimSun" w:hAnsi="SimSun" w:hint="eastAsia"/>
          <w:sz w:val="21"/>
          <w:lang w:eastAsia="zh-CN"/>
        </w:rPr>
        <w:t>专利信息用户群联合会（CEPIUG）。与会者名单见本报告附件一。</w:t>
      </w:r>
    </w:p>
    <w:p w:rsidR="000530A7" w:rsidRDefault="000530A7" w:rsidP="000530A7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 w:cs="Arial"/>
          <w:sz w:val="21"/>
          <w:szCs w:val="20"/>
          <w:lang w:eastAsia="zh-CN"/>
        </w:rPr>
      </w:pPr>
      <w:r w:rsidRPr="00C04156">
        <w:rPr>
          <w:rFonts w:ascii="SimSun" w:hAnsi="SimSun" w:cs="Arial" w:hint="eastAsia"/>
          <w:sz w:val="21"/>
          <w:szCs w:val="20"/>
          <w:lang w:eastAsia="zh-CN"/>
        </w:rPr>
        <w:t>会议由</w:t>
      </w:r>
      <w:r>
        <w:rPr>
          <w:rFonts w:ascii="SimSun" w:hAnsi="SimSun" w:cs="Arial" w:hint="eastAsia"/>
          <w:sz w:val="21"/>
          <w:szCs w:val="20"/>
          <w:lang w:eastAsia="zh-CN"/>
        </w:rPr>
        <w:t>产权组织</w:t>
      </w:r>
      <w:r w:rsidRPr="00C04156">
        <w:rPr>
          <w:rFonts w:ascii="SimSun" w:hAnsi="SimSun" w:cs="Arial" w:hint="eastAsia"/>
          <w:sz w:val="21"/>
          <w:szCs w:val="20"/>
          <w:lang w:eastAsia="zh-CN"/>
        </w:rPr>
        <w:t>国际分类与标准司司长伏见邦彦先生宣布开幕</w:t>
      </w:r>
      <w:r>
        <w:rPr>
          <w:rFonts w:ascii="SimSun" w:hAnsi="SimSun" w:cs="Arial" w:hint="eastAsia"/>
          <w:sz w:val="21"/>
          <w:szCs w:val="20"/>
          <w:lang w:eastAsia="zh-CN"/>
        </w:rPr>
        <w:t>，他代表总干事欢迎各位与会</w:t>
      </w:r>
      <w:r w:rsidR="0043246C">
        <w:rPr>
          <w:rFonts w:ascii="SimSun" w:hAnsi="SimSun" w:cs="Arial" w:hint="eastAsia"/>
          <w:sz w:val="21"/>
          <w:szCs w:val="20"/>
          <w:lang w:eastAsia="zh-CN"/>
        </w:rPr>
        <w:t>‍</w:t>
      </w:r>
      <w:r>
        <w:rPr>
          <w:rFonts w:ascii="SimSun" w:hAnsi="SimSun" w:cs="Arial" w:hint="eastAsia"/>
          <w:sz w:val="21"/>
          <w:szCs w:val="20"/>
          <w:lang w:eastAsia="zh-CN"/>
        </w:rPr>
        <w:t>者。</w:t>
      </w:r>
    </w:p>
    <w:p w:rsidR="000530A7" w:rsidRPr="00CC7C32" w:rsidRDefault="000530A7" w:rsidP="0043246C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1B07AE">
        <w:rPr>
          <w:rFonts w:ascii="SimHei" w:eastAsia="SimHei" w:hAnsi="SimHei" w:hint="eastAsia"/>
          <w:b w:val="0"/>
          <w:sz w:val="21"/>
        </w:rPr>
        <w:t>主席团成员</w:t>
      </w:r>
    </w:p>
    <w:p w:rsidR="00B875F1" w:rsidRPr="00B875F1" w:rsidRDefault="00B875F1" w:rsidP="005D5306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 w:cs="Arial"/>
          <w:sz w:val="21"/>
          <w:szCs w:val="20"/>
          <w:lang w:eastAsia="zh-CN"/>
        </w:rPr>
      </w:pPr>
      <w:r w:rsidRPr="00B875F1">
        <w:rPr>
          <w:rFonts w:ascii="SimSun" w:hAnsi="SimSun" w:hint="eastAsia"/>
          <w:sz w:val="21"/>
          <w:lang w:eastAsia="zh-CN"/>
        </w:rPr>
        <w:t>委员会一致选举</w:t>
      </w:r>
      <w:r w:rsidR="004A52EE">
        <w:rPr>
          <w:rFonts w:ascii="SimSun" w:hAnsi="SimSun" w:hint="eastAsia"/>
          <w:sz w:val="21"/>
          <w:lang w:eastAsia="zh-CN"/>
        </w:rPr>
        <w:t>玛丽–</w:t>
      </w:r>
      <w:r w:rsidR="004A52EE" w:rsidRPr="004A52EE">
        <w:rPr>
          <w:rFonts w:ascii="SimSun" w:hAnsi="SimSun" w:hint="eastAsia"/>
          <w:sz w:val="21"/>
          <w:lang w:eastAsia="zh-CN"/>
        </w:rPr>
        <w:t>路易丝</w:t>
      </w:r>
      <w:r w:rsidR="004A52EE">
        <w:rPr>
          <w:rFonts w:ascii="SimSun" w:hAnsi="SimSun" w:hint="eastAsia"/>
          <w:sz w:val="21"/>
          <w:lang w:eastAsia="zh-CN"/>
        </w:rPr>
        <w:t>·</w:t>
      </w:r>
      <w:r w:rsidR="0043246C" w:rsidRPr="0043246C">
        <w:rPr>
          <w:rFonts w:ascii="SimSun" w:hAnsi="SimSun" w:hint="eastAsia"/>
          <w:sz w:val="21"/>
          <w:lang w:eastAsia="zh-CN"/>
        </w:rPr>
        <w:t>奥勒</w:t>
      </w:r>
      <w:r>
        <w:rPr>
          <w:rFonts w:ascii="SimSun" w:hAnsi="SimSun" w:hint="eastAsia"/>
          <w:sz w:val="21"/>
          <w:lang w:eastAsia="zh-CN"/>
        </w:rPr>
        <w:t>女士</w:t>
      </w:r>
      <w:r w:rsidR="000530A7" w:rsidRPr="00B875F1">
        <w:rPr>
          <w:rFonts w:ascii="SimSun" w:hAnsi="SimSun" w:hint="eastAsia"/>
          <w:sz w:val="21"/>
          <w:lang w:eastAsia="zh-CN"/>
        </w:rPr>
        <w:t>（</w:t>
      </w:r>
      <w:r w:rsidRPr="00B875F1">
        <w:rPr>
          <w:rFonts w:ascii="SimSun" w:hAnsi="SimSun" w:hint="eastAsia"/>
          <w:sz w:val="21"/>
          <w:lang w:eastAsia="zh-CN"/>
        </w:rPr>
        <w:t>瑞典</w:t>
      </w:r>
      <w:r w:rsidR="000530A7" w:rsidRPr="00B875F1">
        <w:rPr>
          <w:rFonts w:ascii="SimSun" w:hAnsi="SimSun" w:hint="eastAsia"/>
          <w:sz w:val="21"/>
          <w:lang w:eastAsia="zh-CN"/>
        </w:rPr>
        <w:t>）担任主席，</w:t>
      </w:r>
      <w:r w:rsidR="004A52EE" w:rsidRPr="004A52EE">
        <w:rPr>
          <w:rFonts w:ascii="SimSun" w:hAnsi="SimSun" w:hint="eastAsia"/>
          <w:sz w:val="21"/>
          <w:lang w:eastAsia="zh-CN"/>
        </w:rPr>
        <w:t>安德烈娅</w:t>
      </w:r>
      <w:r w:rsidR="004A52EE">
        <w:rPr>
          <w:rFonts w:ascii="SimSun" w:hAnsi="SimSun" w:hint="eastAsia"/>
          <w:sz w:val="21"/>
          <w:lang w:eastAsia="zh-CN"/>
        </w:rPr>
        <w:t>·</w:t>
      </w:r>
      <w:r w:rsidR="004A52EE" w:rsidRPr="004A52EE">
        <w:rPr>
          <w:rFonts w:ascii="SimSun" w:hAnsi="SimSun" w:hint="eastAsia"/>
          <w:sz w:val="21"/>
          <w:lang w:eastAsia="zh-CN"/>
        </w:rPr>
        <w:t>科尔迪奇</w:t>
      </w:r>
      <w:r w:rsidR="000530A7" w:rsidRPr="00B875F1">
        <w:rPr>
          <w:rFonts w:ascii="SimSun" w:hAnsi="SimSun" w:hint="eastAsia"/>
          <w:sz w:val="21"/>
          <w:lang w:eastAsia="zh-CN"/>
        </w:rPr>
        <w:t>女士（</w:t>
      </w:r>
      <w:r>
        <w:rPr>
          <w:rFonts w:ascii="SimSun" w:hAnsi="SimSun" w:hint="eastAsia"/>
          <w:sz w:val="21"/>
          <w:lang w:eastAsia="zh-CN"/>
        </w:rPr>
        <w:t>克罗地亚</w:t>
      </w:r>
      <w:r w:rsidR="000530A7" w:rsidRPr="00B875F1">
        <w:rPr>
          <w:rFonts w:ascii="SimSun" w:hAnsi="SimSun" w:hint="eastAsia"/>
          <w:sz w:val="21"/>
          <w:lang w:eastAsia="zh-CN"/>
        </w:rPr>
        <w:t>）和</w:t>
      </w:r>
      <w:proofErr w:type="spellStart"/>
      <w:r w:rsidRPr="005D5306">
        <w:rPr>
          <w:rFonts w:ascii="SimSun" w:hAnsi="SimSun" w:hint="eastAsia"/>
          <w:sz w:val="21"/>
          <w:lang w:eastAsia="zh-CN"/>
        </w:rPr>
        <w:t>Kosuke</w:t>
      </w:r>
      <w:proofErr w:type="spellEnd"/>
      <w:r w:rsidRPr="005D5306">
        <w:rPr>
          <w:rFonts w:ascii="SimSun" w:hAnsi="SimSun" w:hint="eastAsia"/>
          <w:sz w:val="21"/>
          <w:lang w:eastAsia="zh-CN"/>
        </w:rPr>
        <w:t xml:space="preserve"> </w:t>
      </w:r>
      <w:proofErr w:type="spellStart"/>
      <w:r w:rsidRPr="005D5306">
        <w:rPr>
          <w:rFonts w:ascii="SimSun" w:hAnsi="SimSun" w:hint="eastAsia"/>
          <w:sz w:val="21"/>
          <w:lang w:eastAsia="zh-CN"/>
        </w:rPr>
        <w:t>Omagari</w:t>
      </w:r>
      <w:proofErr w:type="spellEnd"/>
      <w:r w:rsidRPr="00B875F1">
        <w:rPr>
          <w:rFonts w:ascii="SimSun" w:hAnsi="SimSun" w:hint="eastAsia"/>
          <w:sz w:val="21"/>
          <w:lang w:eastAsia="zh-CN"/>
        </w:rPr>
        <w:t>先生</w:t>
      </w:r>
      <w:r w:rsidR="000530A7" w:rsidRPr="00B875F1">
        <w:rPr>
          <w:rFonts w:ascii="SimSun" w:hAnsi="SimSun" w:hint="eastAsia"/>
          <w:sz w:val="21"/>
          <w:lang w:eastAsia="zh-CN"/>
        </w:rPr>
        <w:t>（</w:t>
      </w:r>
      <w:r>
        <w:rPr>
          <w:rFonts w:ascii="SimSun" w:hAnsi="SimSun" w:hint="eastAsia"/>
          <w:sz w:val="21"/>
          <w:lang w:eastAsia="zh-CN"/>
        </w:rPr>
        <w:t>日本</w:t>
      </w:r>
      <w:r w:rsidR="000530A7" w:rsidRPr="00B875F1">
        <w:rPr>
          <w:rFonts w:ascii="SimSun" w:hAnsi="SimSun" w:hint="eastAsia"/>
          <w:sz w:val="21"/>
          <w:lang w:eastAsia="zh-CN"/>
        </w:rPr>
        <w:t>）担任副主席。</w:t>
      </w:r>
    </w:p>
    <w:p w:rsidR="000530A7" w:rsidRDefault="000530A7" w:rsidP="000530A7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 w:cs="Arial"/>
          <w:sz w:val="21"/>
          <w:szCs w:val="20"/>
          <w:lang w:eastAsia="zh-CN"/>
        </w:rPr>
      </w:pPr>
      <w:r>
        <w:rPr>
          <w:rFonts w:ascii="SimSun" w:hAnsi="SimSun" w:cs="Arial" w:hint="eastAsia"/>
          <w:sz w:val="21"/>
          <w:szCs w:val="20"/>
          <w:lang w:eastAsia="zh-CN"/>
        </w:rPr>
        <w:t>贝尔基丝·</w:t>
      </w:r>
      <w:r w:rsidRPr="00A04206">
        <w:rPr>
          <w:rFonts w:ascii="SimSun" w:hAnsi="SimSun" w:cs="Arial" w:hint="eastAsia"/>
          <w:sz w:val="21"/>
          <w:szCs w:val="20"/>
          <w:lang w:eastAsia="zh-CN"/>
        </w:rPr>
        <w:t>法瓦</w:t>
      </w:r>
      <w:r>
        <w:rPr>
          <w:rFonts w:ascii="SimSun" w:hAnsi="SimSun" w:cs="Arial" w:hint="eastAsia"/>
          <w:sz w:val="21"/>
          <w:szCs w:val="20"/>
          <w:lang w:eastAsia="zh-CN"/>
        </w:rPr>
        <w:t>女士（产权组织）担任会议秘书。</w:t>
      </w:r>
    </w:p>
    <w:p w:rsidR="000530A7" w:rsidRPr="00CC7C32" w:rsidRDefault="000530A7" w:rsidP="0043246C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CC7C32">
        <w:rPr>
          <w:rFonts w:ascii="SimHei" w:eastAsia="SimHei" w:hAnsi="SimHei" w:hint="eastAsia"/>
          <w:b w:val="0"/>
          <w:sz w:val="21"/>
        </w:rPr>
        <w:lastRenderedPageBreak/>
        <w:t>通过议程</w:t>
      </w:r>
    </w:p>
    <w:p w:rsidR="000530A7" w:rsidRPr="001D089C" w:rsidRDefault="000530A7" w:rsidP="0017069A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Chars="257" w:left="565" w:firstLine="0"/>
        <w:contextualSpacing w:val="0"/>
        <w:jc w:val="both"/>
        <w:rPr>
          <w:rFonts w:ascii="SimSun" w:hAnsi="SimSun" w:cs="Arial"/>
          <w:sz w:val="21"/>
          <w:szCs w:val="20"/>
          <w:lang w:eastAsia="zh-CN"/>
        </w:rPr>
      </w:pPr>
      <w:r w:rsidRPr="001D089C">
        <w:rPr>
          <w:rFonts w:ascii="SimSun" w:hAnsi="SimSun" w:cs="Arial" w:hint="eastAsia"/>
          <w:sz w:val="21"/>
          <w:szCs w:val="20"/>
          <w:lang w:eastAsia="zh-CN"/>
        </w:rPr>
        <w:t>委员会一致通过了议程，见本报告附件二。</w:t>
      </w:r>
    </w:p>
    <w:p w:rsidR="000530A7" w:rsidRPr="00CC7C32" w:rsidRDefault="000530A7" w:rsidP="0043246C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1B07AE">
        <w:rPr>
          <w:rFonts w:ascii="SimHei" w:eastAsia="SimHei" w:hAnsi="SimHei" w:hint="eastAsia"/>
          <w:b w:val="0"/>
          <w:sz w:val="21"/>
        </w:rPr>
        <w:t>讨论、结论和决定</w:t>
      </w:r>
    </w:p>
    <w:p w:rsidR="000530A7" w:rsidRPr="007F5AF8" w:rsidRDefault="000530A7" w:rsidP="000530A7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0"/>
          <w:lang w:eastAsia="zh-CN"/>
        </w:rPr>
      </w:pPr>
      <w:r w:rsidRPr="007F5AF8"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依照1979年9月24日至10月2日召开的</w:t>
      </w:r>
      <w:r>
        <w:rPr>
          <w:rFonts w:ascii="SimSun" w:hAnsi="SimSun" w:cs="Arial" w:hint="eastAsia"/>
          <w:sz w:val="21"/>
          <w:szCs w:val="20"/>
          <w:lang w:eastAsia="zh-CN"/>
        </w:rPr>
        <w:t>产权组织</w:t>
      </w:r>
      <w:r w:rsidRPr="007F5AF8"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领导机构第十届系列会议的决定（见文件AB/X/32第51</w:t>
      </w:r>
      <w:r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段</w:t>
      </w:r>
      <w:r w:rsidRPr="007F5AF8"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和</w:t>
      </w:r>
      <w:r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第</w:t>
      </w:r>
      <w:r w:rsidRPr="007F5AF8"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52段），本届会议的报告仅反映委员会的各项结论（决定、建议、方案等），尤其不反映任何与会者的发言，除非是在委员会得出结论后，就委员会任一具体结论所表示或重申的保留意见。</w:t>
      </w:r>
    </w:p>
    <w:p w:rsidR="000530A7" w:rsidRPr="00401878" w:rsidRDefault="00013907" w:rsidP="0043246C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>
        <w:rPr>
          <w:rFonts w:ascii="SimHei" w:eastAsia="SimHei" w:hAnsi="SimHei" w:hint="eastAsia"/>
          <w:b w:val="0"/>
          <w:sz w:val="21"/>
        </w:rPr>
        <w:t>通过</w:t>
      </w:r>
      <w:r w:rsidR="00852F93" w:rsidRPr="00852F93">
        <w:rPr>
          <w:rFonts w:ascii="SimHei" w:eastAsia="SimHei" w:hAnsi="SimHei" w:hint="eastAsia"/>
          <w:b w:val="0"/>
          <w:sz w:val="21"/>
        </w:rPr>
        <w:t>对洛迦诺分类第十一版进行修正和补充的</w:t>
      </w:r>
      <w:r>
        <w:rPr>
          <w:rFonts w:ascii="SimHei" w:eastAsia="SimHei" w:hAnsi="SimHei" w:hint="eastAsia"/>
          <w:b w:val="0"/>
          <w:sz w:val="21"/>
        </w:rPr>
        <w:t>程序</w:t>
      </w:r>
    </w:p>
    <w:p w:rsidR="00013907" w:rsidRDefault="00013907" w:rsidP="000530A7">
      <w:pPr>
        <w:pStyle w:val="ListParagraph"/>
        <w:numPr>
          <w:ilvl w:val="0"/>
          <w:numId w:val="39"/>
        </w:numPr>
        <w:overflowPunct w:val="0"/>
        <w:spacing w:afterLines="50" w:after="120" w:line="340" w:lineRule="atLeast"/>
        <w:contextualSpacing w:val="0"/>
        <w:jc w:val="both"/>
        <w:rPr>
          <w:rFonts w:asciiTheme="minorEastAsia" w:eastAsiaTheme="minorEastAsia" w:hAnsiTheme="minorEastAsia" w:cs="Arial"/>
          <w:sz w:val="21"/>
          <w:szCs w:val="20"/>
          <w:lang w:eastAsia="zh-CN"/>
        </w:rPr>
      </w:pPr>
      <w:r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讨论基于的谅解是：</w:t>
      </w:r>
    </w:p>
    <w:p w:rsidR="00013907" w:rsidRDefault="00013907" w:rsidP="00013907">
      <w:pPr>
        <w:pStyle w:val="ListParagraph"/>
        <w:numPr>
          <w:ilvl w:val="0"/>
          <w:numId w:val="40"/>
        </w:numPr>
        <w:overflowPunct w:val="0"/>
        <w:spacing w:afterLines="50" w:after="120" w:line="340" w:lineRule="atLeast"/>
        <w:contextualSpacing w:val="0"/>
        <w:jc w:val="both"/>
        <w:rPr>
          <w:rFonts w:asciiTheme="minorEastAsia" w:eastAsiaTheme="minorEastAsia" w:hAnsiTheme="minorEastAsia" w:cs="Arial"/>
          <w:sz w:val="21"/>
          <w:szCs w:val="20"/>
          <w:lang w:eastAsia="zh-CN"/>
        </w:rPr>
      </w:pPr>
      <w:r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对于洛迦诺分类（下称“分类”）进行修正和补充不造成商品从一个</w:t>
      </w:r>
      <w:r w:rsidR="00496B8E"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大</w:t>
      </w:r>
      <w:r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类</w:t>
      </w:r>
      <w:r w:rsidR="00496B8E"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转移</w:t>
      </w:r>
      <w:r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至另一个</w:t>
      </w:r>
      <w:r w:rsidR="00496B8E"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大</w:t>
      </w:r>
      <w:r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类的，依《洛迦诺协议》第3条第(4)款须洛迦诺联盟国家的简单多数。</w:t>
      </w:r>
    </w:p>
    <w:p w:rsidR="000530A7" w:rsidRPr="00013907" w:rsidRDefault="00013907" w:rsidP="00013907">
      <w:pPr>
        <w:pStyle w:val="ListParagraph"/>
        <w:numPr>
          <w:ilvl w:val="0"/>
          <w:numId w:val="40"/>
        </w:numPr>
        <w:overflowPunct w:val="0"/>
        <w:spacing w:afterLines="50" w:after="120" w:line="340" w:lineRule="atLeast"/>
        <w:contextualSpacing w:val="0"/>
        <w:jc w:val="both"/>
        <w:rPr>
          <w:rFonts w:asciiTheme="minorEastAsia" w:eastAsiaTheme="minorEastAsia" w:hAnsiTheme="minorEastAsia" w:cs="Arial"/>
          <w:sz w:val="21"/>
          <w:szCs w:val="20"/>
          <w:lang w:eastAsia="zh-CN"/>
        </w:rPr>
      </w:pPr>
      <w:r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对于商品从一个</w:t>
      </w:r>
      <w:r w:rsidR="00496B8E"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大</w:t>
      </w:r>
      <w:r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类</w:t>
      </w:r>
      <w:r w:rsidR="00496B8E"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转移</w:t>
      </w:r>
      <w:r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至另一个</w:t>
      </w:r>
      <w:r w:rsidR="00496B8E"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大</w:t>
      </w:r>
      <w:r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类的，依</w:t>
      </w:r>
      <w:r w:rsidR="00496B8E"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相同</w:t>
      </w:r>
      <w:r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第3条第(4)款须洛迦诺联盟国家</w:t>
      </w:r>
      <w:r w:rsidR="00496B8E"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一致同意。</w:t>
      </w:r>
    </w:p>
    <w:p w:rsidR="00496B8E" w:rsidRPr="009A5A14" w:rsidRDefault="000530A7" w:rsidP="00496B8E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0"/>
          <w:lang w:eastAsia="zh-CN"/>
        </w:rPr>
      </w:pPr>
      <w:r w:rsidRPr="00C618ED"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委员会</w:t>
      </w:r>
      <w:r w:rsidR="00496B8E"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注意到，依《洛迦诺协议》第3条第(6)款规定，未出席会议或者</w:t>
      </w:r>
      <w:r w:rsidR="00496B8E" w:rsidRPr="00496B8E">
        <w:rPr>
          <w:rFonts w:asciiTheme="minorEastAsia" w:eastAsiaTheme="minorEastAsia" w:hAnsiTheme="minorEastAsia" w:hint="eastAsia"/>
          <w:sz w:val="21"/>
          <w:lang w:eastAsia="zh-CN"/>
        </w:rPr>
        <w:t>在会议期间或委员会议事规则</w:t>
      </w:r>
      <w:r w:rsidR="00496B8E">
        <w:rPr>
          <w:rFonts w:asciiTheme="minorEastAsia" w:eastAsiaTheme="minorEastAsia" w:hAnsiTheme="minorEastAsia" w:hint="eastAsia"/>
          <w:sz w:val="21"/>
          <w:lang w:eastAsia="zh-CN"/>
        </w:rPr>
        <w:t>所</w:t>
      </w:r>
      <w:r w:rsidR="00496B8E" w:rsidRPr="00496B8E">
        <w:rPr>
          <w:rFonts w:asciiTheme="minorEastAsia" w:eastAsiaTheme="minorEastAsia" w:hAnsiTheme="minorEastAsia" w:hint="eastAsia"/>
          <w:sz w:val="21"/>
          <w:lang w:eastAsia="zh-CN"/>
        </w:rPr>
        <w:t>规定</w:t>
      </w:r>
      <w:r w:rsidR="00496B8E">
        <w:rPr>
          <w:rFonts w:asciiTheme="minorEastAsia" w:eastAsiaTheme="minorEastAsia" w:hAnsiTheme="minorEastAsia" w:hint="eastAsia"/>
          <w:sz w:val="21"/>
          <w:lang w:eastAsia="zh-CN"/>
        </w:rPr>
        <w:t>的</w:t>
      </w:r>
      <w:r w:rsidR="00496B8E" w:rsidRPr="00496B8E">
        <w:rPr>
          <w:rFonts w:asciiTheme="minorEastAsia" w:eastAsiaTheme="minorEastAsia" w:hAnsiTheme="minorEastAsia" w:hint="eastAsia"/>
          <w:sz w:val="21"/>
          <w:lang w:eastAsia="zh-CN"/>
        </w:rPr>
        <w:t>期间未参加投票</w:t>
      </w:r>
      <w:r w:rsidR="00496B8E">
        <w:rPr>
          <w:rFonts w:asciiTheme="minorEastAsia" w:eastAsiaTheme="minorEastAsia" w:hAnsiTheme="minorEastAsia" w:cs="Arial" w:hint="eastAsia"/>
          <w:sz w:val="21"/>
          <w:szCs w:val="20"/>
          <w:lang w:eastAsia="zh-CN"/>
        </w:rPr>
        <w:t>的联盟国家视为</w:t>
      </w:r>
      <w:r w:rsidR="00496B8E" w:rsidRPr="00496B8E">
        <w:rPr>
          <w:rFonts w:asciiTheme="minorEastAsia" w:eastAsiaTheme="minorEastAsia" w:hAnsiTheme="minorEastAsia" w:hint="eastAsia"/>
          <w:sz w:val="21"/>
          <w:lang w:eastAsia="zh-CN"/>
        </w:rPr>
        <w:t>已接受委员会的决定。</w:t>
      </w:r>
    </w:p>
    <w:p w:rsidR="009A5A14" w:rsidRDefault="009A5A14" w:rsidP="0043246C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9A5A14">
        <w:rPr>
          <w:rFonts w:ascii="SimHei" w:eastAsia="SimHei" w:hAnsi="SimHei" w:hint="eastAsia"/>
          <w:b w:val="0"/>
          <w:sz w:val="21"/>
        </w:rPr>
        <w:t>审议对洛迦诺分类第十一版进行修正和补充的建议</w:t>
      </w:r>
    </w:p>
    <w:p w:rsidR="009A5A14" w:rsidRPr="00015E60" w:rsidRDefault="00015E60" w:rsidP="005D5306">
      <w:pPr>
        <w:keepNext/>
        <w:overflowPunct w:val="0"/>
        <w:spacing w:beforeLines="100" w:before="240" w:afterLines="50" w:after="120" w:line="340" w:lineRule="atLeast"/>
        <w:jc w:val="both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(a) </w:t>
      </w:r>
      <w:r w:rsidR="005D5306">
        <w:rPr>
          <w:rFonts w:asciiTheme="minorEastAsia" w:eastAsiaTheme="minorEastAsia" w:hAnsiTheme="minorEastAsia" w:hint="eastAsia"/>
          <w:b/>
          <w:sz w:val="21"/>
          <w:szCs w:val="21"/>
        </w:rPr>
        <w:tab/>
      </w:r>
      <w:r w:rsidR="009A5A14" w:rsidRPr="00015E60">
        <w:rPr>
          <w:rFonts w:asciiTheme="minorEastAsia" w:eastAsiaTheme="minorEastAsia" w:hAnsiTheme="minorEastAsia" w:hint="eastAsia"/>
          <w:b/>
          <w:sz w:val="21"/>
          <w:szCs w:val="21"/>
        </w:rPr>
        <w:t>各项建议</w:t>
      </w:r>
    </w:p>
    <w:p w:rsidR="009A5A14" w:rsidRPr="007F5AF8" w:rsidRDefault="009A5A14" w:rsidP="009A5A14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讨论依据项目</w:t>
      </w:r>
      <w:hyperlink r:id="rId9" w:history="1">
        <w:r>
          <w:rPr>
            <w:rStyle w:val="Hyperlink"/>
            <w:rFonts w:asciiTheme="minorEastAsia" w:eastAsiaTheme="minorEastAsia" w:hAnsiTheme="minorEastAsia" w:cs="Arial" w:hint="eastAsia"/>
            <w:sz w:val="21"/>
            <w:szCs w:val="21"/>
            <w:lang w:eastAsia="zh-CN"/>
          </w:rPr>
          <w:t>LO132</w:t>
        </w:r>
      </w:hyperlink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、</w:t>
      </w:r>
      <w:r w:rsidR="00164A29">
        <w:fldChar w:fldCharType="begin"/>
      </w:r>
      <w:r w:rsidR="00164A29">
        <w:instrText xml:space="preserve"> HYPERLINK "https://www3.wipo.int/nef/nef-projects/lo132/lo132-a01_ibva.pdf" </w:instrText>
      </w:r>
      <w:r w:rsidR="00164A29">
        <w:fldChar w:fldCharType="separate"/>
      </w:r>
      <w:r w:rsidRPr="007F5AF8">
        <w:rPr>
          <w:rStyle w:val="Hyperlink"/>
          <w:rFonts w:asciiTheme="minorEastAsia" w:eastAsiaTheme="minorEastAsia" w:hAnsiTheme="minorEastAsia" w:cs="Arial" w:hint="eastAsia"/>
          <w:sz w:val="21"/>
          <w:szCs w:val="21"/>
          <w:lang w:eastAsia="zh-CN"/>
        </w:rPr>
        <w:t>附件1</w:t>
      </w:r>
      <w:r w:rsidR="00164A29">
        <w:rPr>
          <w:rStyle w:val="Hyperlink"/>
          <w:rFonts w:asciiTheme="minorEastAsia" w:eastAsiaTheme="minorEastAsia" w:hAnsiTheme="minorEastAsia" w:cs="Arial"/>
          <w:sz w:val="21"/>
          <w:szCs w:val="21"/>
          <w:lang w:eastAsia="zh-CN"/>
        </w:rPr>
        <w:fldChar w:fldCharType="end"/>
      </w: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进行，其中载有</w:t>
      </w:r>
      <w:r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修正和补充</w:t>
      </w: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分类</w:t>
      </w:r>
      <w:r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当前版本</w:t>
      </w:r>
      <w:r w:rsidR="00015E60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（</w:t>
      </w:r>
      <w:r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第十一版</w:t>
      </w:r>
      <w:r w:rsidR="00015E60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）</w:t>
      </w: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的提案一览</w:t>
      </w:r>
      <w:r w:rsidR="005D5306">
        <w:rPr>
          <w:rFonts w:ascii="SimSun" w:hAnsi="SimSun" w:cs="Arial" w:hint="eastAsia"/>
          <w:sz w:val="21"/>
          <w:szCs w:val="20"/>
          <w:lang w:eastAsia="zh-CN"/>
        </w:rPr>
        <w:t>‍</w:t>
      </w: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表。</w:t>
      </w:r>
    </w:p>
    <w:p w:rsidR="009A5A14" w:rsidRPr="00015E60" w:rsidRDefault="00015E60" w:rsidP="0017069A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Chars="257" w:left="565" w:firstLine="2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委员会通过了显著数量的分类修改。委员会的决定可见电子论坛的项目</w:t>
      </w:r>
      <w:r w:rsidR="00164A29">
        <w:fldChar w:fldCharType="begin"/>
      </w:r>
      <w:r w:rsidR="00164A29">
        <w:instrText xml:space="preserve"> HYPERLINK "https://www3.wipo.int/nef/public/locarno/en/project/1645/LO130" </w:instrText>
      </w:r>
      <w:r w:rsidR="00164A29">
        <w:fldChar w:fldCharType="separate"/>
      </w:r>
      <w:r w:rsidRPr="00015E60">
        <w:rPr>
          <w:rStyle w:val="Hyperlink"/>
          <w:rFonts w:asciiTheme="minorEastAsia" w:eastAsiaTheme="minorEastAsia" w:hAnsiTheme="minorEastAsia" w:cs="Arial" w:hint="eastAsia"/>
          <w:sz w:val="21"/>
          <w:szCs w:val="21"/>
          <w:lang w:eastAsia="zh-CN"/>
        </w:rPr>
        <w:t>LO130</w:t>
      </w:r>
      <w:r w:rsidR="00164A29">
        <w:rPr>
          <w:rStyle w:val="Hyperlink"/>
          <w:rFonts w:asciiTheme="minorEastAsia" w:eastAsiaTheme="minorEastAsia" w:hAnsiTheme="minorEastAsia" w:cs="Arial"/>
          <w:sz w:val="21"/>
          <w:szCs w:val="21"/>
          <w:lang w:eastAsia="zh-CN"/>
        </w:rPr>
        <w:fldChar w:fldCharType="end"/>
      </w: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。</w:t>
      </w:r>
    </w:p>
    <w:p w:rsidR="009A5A14" w:rsidRPr="00015E60" w:rsidRDefault="00015E60" w:rsidP="005D5306">
      <w:pPr>
        <w:keepNext/>
        <w:overflowPunct w:val="0"/>
        <w:spacing w:beforeLines="100" w:before="240" w:afterLines="50" w:after="120" w:line="340" w:lineRule="atLeast"/>
        <w:jc w:val="both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(b) </w:t>
      </w:r>
      <w:r w:rsidR="005D5306">
        <w:rPr>
          <w:rFonts w:asciiTheme="minorEastAsia" w:eastAsiaTheme="minorEastAsia" w:hAnsiTheme="minorEastAsia" w:hint="eastAsia"/>
          <w:b/>
          <w:sz w:val="21"/>
          <w:szCs w:val="21"/>
        </w:rPr>
        <w:tab/>
      </w:r>
      <w:r w:rsidR="009A5A14" w:rsidRPr="00015E60">
        <w:rPr>
          <w:rFonts w:asciiTheme="minorEastAsia" w:eastAsiaTheme="minorEastAsia" w:hAnsiTheme="minorEastAsia" w:hint="eastAsia"/>
          <w:b/>
          <w:sz w:val="21"/>
          <w:szCs w:val="21"/>
        </w:rPr>
        <w:t>与创设新小类相关的修改</w:t>
      </w:r>
    </w:p>
    <w:p w:rsidR="0044211E" w:rsidRDefault="00015E60" w:rsidP="00015E60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讨论依据</w:t>
      </w:r>
      <w:r w:rsidR="0044211E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法国、西班牙和瑞典提交的</w:t>
      </w: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项目</w:t>
      </w:r>
      <w:hyperlink r:id="rId10" w:history="1">
        <w:r>
          <w:rPr>
            <w:rStyle w:val="Hyperlink"/>
            <w:rFonts w:asciiTheme="minorEastAsia" w:eastAsiaTheme="minorEastAsia" w:hAnsiTheme="minorEastAsia" w:cs="Arial" w:hint="eastAsia"/>
            <w:sz w:val="21"/>
            <w:szCs w:val="21"/>
            <w:lang w:eastAsia="zh-CN"/>
          </w:rPr>
          <w:t>LO132</w:t>
        </w:r>
      </w:hyperlink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、</w:t>
      </w:r>
      <w:r w:rsidR="00164A29">
        <w:fldChar w:fldCharType="begin"/>
      </w:r>
      <w:r w:rsidR="00164A29">
        <w:instrText xml:space="preserve"> HYPERLINK "https://www3.wipo.int/nef/nef-projects/lo132/lo132-a09_iban.pdf" </w:instrText>
      </w:r>
      <w:r w:rsidR="00164A29">
        <w:fldChar w:fldCharType="separate"/>
      </w:r>
      <w:r w:rsidRPr="007F5AF8">
        <w:rPr>
          <w:rStyle w:val="Hyperlink"/>
          <w:rFonts w:asciiTheme="minorEastAsia" w:eastAsiaTheme="minorEastAsia" w:hAnsiTheme="minorEastAsia" w:cs="Arial" w:hint="eastAsia"/>
          <w:sz w:val="21"/>
          <w:szCs w:val="21"/>
          <w:lang w:eastAsia="zh-CN"/>
        </w:rPr>
        <w:t>附件</w:t>
      </w:r>
      <w:r w:rsidR="0044211E">
        <w:rPr>
          <w:rStyle w:val="Hyperlink"/>
          <w:rFonts w:asciiTheme="minorEastAsia" w:eastAsiaTheme="minorEastAsia" w:hAnsiTheme="minorEastAsia" w:cs="Arial" w:hint="eastAsia"/>
          <w:sz w:val="21"/>
          <w:szCs w:val="21"/>
          <w:lang w:eastAsia="zh-CN"/>
        </w:rPr>
        <w:t>2 Rev.</w:t>
      </w:r>
      <w:r w:rsidR="00164A29">
        <w:rPr>
          <w:rStyle w:val="Hyperlink"/>
          <w:rFonts w:asciiTheme="minorEastAsia" w:eastAsiaTheme="minorEastAsia" w:hAnsiTheme="minorEastAsia" w:cs="Arial"/>
          <w:sz w:val="21"/>
          <w:szCs w:val="21"/>
          <w:lang w:eastAsia="zh-CN"/>
        </w:rPr>
        <w:fldChar w:fldCharType="end"/>
      </w:r>
      <w:r w:rsidR="0044211E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和中国提交的</w:t>
      </w:r>
      <w:r w:rsidR="00164A29">
        <w:fldChar w:fldCharType="begin"/>
      </w:r>
      <w:r w:rsidR="00164A29">
        <w:instrText xml:space="preserve"> HYPERLINK "https://www3.wipo.int/nef/nef-projects/lo132/lo13</w:instrText>
      </w:r>
      <w:r w:rsidR="00164A29">
        <w:instrText xml:space="preserve">2-a03_ibcr.pdf" </w:instrText>
      </w:r>
      <w:r w:rsidR="00164A29">
        <w:fldChar w:fldCharType="separate"/>
      </w:r>
      <w:r w:rsidR="0044211E" w:rsidRPr="0044211E">
        <w:rPr>
          <w:rStyle w:val="Hyperlink"/>
          <w:rFonts w:asciiTheme="minorEastAsia" w:eastAsiaTheme="minorEastAsia" w:hAnsiTheme="minorEastAsia" w:cs="Arial" w:hint="eastAsia"/>
          <w:sz w:val="21"/>
          <w:szCs w:val="21"/>
          <w:lang w:eastAsia="zh-CN"/>
        </w:rPr>
        <w:t>附件3</w:t>
      </w:r>
      <w:r w:rsidR="00164A29">
        <w:rPr>
          <w:rStyle w:val="Hyperlink"/>
          <w:rFonts w:asciiTheme="minorEastAsia" w:eastAsiaTheme="minorEastAsia" w:hAnsiTheme="minorEastAsia" w:cs="Arial"/>
          <w:sz w:val="21"/>
          <w:szCs w:val="21"/>
          <w:lang w:eastAsia="zh-CN"/>
        </w:rPr>
        <w:fldChar w:fldCharType="end"/>
      </w:r>
      <w:r w:rsidR="0044211E"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进行</w:t>
      </w:r>
      <w:r w:rsidR="0044211E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。</w:t>
      </w:r>
      <w:hyperlink r:id="rId11" w:history="1">
        <w:r w:rsidR="0044211E" w:rsidRPr="0044211E">
          <w:rPr>
            <w:rStyle w:val="Hyperlink"/>
            <w:rFonts w:asciiTheme="minorEastAsia" w:eastAsiaTheme="minorEastAsia" w:hAnsiTheme="minorEastAsia" w:cs="Arial" w:hint="eastAsia"/>
            <w:sz w:val="21"/>
            <w:szCs w:val="21"/>
            <w:lang w:eastAsia="zh-CN"/>
          </w:rPr>
          <w:t>附件2</w:t>
        </w:r>
      </w:hyperlink>
      <w:r w:rsidR="0044211E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中的提案旨在在不同大类中创设一定数量新的小类，并把</w:t>
      </w:r>
      <w:r w:rsidR="0044211E" w:rsidRPr="005D5306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第99小类</w:t>
      </w:r>
      <w:r w:rsidR="00A00A1B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“杂项”</w:t>
      </w:r>
      <w:r w:rsidR="0044211E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中有类似特点的商品移到新的小类或已有的小类中。</w:t>
      </w:r>
      <w:hyperlink r:id="rId12" w:history="1">
        <w:r w:rsidR="0044211E" w:rsidRPr="0044211E">
          <w:rPr>
            <w:rStyle w:val="Hyperlink"/>
            <w:rFonts w:asciiTheme="minorEastAsia" w:eastAsiaTheme="minorEastAsia" w:hAnsiTheme="minorEastAsia" w:cs="Arial" w:hint="eastAsia"/>
            <w:sz w:val="21"/>
            <w:szCs w:val="21"/>
            <w:lang w:eastAsia="zh-CN"/>
          </w:rPr>
          <w:t>附件3</w:t>
        </w:r>
      </w:hyperlink>
      <w:r w:rsidR="0044211E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中的提案遵照类似的形式，但</w:t>
      </w:r>
      <w:r w:rsidR="0044211E" w:rsidRPr="005D5306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第23类</w:t>
      </w:r>
      <w:r w:rsidR="0044211E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除外，即</w:t>
      </w:r>
      <w:r w:rsidR="0044211E" w:rsidRPr="005D5306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第02小类</w:t>
      </w:r>
      <w:r w:rsidR="0044211E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中有关的</w:t>
      </w:r>
      <w:r w:rsidR="005E0645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成组</w:t>
      </w:r>
      <w:r w:rsidR="0044211E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类似商品</w:t>
      </w:r>
      <w:r w:rsidR="005E0645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。</w:t>
      </w:r>
    </w:p>
    <w:p w:rsidR="00015E60" w:rsidRDefault="00015E60" w:rsidP="0017069A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Chars="257" w:left="565" w:firstLine="2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015E60">
        <w:rPr>
          <w:rFonts w:asciiTheme="minorEastAsia" w:eastAsiaTheme="minorEastAsia" w:hAnsiTheme="minorEastAsia" w:hint="eastAsia"/>
          <w:sz w:val="21"/>
          <w:szCs w:val="21"/>
          <w:lang w:eastAsia="zh-CN"/>
        </w:rPr>
        <w:t>委员会通过了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一定</w:t>
      </w:r>
      <w:r w:rsidRPr="00015E60">
        <w:rPr>
          <w:rFonts w:asciiTheme="minorEastAsia" w:eastAsiaTheme="minorEastAsia" w:hAnsiTheme="minorEastAsia" w:hint="eastAsia"/>
          <w:sz w:val="21"/>
          <w:szCs w:val="21"/>
          <w:lang w:eastAsia="zh-CN"/>
        </w:rPr>
        <w:t>数量的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修正和补充</w:t>
      </w:r>
      <w:r w:rsidRPr="00015E60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。委员会的决定可见电子论坛的项目</w:t>
      </w:r>
      <w:hyperlink r:id="rId13" w:history="1">
        <w:r w:rsidRPr="00015E60">
          <w:rPr>
            <w:rStyle w:val="Hyperlink"/>
            <w:rFonts w:asciiTheme="minorEastAsia" w:eastAsiaTheme="minorEastAsia" w:hAnsiTheme="minorEastAsia" w:cs="Arial" w:hint="eastAsia"/>
            <w:sz w:val="21"/>
            <w:szCs w:val="21"/>
            <w:lang w:eastAsia="zh-CN"/>
          </w:rPr>
          <w:t>LO130</w:t>
        </w:r>
      </w:hyperlink>
      <w:r w:rsidRPr="00015E60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。</w:t>
      </w:r>
    </w:p>
    <w:p w:rsidR="00015E60" w:rsidRPr="00015E60" w:rsidRDefault="00015E60" w:rsidP="005D5306">
      <w:pPr>
        <w:keepNext/>
        <w:overflowPunct w:val="0"/>
        <w:spacing w:beforeLines="100" w:before="240" w:afterLines="50" w:after="120" w:line="340" w:lineRule="atLeast"/>
        <w:jc w:val="both"/>
        <w:rPr>
          <w:rFonts w:asciiTheme="minorEastAsia" w:eastAsiaTheme="minorEastAsia" w:hAnsiTheme="minorEastAsia"/>
          <w:b/>
          <w:sz w:val="21"/>
          <w:szCs w:val="21"/>
        </w:rPr>
      </w:pPr>
      <w:r w:rsidRPr="00015E60">
        <w:rPr>
          <w:rFonts w:asciiTheme="minorEastAsia" w:eastAsiaTheme="minorEastAsia" w:hAnsiTheme="minorEastAsia" w:hint="eastAsia"/>
          <w:b/>
          <w:sz w:val="21"/>
          <w:szCs w:val="21"/>
        </w:rPr>
        <w:t xml:space="preserve">(c) </w:t>
      </w:r>
      <w:r w:rsidR="005D5306">
        <w:rPr>
          <w:rFonts w:asciiTheme="minorEastAsia" w:eastAsiaTheme="minorEastAsia" w:hAnsiTheme="minorEastAsia" w:hint="eastAsia"/>
          <w:b/>
          <w:sz w:val="21"/>
          <w:szCs w:val="21"/>
        </w:rPr>
        <w:tab/>
      </w:r>
      <w:r w:rsidRPr="00015E60">
        <w:rPr>
          <w:rFonts w:asciiTheme="minorEastAsia" w:eastAsiaTheme="minorEastAsia" w:hAnsiTheme="minorEastAsia" w:hint="eastAsia"/>
          <w:b/>
          <w:sz w:val="21"/>
          <w:szCs w:val="21"/>
        </w:rPr>
        <w:t>与使用“except for”、“other than”和方括号相关的修改</w:t>
      </w:r>
    </w:p>
    <w:p w:rsidR="00015E60" w:rsidRPr="007F5AF8" w:rsidRDefault="00015E60" w:rsidP="00015E60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讨论依据</w:t>
      </w:r>
      <w:r w:rsidR="005E0645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国际局提交的</w:t>
      </w: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项目</w:t>
      </w:r>
      <w:hyperlink r:id="rId14" w:history="1">
        <w:r>
          <w:rPr>
            <w:rStyle w:val="Hyperlink"/>
            <w:rFonts w:asciiTheme="minorEastAsia" w:eastAsiaTheme="minorEastAsia" w:hAnsiTheme="minorEastAsia" w:cs="Arial" w:hint="eastAsia"/>
            <w:sz w:val="21"/>
            <w:szCs w:val="21"/>
            <w:lang w:eastAsia="zh-CN"/>
          </w:rPr>
          <w:t>LO132</w:t>
        </w:r>
      </w:hyperlink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、</w:t>
      </w:r>
      <w:r w:rsidR="00164A29">
        <w:fldChar w:fldCharType="begin"/>
      </w:r>
      <w:r w:rsidR="00164A29">
        <w:instrText xml:space="preserve"> HYPERLINK "https://www3.wipo.int/nef/nef-projects/lo132/lo132-a04_ib%22o.docx" </w:instrText>
      </w:r>
      <w:r w:rsidR="00164A29">
        <w:fldChar w:fldCharType="separate"/>
      </w:r>
      <w:r w:rsidRPr="007F5AF8">
        <w:rPr>
          <w:rStyle w:val="Hyperlink"/>
          <w:rFonts w:asciiTheme="minorEastAsia" w:eastAsiaTheme="minorEastAsia" w:hAnsiTheme="minorEastAsia" w:cs="Arial" w:hint="eastAsia"/>
          <w:sz w:val="21"/>
          <w:szCs w:val="21"/>
          <w:lang w:eastAsia="zh-CN"/>
        </w:rPr>
        <w:t>附件</w:t>
      </w:r>
      <w:r w:rsidR="005E0645">
        <w:rPr>
          <w:rStyle w:val="Hyperlink"/>
          <w:rFonts w:asciiTheme="minorEastAsia" w:eastAsiaTheme="minorEastAsia" w:hAnsiTheme="minorEastAsia" w:cs="Arial" w:hint="eastAsia"/>
          <w:sz w:val="21"/>
          <w:szCs w:val="21"/>
          <w:lang w:eastAsia="zh-CN"/>
        </w:rPr>
        <w:t>4</w:t>
      </w:r>
      <w:r w:rsidR="00164A29">
        <w:rPr>
          <w:rStyle w:val="Hyperlink"/>
          <w:rFonts w:asciiTheme="minorEastAsia" w:eastAsiaTheme="minorEastAsia" w:hAnsiTheme="minorEastAsia" w:cs="Arial"/>
          <w:sz w:val="21"/>
          <w:szCs w:val="21"/>
          <w:lang w:eastAsia="zh-CN"/>
        </w:rPr>
        <w:fldChar w:fldCharType="end"/>
      </w: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进行，其中</w:t>
      </w:r>
      <w:r w:rsidR="005E0645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所载的提案旨在在整个商品清单中始终使用“other than”而无方括号的表达方式，而避免有时使用“except for”，有时使用“other than”、</w:t>
      </w:r>
      <w:r w:rsidR="0017069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有时有</w:t>
      </w:r>
      <w:r w:rsidR="005E0645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方括号</w:t>
      </w:r>
      <w:r w:rsidR="0017069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、有时</w:t>
      </w:r>
      <w:r w:rsidR="005E0645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无方括号</w:t>
      </w:r>
      <w:r w:rsidR="0017069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的不连贯的表达方式</w:t>
      </w: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。</w:t>
      </w:r>
    </w:p>
    <w:p w:rsidR="00015E60" w:rsidRPr="0017069A" w:rsidRDefault="00015E60" w:rsidP="0017069A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Chars="257" w:left="565" w:firstLine="2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015E60">
        <w:rPr>
          <w:rFonts w:asciiTheme="minorEastAsia" w:eastAsiaTheme="minorEastAsia" w:hAnsiTheme="minorEastAsia" w:hint="eastAsia"/>
          <w:sz w:val="21"/>
          <w:szCs w:val="21"/>
          <w:lang w:eastAsia="zh-CN"/>
        </w:rPr>
        <w:lastRenderedPageBreak/>
        <w:t>委员会通过了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一定</w:t>
      </w:r>
      <w:r w:rsidRPr="00015E60">
        <w:rPr>
          <w:rFonts w:asciiTheme="minorEastAsia" w:eastAsiaTheme="minorEastAsia" w:hAnsiTheme="minorEastAsia" w:hint="eastAsia"/>
          <w:sz w:val="21"/>
          <w:szCs w:val="21"/>
          <w:lang w:eastAsia="zh-CN"/>
        </w:rPr>
        <w:t>数量的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修正</w:t>
      </w:r>
      <w:r w:rsidRPr="00015E60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。</w:t>
      </w:r>
      <w:r w:rsidR="0017069A">
        <w:rPr>
          <w:rFonts w:asciiTheme="minorEastAsia" w:eastAsiaTheme="minorEastAsia" w:hAnsiTheme="minorEastAsia" w:hint="eastAsia"/>
          <w:sz w:val="21"/>
          <w:szCs w:val="21"/>
          <w:lang w:eastAsia="zh-CN"/>
        </w:rPr>
        <w:t>但委员会表示，术语的统一应倾向于使用“except for”而不是“other than”，而且使用方括号的做法应保留。</w:t>
      </w:r>
      <w:r w:rsidRPr="00015E60">
        <w:rPr>
          <w:rFonts w:asciiTheme="minorEastAsia" w:eastAsiaTheme="minorEastAsia" w:hAnsiTheme="minorEastAsia" w:hint="eastAsia"/>
          <w:sz w:val="21"/>
          <w:szCs w:val="21"/>
          <w:lang w:eastAsia="zh-CN"/>
        </w:rPr>
        <w:t>委员会的决定可见电子论坛的项目</w:t>
      </w:r>
      <w:hyperlink r:id="rId15" w:history="1">
        <w:r w:rsidRPr="00015E60">
          <w:rPr>
            <w:rStyle w:val="Hyperlink"/>
            <w:rFonts w:asciiTheme="minorEastAsia" w:eastAsiaTheme="minorEastAsia" w:hAnsiTheme="minorEastAsia" w:cs="Arial" w:hint="eastAsia"/>
            <w:sz w:val="21"/>
            <w:szCs w:val="21"/>
            <w:lang w:eastAsia="zh-CN"/>
          </w:rPr>
          <w:t>LO130</w:t>
        </w:r>
      </w:hyperlink>
      <w:r w:rsidRPr="00015E60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。</w:t>
      </w:r>
    </w:p>
    <w:p w:rsidR="0017069A" w:rsidRPr="00CC7C32" w:rsidRDefault="0017069A" w:rsidP="0043246C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1F648E">
        <w:rPr>
          <w:rFonts w:ascii="SimHei" w:eastAsia="SimHei" w:hAnsi="SimHei" w:hint="eastAsia"/>
          <w:b w:val="0"/>
          <w:sz w:val="21"/>
        </w:rPr>
        <w:t>审议</w:t>
      </w:r>
      <w:r w:rsidRPr="0017069A">
        <w:rPr>
          <w:rFonts w:ascii="SimHei" w:eastAsia="SimHei" w:hAnsi="SimHei" w:hint="eastAsia"/>
          <w:b w:val="0"/>
          <w:sz w:val="21"/>
        </w:rPr>
        <w:t>对《洛迦诺分类指南》进行修正的建议</w:t>
      </w:r>
    </w:p>
    <w:p w:rsidR="0017069A" w:rsidRPr="0017069A" w:rsidRDefault="0017069A" w:rsidP="0017069A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讨论依据项目</w:t>
      </w:r>
      <w:r w:rsidR="00164A29">
        <w:fldChar w:fldCharType="begin"/>
      </w:r>
      <w:r w:rsidR="00164A29">
        <w:instrText xml:space="preserve"> HYPERLINK "https://www3.wipo.int/nef/public/locarno/en/project/1590/LO132" </w:instrText>
      </w:r>
      <w:r w:rsidR="00164A29">
        <w:fldChar w:fldCharType="separate"/>
      </w:r>
      <w:r>
        <w:rPr>
          <w:rStyle w:val="Hyperlink"/>
          <w:rFonts w:asciiTheme="minorEastAsia" w:eastAsiaTheme="minorEastAsia" w:hAnsiTheme="minorEastAsia" w:cs="Arial" w:hint="eastAsia"/>
          <w:sz w:val="21"/>
          <w:szCs w:val="21"/>
          <w:lang w:eastAsia="zh-CN"/>
        </w:rPr>
        <w:t>LO132</w:t>
      </w:r>
      <w:r w:rsidR="00164A29">
        <w:rPr>
          <w:rStyle w:val="Hyperlink"/>
          <w:rFonts w:asciiTheme="minorEastAsia" w:eastAsiaTheme="minorEastAsia" w:hAnsiTheme="minorEastAsia" w:cs="Arial"/>
          <w:sz w:val="21"/>
          <w:szCs w:val="21"/>
          <w:lang w:eastAsia="zh-CN"/>
        </w:rPr>
        <w:fldChar w:fldCharType="end"/>
      </w: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、</w:t>
      </w:r>
      <w:r w:rsidR="00164A29">
        <w:fldChar w:fldCharType="begin"/>
      </w:r>
      <w:r w:rsidR="00164A29">
        <w:instrText xml:space="preserve"> HYPERLINK "https://www3.wipo.int/nef/nef-projects/lo132/lo132-a05_iblo.pdf" </w:instrText>
      </w:r>
      <w:r w:rsidR="00164A29">
        <w:fldChar w:fldCharType="separate"/>
      </w:r>
      <w:r w:rsidRPr="007F5AF8">
        <w:rPr>
          <w:rStyle w:val="Hyperlink"/>
          <w:rFonts w:asciiTheme="minorEastAsia" w:eastAsiaTheme="minorEastAsia" w:hAnsiTheme="minorEastAsia" w:cs="Arial" w:hint="eastAsia"/>
          <w:sz w:val="21"/>
          <w:szCs w:val="21"/>
          <w:lang w:eastAsia="zh-CN"/>
        </w:rPr>
        <w:t>附件</w:t>
      </w:r>
      <w:r>
        <w:rPr>
          <w:rStyle w:val="Hyperlink"/>
          <w:rFonts w:asciiTheme="minorEastAsia" w:eastAsiaTheme="minorEastAsia" w:hAnsiTheme="minorEastAsia" w:cs="Arial" w:hint="eastAsia"/>
          <w:sz w:val="21"/>
          <w:szCs w:val="21"/>
          <w:lang w:eastAsia="zh-CN"/>
        </w:rPr>
        <w:t>5</w:t>
      </w:r>
      <w:r w:rsidR="00164A29">
        <w:rPr>
          <w:rStyle w:val="Hyperlink"/>
          <w:rFonts w:asciiTheme="minorEastAsia" w:eastAsiaTheme="minorEastAsia" w:hAnsiTheme="minorEastAsia" w:cs="Arial"/>
          <w:sz w:val="21"/>
          <w:szCs w:val="21"/>
          <w:lang w:eastAsia="zh-CN"/>
        </w:rPr>
        <w:fldChar w:fldCharType="end"/>
      </w:r>
      <w:r w:rsidRPr="007F5AF8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进行，其中</w:t>
      </w:r>
      <w:r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载有修改</w:t>
      </w:r>
      <w:r w:rsidRPr="0017069A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《洛迦诺分类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用户</w:t>
      </w:r>
      <w:r w:rsidRPr="0017069A">
        <w:rPr>
          <w:rFonts w:asciiTheme="minorEastAsia" w:eastAsiaTheme="minorEastAsia" w:hAnsiTheme="minorEastAsia" w:hint="eastAsia"/>
          <w:sz w:val="21"/>
          <w:szCs w:val="21"/>
          <w:lang w:eastAsia="zh-CN"/>
        </w:rPr>
        <w:t>指南》的提案，由中国提</w:t>
      </w:r>
      <w:r w:rsidR="005D5306">
        <w:rPr>
          <w:rFonts w:ascii="SimSun" w:hAnsi="SimSun" w:cs="Arial" w:hint="eastAsia"/>
          <w:sz w:val="21"/>
          <w:szCs w:val="20"/>
          <w:lang w:eastAsia="zh-CN"/>
        </w:rPr>
        <w:t>‍</w:t>
      </w:r>
      <w:r w:rsidRPr="0017069A">
        <w:rPr>
          <w:rFonts w:asciiTheme="minorEastAsia" w:eastAsiaTheme="minorEastAsia" w:hAnsiTheme="minorEastAsia" w:hint="eastAsia"/>
          <w:sz w:val="21"/>
          <w:szCs w:val="21"/>
          <w:lang w:eastAsia="zh-CN"/>
        </w:rPr>
        <w:t>交。</w:t>
      </w:r>
    </w:p>
    <w:p w:rsidR="0017069A" w:rsidRPr="005315FA" w:rsidRDefault="005315FA" w:rsidP="005315FA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国际局介绍了分类新的电子出版物</w:t>
      </w:r>
      <w:r w:rsidRPr="0017069A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（LOCPUB）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，其中现在载有更新后的《用户指南》，在介绍后，中国代表团对该《指南》的内容表示</w:t>
      </w:r>
      <w:r w:rsidR="0017069A" w:rsidRPr="005315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满意，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并</w:t>
      </w:r>
      <w:r w:rsidR="0017069A" w:rsidRPr="005315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因此撤回了提案CN2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、</w:t>
      </w:r>
      <w:r w:rsidR="0017069A" w:rsidRPr="005315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CN3和CN4。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但</w:t>
      </w:r>
      <w:r w:rsidR="0017069A" w:rsidRPr="005315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中国代表团表示，在出版物中列入每一版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《</w:t>
      </w:r>
      <w:r w:rsidRPr="005315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分类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》</w:t>
      </w:r>
      <w:r w:rsidR="0017069A" w:rsidRPr="005315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的生效日期非常有用。</w:t>
      </w:r>
    </w:p>
    <w:p w:rsidR="00A81183" w:rsidRDefault="00A81183" w:rsidP="0043246C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A81183">
        <w:rPr>
          <w:rFonts w:ascii="SimHei" w:eastAsia="SimHei" w:hAnsi="SimHei" w:hint="eastAsia"/>
          <w:b w:val="0"/>
          <w:sz w:val="21"/>
        </w:rPr>
        <w:t>审议关于在洛迦诺分类中引入更细化的分类层级的建议</w:t>
      </w:r>
    </w:p>
    <w:p w:rsidR="005315FA" w:rsidRDefault="000530A7" w:rsidP="005315FA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5315F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讨论依据项目</w:t>
      </w:r>
      <w:r w:rsidR="00164A29">
        <w:fldChar w:fldCharType="begin"/>
      </w:r>
      <w:r w:rsidR="00164A29">
        <w:instrText xml:space="preserve"> HYPERLINK "https://www3.wipo.int/nef/public/locarno/en/project/1590/LO132" </w:instrText>
      </w:r>
      <w:r w:rsidR="00164A29">
        <w:fldChar w:fldCharType="separate"/>
      </w:r>
      <w:r w:rsidR="005315FA">
        <w:rPr>
          <w:rStyle w:val="Hyperlink"/>
          <w:rFonts w:asciiTheme="minorEastAsia" w:eastAsiaTheme="minorEastAsia" w:hAnsiTheme="minorEastAsia" w:cs="Arial" w:hint="eastAsia"/>
          <w:sz w:val="21"/>
          <w:szCs w:val="21"/>
          <w:lang w:eastAsia="zh-CN"/>
        </w:rPr>
        <w:t>LO132</w:t>
      </w:r>
      <w:r w:rsidR="00164A29">
        <w:rPr>
          <w:rStyle w:val="Hyperlink"/>
          <w:rFonts w:asciiTheme="minorEastAsia" w:eastAsiaTheme="minorEastAsia" w:hAnsiTheme="minorEastAsia" w:cs="Arial"/>
          <w:sz w:val="21"/>
          <w:szCs w:val="21"/>
          <w:lang w:eastAsia="zh-CN"/>
        </w:rPr>
        <w:fldChar w:fldCharType="end"/>
      </w:r>
      <w:r w:rsidRPr="005315F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、</w:t>
      </w:r>
      <w:r w:rsidR="00164A29">
        <w:fldChar w:fldCharType="begin"/>
      </w:r>
      <w:r w:rsidR="00164A29">
        <w:instrText xml:space="preserve"> HYPERLINK "https://www3.wipo.int/nef/nef-projects/lo132/lo132-a06_iblo.pdf" </w:instrText>
      </w:r>
      <w:r w:rsidR="00164A29">
        <w:fldChar w:fldCharType="separate"/>
      </w:r>
      <w:r w:rsidRPr="005315FA">
        <w:rPr>
          <w:rStyle w:val="Hyperlink"/>
          <w:rFonts w:asciiTheme="minorEastAsia" w:eastAsiaTheme="minorEastAsia" w:hAnsiTheme="minorEastAsia" w:cs="Arial" w:hint="eastAsia"/>
          <w:sz w:val="21"/>
          <w:szCs w:val="21"/>
          <w:lang w:eastAsia="zh-CN"/>
        </w:rPr>
        <w:t>附件</w:t>
      </w:r>
      <w:r w:rsidR="005315FA">
        <w:rPr>
          <w:rStyle w:val="Hyperlink"/>
          <w:rFonts w:asciiTheme="minorEastAsia" w:eastAsiaTheme="minorEastAsia" w:hAnsiTheme="minorEastAsia" w:cs="Arial" w:hint="eastAsia"/>
          <w:sz w:val="21"/>
          <w:szCs w:val="21"/>
          <w:lang w:eastAsia="zh-CN"/>
        </w:rPr>
        <w:t>6</w:t>
      </w:r>
      <w:r w:rsidR="00164A29">
        <w:rPr>
          <w:rStyle w:val="Hyperlink"/>
          <w:rFonts w:asciiTheme="minorEastAsia" w:eastAsiaTheme="minorEastAsia" w:hAnsiTheme="minorEastAsia" w:cs="Arial"/>
          <w:sz w:val="21"/>
          <w:szCs w:val="21"/>
          <w:lang w:eastAsia="zh-CN"/>
        </w:rPr>
        <w:fldChar w:fldCharType="end"/>
      </w:r>
      <w:r w:rsidRPr="005315F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进行，其中</w:t>
      </w:r>
      <w:r w:rsidR="005315F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所载提案提出扩大洛迦诺分类，以便</w:t>
      </w:r>
      <w:r w:rsidR="002B50D6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在</w:t>
      </w:r>
      <w:r w:rsidR="00A81183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《扩大产品说明分类》</w:t>
      </w:r>
      <w:r w:rsidR="002B50D6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（</w:t>
      </w:r>
      <w:r w:rsidR="005315F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EPIC</w:t>
      </w:r>
      <w:r w:rsidR="002B50D6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）之</w:t>
      </w:r>
      <w:r w:rsidR="005315F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外，加入一项</w:t>
      </w:r>
      <w:r w:rsidR="002B50D6" w:rsidRPr="005D5306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Locarno</w:t>
      </w:r>
      <w:r w:rsidR="005315FA" w:rsidRPr="005D5306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+</w:t>
      </w:r>
      <w:r w:rsidR="005315F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工具，</w:t>
      </w:r>
      <w:r w:rsidR="002B50D6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其中载有</w:t>
      </w:r>
      <w:r w:rsidR="00A81183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欧洲知识产权局（EUIPO）</w:t>
      </w:r>
      <w:proofErr w:type="spellStart"/>
      <w:r w:rsidR="00A81183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Designview</w:t>
      </w:r>
      <w:proofErr w:type="spellEnd"/>
      <w:r w:rsidR="00A81183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数据库的所有术语，提案由荷兰提交。</w:t>
      </w:r>
    </w:p>
    <w:p w:rsidR="000530A7" w:rsidRPr="00A81183" w:rsidRDefault="00A81183" w:rsidP="00A81183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Chars="257" w:left="565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A81183">
        <w:rPr>
          <w:rFonts w:asciiTheme="minorEastAsia" w:eastAsiaTheme="minorEastAsia" w:hAnsiTheme="minorEastAsia" w:hint="eastAsia"/>
          <w:sz w:val="21"/>
          <w:szCs w:val="21"/>
          <w:lang w:eastAsia="zh-CN"/>
        </w:rPr>
        <w:t>委员会认为，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《</w:t>
      </w:r>
      <w:r w:rsidRPr="00A81183">
        <w:rPr>
          <w:rFonts w:asciiTheme="minorEastAsia" w:eastAsiaTheme="minorEastAsia" w:hAnsiTheme="minorEastAsia" w:hint="eastAsia"/>
          <w:sz w:val="21"/>
          <w:szCs w:val="21"/>
          <w:lang w:eastAsia="zh-CN"/>
        </w:rPr>
        <w:t>分类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》</w:t>
      </w:r>
      <w:r w:rsidRPr="00A81183">
        <w:rPr>
          <w:rFonts w:asciiTheme="minorEastAsia" w:eastAsiaTheme="minorEastAsia" w:hAnsiTheme="minorEastAsia" w:hint="eastAsia"/>
          <w:sz w:val="21"/>
          <w:szCs w:val="21"/>
          <w:lang w:eastAsia="zh-CN"/>
        </w:rPr>
        <w:t>是由专家委员会创建并定期修订的国际体系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，在其成员国中生效，而这些成员国</w:t>
      </w:r>
      <w:r w:rsidRPr="00A81183">
        <w:rPr>
          <w:rFonts w:asciiTheme="minorEastAsia" w:eastAsiaTheme="minorEastAsia" w:hAnsiTheme="minorEastAsia" w:hint="eastAsia"/>
          <w:sz w:val="21"/>
          <w:szCs w:val="21"/>
          <w:lang w:eastAsia="zh-CN"/>
        </w:rPr>
        <w:t>不属于欧盟。因此委员会同意，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《</w:t>
      </w:r>
      <w:r w:rsidRPr="00A81183">
        <w:rPr>
          <w:rFonts w:asciiTheme="minorEastAsia" w:eastAsiaTheme="minorEastAsia" w:hAnsiTheme="minorEastAsia" w:hint="eastAsia"/>
          <w:sz w:val="21"/>
          <w:szCs w:val="21"/>
          <w:lang w:eastAsia="zh-CN"/>
        </w:rPr>
        <w:t>分类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》</w:t>
      </w:r>
      <w:r w:rsidRPr="00A81183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仅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载入已由</w:t>
      </w:r>
      <w:r w:rsidRPr="00A81183">
        <w:rPr>
          <w:rFonts w:asciiTheme="minorEastAsia" w:eastAsiaTheme="minorEastAsia" w:hAnsiTheme="minorEastAsia" w:hint="eastAsia"/>
          <w:sz w:val="21"/>
          <w:szCs w:val="21"/>
          <w:lang w:eastAsia="zh-CN"/>
        </w:rPr>
        <w:t>委员会批准的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那些术语</w:t>
      </w:r>
      <w:r w:rsidR="000530A7" w:rsidRPr="00A81183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。</w:t>
      </w:r>
    </w:p>
    <w:p w:rsidR="00A860EE" w:rsidRDefault="00A81183" w:rsidP="0043246C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>
        <w:rPr>
          <w:rFonts w:ascii="SimHei" w:eastAsia="SimHei" w:hAnsi="SimHei" w:hint="eastAsia"/>
          <w:b w:val="0"/>
          <w:sz w:val="21"/>
        </w:rPr>
        <w:t>新的电子出版物</w:t>
      </w:r>
    </w:p>
    <w:p w:rsidR="00A860EE" w:rsidRDefault="00A860EE" w:rsidP="00A860EE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依照委员会在其第十二届会议上作出的决定（见文件</w:t>
      </w:r>
      <w:hyperlink r:id="rId16" w:history="1">
        <w:r w:rsidRPr="00A860EE">
          <w:rPr>
            <w:rStyle w:val="Hyperlink"/>
            <w:rFonts w:asciiTheme="minorEastAsia" w:eastAsiaTheme="minorEastAsia" w:hAnsiTheme="minorEastAsia" w:cs="Arial" w:hint="eastAsia"/>
            <w:sz w:val="21"/>
            <w:szCs w:val="21"/>
            <w:lang w:eastAsia="zh-CN"/>
          </w:rPr>
          <w:t>CEL/12/2</w:t>
        </w:r>
      </w:hyperlink>
      <w:r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第16和17段），国际局介绍了洛迦诺分类新的电子出版物。</w:t>
      </w:r>
    </w:p>
    <w:p w:rsidR="00A860EE" w:rsidRPr="00A860EE" w:rsidRDefault="00A860EE" w:rsidP="00A860EE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A860EE">
        <w:rPr>
          <w:rFonts w:asciiTheme="minorEastAsia" w:eastAsiaTheme="minorEastAsia" w:hAnsiTheme="minorEastAsia" w:hint="eastAsia"/>
          <w:sz w:val="21"/>
          <w:szCs w:val="21"/>
          <w:lang w:eastAsia="zh-CN"/>
        </w:rPr>
        <w:t>除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了</w:t>
      </w:r>
      <w:r w:rsidRPr="00A860EE">
        <w:rPr>
          <w:rFonts w:asciiTheme="minorEastAsia" w:eastAsiaTheme="minorEastAsia" w:hAnsiTheme="minorEastAsia" w:hint="eastAsia"/>
          <w:sz w:val="21"/>
          <w:szCs w:val="21"/>
          <w:lang w:eastAsia="zh-CN"/>
        </w:rPr>
        <w:t>上文第16段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提及</w:t>
      </w:r>
      <w:r w:rsidRPr="00A860EE">
        <w:rPr>
          <w:rFonts w:asciiTheme="minorEastAsia" w:eastAsiaTheme="minorEastAsia" w:hAnsiTheme="minorEastAsia" w:hint="eastAsia"/>
          <w:sz w:val="21"/>
          <w:szCs w:val="21"/>
          <w:lang w:eastAsia="zh-CN"/>
        </w:rPr>
        <w:t>的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有关</w:t>
      </w:r>
      <w:r w:rsidRPr="00A860EE">
        <w:rPr>
          <w:rFonts w:asciiTheme="minorEastAsia" w:eastAsiaTheme="minorEastAsia" w:hAnsiTheme="minorEastAsia" w:hint="eastAsia"/>
          <w:sz w:val="21"/>
          <w:szCs w:val="21"/>
          <w:lang w:eastAsia="zh-CN"/>
        </w:rPr>
        <w:t>每一版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《</w:t>
      </w:r>
      <w:r w:rsidRPr="00A860E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分类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》</w:t>
      </w:r>
      <w:r w:rsidRPr="00A860EE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生效日期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的例外</w:t>
      </w:r>
      <w:r w:rsidRPr="00A860EE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，委员会对新的电子出版物表示满意，并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注意到电子出版物</w:t>
      </w:r>
      <w:r w:rsidRPr="00A860E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将在年底之前上线。</w:t>
      </w:r>
    </w:p>
    <w:p w:rsidR="00230FC4" w:rsidRDefault="00A860EE" w:rsidP="0043246C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A860EE">
        <w:rPr>
          <w:rFonts w:ascii="SimHei" w:eastAsia="SimHei" w:hAnsi="SimHei" w:hint="eastAsia"/>
          <w:b w:val="0"/>
          <w:sz w:val="21"/>
        </w:rPr>
        <w:t>向专家委员会成员送交来自主管局和国际局的建议（《洛迦诺协定》第三条第(3)款）</w:t>
      </w:r>
    </w:p>
    <w:p w:rsidR="00A860EE" w:rsidRDefault="00A81183" w:rsidP="00A81183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5315F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讨论依据项目</w:t>
      </w:r>
      <w:hyperlink r:id="rId17" w:history="1">
        <w:r>
          <w:rPr>
            <w:rStyle w:val="Hyperlink"/>
            <w:rFonts w:asciiTheme="minorEastAsia" w:eastAsiaTheme="minorEastAsia" w:hAnsiTheme="minorEastAsia" w:cs="Arial" w:hint="eastAsia"/>
            <w:sz w:val="21"/>
            <w:szCs w:val="21"/>
            <w:lang w:eastAsia="zh-CN"/>
          </w:rPr>
          <w:t>LO132</w:t>
        </w:r>
      </w:hyperlink>
      <w:r w:rsidRPr="005315F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、</w:t>
      </w:r>
      <w:hyperlink r:id="rId18" w:history="1">
        <w:r w:rsidRPr="005315FA">
          <w:rPr>
            <w:rStyle w:val="Hyperlink"/>
            <w:rFonts w:asciiTheme="minorEastAsia" w:eastAsiaTheme="minorEastAsia" w:hAnsiTheme="minorEastAsia" w:cs="Arial" w:hint="eastAsia"/>
            <w:sz w:val="21"/>
            <w:szCs w:val="21"/>
            <w:lang w:eastAsia="zh-CN"/>
          </w:rPr>
          <w:t>附件</w:t>
        </w:r>
        <w:r w:rsidR="00A860EE">
          <w:rPr>
            <w:rStyle w:val="Hyperlink"/>
            <w:rFonts w:asciiTheme="minorEastAsia" w:eastAsiaTheme="minorEastAsia" w:hAnsiTheme="minorEastAsia" w:cs="Arial" w:hint="eastAsia"/>
            <w:sz w:val="21"/>
            <w:szCs w:val="21"/>
            <w:lang w:eastAsia="zh-CN"/>
          </w:rPr>
          <w:t>7</w:t>
        </w:r>
      </w:hyperlink>
      <w:r w:rsidRPr="005315F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进行，其中</w:t>
      </w:r>
      <w:r w:rsidR="00A860EE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载有关于修改国际局向委员会成员发送提案之程序的提</w:t>
      </w:r>
      <w:r w:rsidR="005D5306">
        <w:rPr>
          <w:rFonts w:ascii="SimSun" w:hAnsi="SimSun" w:cs="Arial" w:hint="eastAsia"/>
          <w:sz w:val="21"/>
          <w:szCs w:val="20"/>
          <w:lang w:eastAsia="zh-CN"/>
        </w:rPr>
        <w:t>‍</w:t>
      </w:r>
      <w:r w:rsidR="00A860EE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案。</w:t>
      </w:r>
    </w:p>
    <w:p w:rsidR="00A860EE" w:rsidRPr="00A860EE" w:rsidRDefault="00A860EE" w:rsidP="00230FC4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Chars="257" w:left="565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A860E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委员会决定，</w:t>
      </w:r>
      <w:r w:rsidR="00230FC4" w:rsidRPr="00A860E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委员会</w:t>
      </w:r>
      <w:r w:rsid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届会</w:t>
      </w:r>
      <w:r w:rsidR="00230FC4" w:rsidRPr="00A860E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工作文件的最后</w:t>
      </w:r>
      <w:r w:rsid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版本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将继续</w:t>
      </w:r>
      <w:r w:rsid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于会议日期两个月前，</w:t>
      </w:r>
      <w:r w:rsidR="00230FC4" w:rsidRPr="00A860E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在电子论坛上</w:t>
      </w:r>
      <w:r w:rsid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公布</w:t>
      </w:r>
      <w:r w:rsidRPr="00A860EE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。</w:t>
      </w:r>
    </w:p>
    <w:p w:rsidR="00230FC4" w:rsidRDefault="00230FC4" w:rsidP="0043246C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230FC4">
        <w:rPr>
          <w:rFonts w:ascii="SimHei" w:eastAsia="SimHei" w:hAnsi="SimHei" w:hint="eastAsia"/>
          <w:b w:val="0"/>
          <w:sz w:val="21"/>
        </w:rPr>
        <w:t>专家委员会届会周期</w:t>
      </w:r>
    </w:p>
    <w:p w:rsidR="00230FC4" w:rsidRDefault="00A860EE" w:rsidP="00230FC4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5315F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讨论依据项目</w:t>
      </w:r>
      <w:hyperlink r:id="rId19" w:history="1">
        <w:r>
          <w:rPr>
            <w:rStyle w:val="Hyperlink"/>
            <w:rFonts w:asciiTheme="minorEastAsia" w:eastAsiaTheme="minorEastAsia" w:hAnsiTheme="minorEastAsia" w:cs="Arial" w:hint="eastAsia"/>
            <w:sz w:val="21"/>
            <w:szCs w:val="21"/>
            <w:lang w:eastAsia="zh-CN"/>
          </w:rPr>
          <w:t>LO132</w:t>
        </w:r>
      </w:hyperlink>
      <w:r w:rsidRPr="005315F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、</w:t>
      </w:r>
      <w:hyperlink r:id="rId20" w:history="1">
        <w:r w:rsidRPr="005315FA">
          <w:rPr>
            <w:rStyle w:val="Hyperlink"/>
            <w:rFonts w:asciiTheme="minorEastAsia" w:eastAsiaTheme="minorEastAsia" w:hAnsiTheme="minorEastAsia" w:cs="Arial" w:hint="eastAsia"/>
            <w:sz w:val="21"/>
            <w:szCs w:val="21"/>
            <w:lang w:eastAsia="zh-CN"/>
          </w:rPr>
          <w:t>附件</w:t>
        </w:r>
        <w:r w:rsidR="00230FC4">
          <w:rPr>
            <w:rStyle w:val="Hyperlink"/>
            <w:rFonts w:asciiTheme="minorEastAsia" w:eastAsiaTheme="minorEastAsia" w:hAnsiTheme="minorEastAsia" w:cs="Arial" w:hint="eastAsia"/>
            <w:sz w:val="21"/>
            <w:szCs w:val="21"/>
            <w:lang w:eastAsia="zh-CN"/>
          </w:rPr>
          <w:t>8</w:t>
        </w:r>
      </w:hyperlink>
      <w:r w:rsidRPr="005315FA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进行，</w:t>
      </w:r>
      <w:r w:rsidR="00230FC4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事关专家委员会届会的周期</w:t>
      </w:r>
      <w:r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。</w:t>
      </w:r>
    </w:p>
    <w:p w:rsidR="00230FC4" w:rsidRPr="00230FC4" w:rsidRDefault="00230FC4" w:rsidP="006502DD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Chars="257" w:left="565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委员会同意原则上每两年举行一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届</w:t>
      </w:r>
      <w:r w:rsidRP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会议，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并保留在</w:t>
      </w:r>
      <w:r w:rsidRP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必要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时</w:t>
      </w:r>
      <w:r w:rsidRP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修改会议周期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的可能</w:t>
      </w:r>
      <w:r w:rsidRP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。</w:t>
      </w:r>
    </w:p>
    <w:p w:rsidR="00230FC4" w:rsidRDefault="00230FC4" w:rsidP="0043246C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230FC4">
        <w:rPr>
          <w:rFonts w:ascii="SimHei" w:eastAsia="SimHei" w:hAnsi="SimHei" w:hint="eastAsia"/>
          <w:b w:val="0"/>
          <w:sz w:val="21"/>
        </w:rPr>
        <w:t>专家委员会下届会议</w:t>
      </w:r>
    </w:p>
    <w:p w:rsidR="006502DD" w:rsidRPr="00230FC4" w:rsidRDefault="006502DD" w:rsidP="006502DD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Chars="257" w:left="565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委员会同意下届（第十四届）会议将于2019年秋季在日内瓦举行。</w:t>
      </w:r>
    </w:p>
    <w:p w:rsidR="00230FC4" w:rsidRPr="00230FC4" w:rsidRDefault="00230FC4" w:rsidP="0043246C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>
        <w:rPr>
          <w:rFonts w:ascii="SimHei" w:eastAsia="SimHei" w:hAnsi="SimHei" w:hint="eastAsia"/>
          <w:b w:val="0"/>
          <w:sz w:val="21"/>
        </w:rPr>
        <w:lastRenderedPageBreak/>
        <w:t>下一版生效日期</w:t>
      </w:r>
    </w:p>
    <w:p w:rsidR="006502DD" w:rsidRPr="006502DD" w:rsidRDefault="00230FC4" w:rsidP="006502DD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委员会注意到，国际局将</w:t>
      </w:r>
      <w:r w:rsidR="006502DD">
        <w:rPr>
          <w:rFonts w:asciiTheme="minorEastAsia" w:eastAsiaTheme="minorEastAsia" w:hAnsiTheme="minorEastAsia" w:hint="eastAsia"/>
          <w:sz w:val="21"/>
          <w:szCs w:val="21"/>
          <w:lang w:eastAsia="zh-CN"/>
        </w:rPr>
        <w:t>编制并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于</w:t>
      </w:r>
      <w:r w:rsidRP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2018年12月</w:t>
      </w:r>
      <w:r w:rsidR="006502DD">
        <w:rPr>
          <w:rFonts w:asciiTheme="minorEastAsia" w:eastAsiaTheme="minorEastAsia" w:hAnsiTheme="minorEastAsia" w:hint="eastAsia"/>
          <w:sz w:val="21"/>
          <w:szCs w:val="21"/>
          <w:lang w:eastAsia="zh-CN"/>
        </w:rPr>
        <w:t>在线发布新一版（</w:t>
      </w:r>
      <w:r w:rsidR="006502DD" w:rsidRP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第十二版</w:t>
      </w:r>
      <w:r w:rsidR="006502DD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）《分类》的</w:t>
      </w:r>
      <w:r w:rsidRP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英文和法文</w:t>
      </w:r>
      <w:r w:rsidR="006502DD">
        <w:rPr>
          <w:rFonts w:asciiTheme="minorEastAsia" w:eastAsiaTheme="minorEastAsia" w:hAnsiTheme="minorEastAsia" w:hint="eastAsia"/>
          <w:sz w:val="21"/>
          <w:szCs w:val="21"/>
          <w:lang w:eastAsia="zh-CN"/>
        </w:rPr>
        <w:t>版，</w:t>
      </w:r>
      <w:r w:rsidRP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并将在2018年6月底前发送</w:t>
      </w:r>
      <w:r w:rsidR="006502DD">
        <w:rPr>
          <w:rFonts w:asciiTheme="minorEastAsia" w:eastAsiaTheme="minorEastAsia" w:hAnsiTheme="minorEastAsia" w:hint="eastAsia"/>
          <w:sz w:val="21"/>
          <w:szCs w:val="21"/>
          <w:lang w:eastAsia="zh-CN"/>
        </w:rPr>
        <w:t>新版生效的通知</w:t>
      </w:r>
      <w:r w:rsidRPr="00230FC4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。</w:t>
      </w:r>
    </w:p>
    <w:p w:rsidR="006502DD" w:rsidRPr="006502DD" w:rsidRDefault="00230FC4" w:rsidP="006502DD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Chars="257" w:left="565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6502DD">
        <w:rPr>
          <w:rFonts w:asciiTheme="minorEastAsia" w:eastAsiaTheme="minorEastAsia" w:hAnsiTheme="minorEastAsia" w:hint="eastAsia"/>
          <w:sz w:val="21"/>
          <w:szCs w:val="21"/>
          <w:lang w:eastAsia="zh-CN"/>
        </w:rPr>
        <w:t>委员会同意</w:t>
      </w:r>
      <w:r w:rsidR="006502DD">
        <w:rPr>
          <w:rFonts w:asciiTheme="minorEastAsia" w:eastAsiaTheme="minorEastAsia" w:hAnsiTheme="minorEastAsia" w:hint="eastAsia"/>
          <w:sz w:val="21"/>
          <w:szCs w:val="21"/>
          <w:lang w:eastAsia="zh-CN"/>
        </w:rPr>
        <w:t>对</w:t>
      </w:r>
      <w:r w:rsidRPr="006502DD">
        <w:rPr>
          <w:rFonts w:asciiTheme="minorEastAsia" w:eastAsiaTheme="minorEastAsia" w:hAnsiTheme="minorEastAsia" w:hint="eastAsia"/>
          <w:sz w:val="21"/>
          <w:szCs w:val="21"/>
          <w:lang w:eastAsia="zh-CN"/>
        </w:rPr>
        <w:t>第十一版</w:t>
      </w:r>
      <w:r w:rsidR="006502DD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《分类》</w:t>
      </w:r>
      <w:r w:rsidRPr="006502DD">
        <w:rPr>
          <w:rFonts w:asciiTheme="minorEastAsia" w:eastAsiaTheme="minorEastAsia" w:hAnsiTheme="minorEastAsia" w:hint="eastAsia"/>
          <w:sz w:val="21"/>
          <w:szCs w:val="21"/>
          <w:lang w:eastAsia="zh-CN"/>
        </w:rPr>
        <w:t>的</w:t>
      </w:r>
      <w:r w:rsidR="006502DD">
        <w:rPr>
          <w:rFonts w:asciiTheme="minorEastAsia" w:eastAsiaTheme="minorEastAsia" w:hAnsiTheme="minorEastAsia" w:hint="eastAsia"/>
          <w:sz w:val="21"/>
          <w:szCs w:val="21"/>
          <w:lang w:eastAsia="zh-CN"/>
        </w:rPr>
        <w:t>修正</w:t>
      </w:r>
      <w:r w:rsidRPr="006502DD">
        <w:rPr>
          <w:rFonts w:asciiTheme="minorEastAsia" w:eastAsiaTheme="minorEastAsia" w:hAnsiTheme="minorEastAsia" w:hint="eastAsia"/>
          <w:sz w:val="21"/>
          <w:szCs w:val="21"/>
          <w:lang w:eastAsia="zh-CN"/>
        </w:rPr>
        <w:t>和补充将于2019年1月1日生效。</w:t>
      </w:r>
    </w:p>
    <w:p w:rsidR="006502DD" w:rsidRPr="00CC7C32" w:rsidRDefault="006502DD" w:rsidP="0043246C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710956">
        <w:rPr>
          <w:rFonts w:ascii="SimHei" w:eastAsia="SimHei" w:hAnsi="SimHei" w:hint="eastAsia"/>
          <w:b w:val="0"/>
          <w:sz w:val="21"/>
        </w:rPr>
        <w:t>会议闭幕</w:t>
      </w:r>
    </w:p>
    <w:p w:rsidR="006502DD" w:rsidRPr="006502DD" w:rsidRDefault="000530A7" w:rsidP="006502DD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6502DD">
        <w:rPr>
          <w:rFonts w:ascii="SimSun" w:hAnsi="SimSun" w:hint="eastAsia"/>
          <w:sz w:val="21"/>
          <w:lang w:eastAsia="zh-CN"/>
        </w:rPr>
        <w:t>主席宣布会议闭幕。</w:t>
      </w:r>
    </w:p>
    <w:p w:rsidR="000530A7" w:rsidRPr="006502DD" w:rsidRDefault="000530A7" w:rsidP="006502DD">
      <w:pPr>
        <w:pStyle w:val="ListParagraph"/>
        <w:numPr>
          <w:ilvl w:val="0"/>
          <w:numId w:val="38"/>
        </w:numPr>
        <w:overflowPunct w:val="0"/>
        <w:spacing w:afterLines="50" w:after="120" w:line="340" w:lineRule="atLeast"/>
        <w:ind w:leftChars="2513" w:left="5529" w:firstLine="0"/>
        <w:contextualSpacing w:val="0"/>
        <w:jc w:val="both"/>
        <w:rPr>
          <w:rFonts w:ascii="KaiTi" w:eastAsia="KaiTi" w:hAnsi="KaiTi" w:cs="Arial"/>
          <w:sz w:val="21"/>
          <w:szCs w:val="21"/>
          <w:lang w:eastAsia="zh-CN"/>
        </w:rPr>
      </w:pPr>
      <w:r w:rsidRPr="006502DD">
        <w:rPr>
          <w:rFonts w:ascii="KaiTi" w:eastAsia="KaiTi" w:hAnsi="KaiTi" w:hint="eastAsia"/>
          <w:sz w:val="21"/>
          <w:lang w:eastAsia="zh-CN"/>
        </w:rPr>
        <w:t>专家委员会于2017年</w:t>
      </w:r>
      <w:r w:rsidR="006502DD">
        <w:rPr>
          <w:rFonts w:ascii="KaiTi" w:eastAsia="KaiTi" w:hAnsi="KaiTi" w:hint="eastAsia"/>
          <w:sz w:val="21"/>
          <w:lang w:eastAsia="zh-CN"/>
        </w:rPr>
        <w:t>12</w:t>
      </w:r>
      <w:r w:rsidRPr="006502DD">
        <w:rPr>
          <w:rFonts w:ascii="KaiTi" w:eastAsia="KaiTi" w:hAnsi="KaiTi" w:hint="eastAsia"/>
          <w:sz w:val="21"/>
          <w:lang w:eastAsia="zh-CN"/>
        </w:rPr>
        <w:t>月2</w:t>
      </w:r>
      <w:r w:rsidR="006502DD">
        <w:rPr>
          <w:rFonts w:ascii="KaiTi" w:eastAsia="KaiTi" w:hAnsi="KaiTi" w:hint="eastAsia"/>
          <w:sz w:val="21"/>
          <w:lang w:eastAsia="zh-CN"/>
        </w:rPr>
        <w:t>2</w:t>
      </w:r>
      <w:r w:rsidRPr="006502DD">
        <w:rPr>
          <w:rFonts w:ascii="KaiTi" w:eastAsia="KaiTi" w:hAnsi="KaiTi" w:hint="eastAsia"/>
          <w:sz w:val="21"/>
          <w:lang w:eastAsia="zh-CN"/>
        </w:rPr>
        <w:t>日</w:t>
      </w:r>
      <w:r w:rsidR="006502DD">
        <w:rPr>
          <w:rFonts w:ascii="KaiTi" w:eastAsia="KaiTi" w:hAnsi="KaiTi" w:hint="eastAsia"/>
          <w:sz w:val="21"/>
          <w:lang w:eastAsia="zh-CN"/>
        </w:rPr>
        <w:t>以</w:t>
      </w:r>
      <w:r w:rsidRPr="006502DD">
        <w:rPr>
          <w:rFonts w:ascii="KaiTi" w:eastAsia="KaiTi" w:hAnsi="KaiTi" w:hint="eastAsia"/>
          <w:sz w:val="21"/>
          <w:lang w:eastAsia="zh-CN"/>
        </w:rPr>
        <w:t>电子方式一致通过了本报告。</w:t>
      </w:r>
    </w:p>
    <w:p w:rsidR="000530A7" w:rsidRPr="00D4259D" w:rsidRDefault="000530A7" w:rsidP="000530A7">
      <w:pPr>
        <w:overflowPunct w:val="0"/>
        <w:spacing w:afterLines="50" w:after="120" w:line="340" w:lineRule="atLeast"/>
        <w:ind w:left="5533"/>
        <w:jc w:val="both"/>
        <w:rPr>
          <w:rFonts w:ascii="KaiTi" w:eastAsia="KaiTi" w:hAnsi="KaiTi"/>
          <w:caps/>
          <w:sz w:val="24"/>
        </w:rPr>
      </w:pPr>
    </w:p>
    <w:p w:rsidR="002928D3" w:rsidRPr="00A40B2A" w:rsidRDefault="000530A7" w:rsidP="005D5306">
      <w:pPr>
        <w:overflowPunct w:val="0"/>
        <w:spacing w:afterLines="50" w:after="120" w:line="340" w:lineRule="atLeast"/>
        <w:ind w:left="5533"/>
        <w:jc w:val="both"/>
        <w:rPr>
          <w:rFonts w:ascii="KaiTi" w:eastAsia="KaiTi" w:hAnsi="KaiTi"/>
          <w:sz w:val="21"/>
        </w:rPr>
      </w:pPr>
      <w:r w:rsidRPr="00D4259D">
        <w:rPr>
          <w:rFonts w:ascii="KaiTi" w:eastAsia="KaiTi" w:hAnsi="KaiTi" w:hint="eastAsia"/>
          <w:sz w:val="21"/>
        </w:rPr>
        <w:t>[</w:t>
      </w:r>
      <w:r w:rsidRPr="00CC7C32">
        <w:rPr>
          <w:rFonts w:ascii="KaiTi" w:eastAsia="KaiTi" w:hAnsi="KaiTi" w:hint="eastAsia"/>
          <w:sz w:val="21"/>
        </w:rPr>
        <w:t>后接附件</w:t>
      </w:r>
      <w:r w:rsidRPr="00D4259D">
        <w:rPr>
          <w:rFonts w:ascii="KaiTi" w:eastAsia="KaiTi" w:hAnsi="KaiTi" w:hint="eastAsia"/>
          <w:sz w:val="21"/>
        </w:rPr>
        <w:t>]</w:t>
      </w:r>
    </w:p>
    <w:sectPr w:rsidR="002928D3" w:rsidRPr="00A40B2A" w:rsidSect="00CD4F06">
      <w:headerReference w:type="defaul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83" w:rsidRDefault="00CD2683">
      <w:r>
        <w:separator/>
      </w:r>
    </w:p>
  </w:endnote>
  <w:endnote w:type="continuationSeparator" w:id="0">
    <w:p w:rsidR="00CD2683" w:rsidRDefault="00CD2683" w:rsidP="003B38C1">
      <w:r>
        <w:separator/>
      </w:r>
    </w:p>
    <w:p w:rsidR="00CD2683" w:rsidRPr="003B38C1" w:rsidRDefault="00CD26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D2683" w:rsidRPr="003B38C1" w:rsidRDefault="00CD26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83" w:rsidRDefault="00CD2683">
      <w:r>
        <w:separator/>
      </w:r>
    </w:p>
  </w:footnote>
  <w:footnote w:type="continuationSeparator" w:id="0">
    <w:p w:rsidR="00CD2683" w:rsidRDefault="00CD2683" w:rsidP="008B60B2">
      <w:r>
        <w:separator/>
      </w:r>
    </w:p>
    <w:p w:rsidR="00CD2683" w:rsidRPr="00ED77FB" w:rsidRDefault="00CD26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D2683" w:rsidRPr="00ED77FB" w:rsidRDefault="00CD26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183" w:rsidRPr="00A40B2A" w:rsidRDefault="00A81183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A40B2A">
      <w:rPr>
        <w:rFonts w:ascii="SimSun" w:hAnsi="SimSun"/>
        <w:sz w:val="21"/>
      </w:rPr>
      <w:t>CE</w:t>
    </w:r>
    <w:r>
      <w:rPr>
        <w:rFonts w:ascii="SimSun" w:hAnsi="SimSun" w:hint="eastAsia"/>
        <w:sz w:val="21"/>
      </w:rPr>
      <w:t>L</w:t>
    </w:r>
    <w:r w:rsidRPr="00A40B2A">
      <w:rPr>
        <w:rFonts w:ascii="SimSun" w:hAnsi="SimSun"/>
        <w:sz w:val="21"/>
      </w:rPr>
      <w:t>/</w:t>
    </w:r>
    <w:r>
      <w:rPr>
        <w:rFonts w:ascii="SimSun" w:hAnsi="SimSun" w:hint="eastAsia"/>
        <w:sz w:val="21"/>
      </w:rPr>
      <w:t>13</w:t>
    </w:r>
    <w:r w:rsidRPr="00A40B2A">
      <w:rPr>
        <w:rFonts w:ascii="SimSun" w:hAnsi="SimSun"/>
        <w:sz w:val="21"/>
      </w:rPr>
      <w:t>/</w:t>
    </w:r>
    <w:r>
      <w:rPr>
        <w:rFonts w:ascii="SimSun" w:hAnsi="SimSun"/>
        <w:sz w:val="21"/>
      </w:rPr>
      <w:t>2</w:t>
    </w:r>
  </w:p>
  <w:p w:rsidR="00A81183" w:rsidRPr="00A40B2A" w:rsidRDefault="00A81183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Pr="00A40B2A">
      <w:rPr>
        <w:rFonts w:ascii="SimSun" w:hAnsi="SimSun"/>
        <w:sz w:val="21"/>
      </w:rPr>
      <w:fldChar w:fldCharType="begin"/>
    </w:r>
    <w:r w:rsidRPr="00A40B2A">
      <w:rPr>
        <w:rFonts w:ascii="SimSun" w:hAnsi="SimSun"/>
        <w:sz w:val="21"/>
      </w:rPr>
      <w:instrText xml:space="preserve"> PAGE  \* MERGEFORMAT </w:instrText>
    </w:r>
    <w:r w:rsidRPr="00A40B2A">
      <w:rPr>
        <w:rFonts w:ascii="SimSun" w:hAnsi="SimSun"/>
        <w:sz w:val="21"/>
      </w:rPr>
      <w:fldChar w:fldCharType="separate"/>
    </w:r>
    <w:r w:rsidR="00164A29">
      <w:rPr>
        <w:rFonts w:ascii="SimSun" w:hAnsi="SimSun"/>
        <w:noProof/>
        <w:sz w:val="21"/>
      </w:rPr>
      <w:t>4</w:t>
    </w:r>
    <w:r w:rsidRPr="00A40B2A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A81183" w:rsidRPr="00A40B2A" w:rsidRDefault="00A81183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572E8E"/>
    <w:multiLevelType w:val="hybridMultilevel"/>
    <w:tmpl w:val="8BEAF9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242787D"/>
    <w:multiLevelType w:val="hybridMultilevel"/>
    <w:tmpl w:val="83865536"/>
    <w:lvl w:ilvl="0" w:tplc="C85ADF6A">
      <w:start w:val="1"/>
      <w:numFmt w:val="lowerRoman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034D92"/>
    <w:multiLevelType w:val="hybridMultilevel"/>
    <w:tmpl w:val="E01ACCA2"/>
    <w:lvl w:ilvl="0" w:tplc="AF12CF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0D48B4"/>
    <w:multiLevelType w:val="hybridMultilevel"/>
    <w:tmpl w:val="8BEAF9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C7520E"/>
    <w:multiLevelType w:val="hybridMultilevel"/>
    <w:tmpl w:val="A36A8B52"/>
    <w:lvl w:ilvl="0" w:tplc="4664EB02">
      <w:start w:val="1"/>
      <w:numFmt w:val="lowerLetter"/>
      <w:lvlText w:val="(%1)"/>
      <w:lvlJc w:val="left"/>
      <w:pPr>
        <w:ind w:left="360" w:hanging="360"/>
      </w:pPr>
      <w:rPr>
        <w:rFonts w:asciiTheme="minorEastAsia" w:eastAsiaTheme="minorEastAsia" w:hAnsiTheme="minorEastAsia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2"/>
  </w:num>
  <w:num w:numId="39">
    <w:abstractNumId w:val="2"/>
    <w:lvlOverride w:ilvl="0">
      <w:lvl w:ilvl="0" w:tplc="0409000F">
        <w:start w:val="1"/>
        <w:numFmt w:val="decimal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0">
    <w:abstractNumId w:val="5"/>
  </w:num>
  <w:num w:numId="41">
    <w:abstractNumId w:val="8"/>
  </w:num>
  <w:num w:numId="42">
    <w:abstractNumId w:val="10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NbMwNjUwMjYzMjVX0lEKTi0uzszPAykwqQUAYSx4XCwAAAA="/>
  </w:docVars>
  <w:rsids>
    <w:rsidRoot w:val="00370CD2"/>
    <w:rsid w:val="00013907"/>
    <w:rsid w:val="00015E60"/>
    <w:rsid w:val="00042B9D"/>
    <w:rsid w:val="00043CAA"/>
    <w:rsid w:val="000530A7"/>
    <w:rsid w:val="00061DD1"/>
    <w:rsid w:val="00075432"/>
    <w:rsid w:val="000968ED"/>
    <w:rsid w:val="000C061D"/>
    <w:rsid w:val="000F5E56"/>
    <w:rsid w:val="001202FA"/>
    <w:rsid w:val="001362EE"/>
    <w:rsid w:val="00141A5A"/>
    <w:rsid w:val="001601E7"/>
    <w:rsid w:val="00164A29"/>
    <w:rsid w:val="0017069A"/>
    <w:rsid w:val="001832A6"/>
    <w:rsid w:val="001B0533"/>
    <w:rsid w:val="001C1E20"/>
    <w:rsid w:val="001D1208"/>
    <w:rsid w:val="001E3254"/>
    <w:rsid w:val="001F24BE"/>
    <w:rsid w:val="001F69A7"/>
    <w:rsid w:val="00202390"/>
    <w:rsid w:val="00222D8A"/>
    <w:rsid w:val="00230FC4"/>
    <w:rsid w:val="002634C4"/>
    <w:rsid w:val="0027268E"/>
    <w:rsid w:val="002928D3"/>
    <w:rsid w:val="002B50D6"/>
    <w:rsid w:val="002C78FE"/>
    <w:rsid w:val="002F1FE6"/>
    <w:rsid w:val="002F4E68"/>
    <w:rsid w:val="002F64A4"/>
    <w:rsid w:val="00306452"/>
    <w:rsid w:val="0030746E"/>
    <w:rsid w:val="00312F7F"/>
    <w:rsid w:val="00345CBB"/>
    <w:rsid w:val="00361450"/>
    <w:rsid w:val="003673CF"/>
    <w:rsid w:val="0036754F"/>
    <w:rsid w:val="00370CD2"/>
    <w:rsid w:val="00372807"/>
    <w:rsid w:val="00381D95"/>
    <w:rsid w:val="003820BC"/>
    <w:rsid w:val="00382EAC"/>
    <w:rsid w:val="003845C1"/>
    <w:rsid w:val="003A6F89"/>
    <w:rsid w:val="003B38C1"/>
    <w:rsid w:val="003B5DEF"/>
    <w:rsid w:val="004110F9"/>
    <w:rsid w:val="00423E3E"/>
    <w:rsid w:val="00427AF4"/>
    <w:rsid w:val="0043246C"/>
    <w:rsid w:val="0044211E"/>
    <w:rsid w:val="00451048"/>
    <w:rsid w:val="004647DA"/>
    <w:rsid w:val="00474062"/>
    <w:rsid w:val="00477D6B"/>
    <w:rsid w:val="00482FFF"/>
    <w:rsid w:val="00496B8E"/>
    <w:rsid w:val="004A52EE"/>
    <w:rsid w:val="004C1032"/>
    <w:rsid w:val="004C7FB4"/>
    <w:rsid w:val="004E024D"/>
    <w:rsid w:val="005019FF"/>
    <w:rsid w:val="00527FB2"/>
    <w:rsid w:val="0053057A"/>
    <w:rsid w:val="005315FA"/>
    <w:rsid w:val="00547413"/>
    <w:rsid w:val="00560A29"/>
    <w:rsid w:val="00574D23"/>
    <w:rsid w:val="005946EA"/>
    <w:rsid w:val="005B0E7C"/>
    <w:rsid w:val="005C6649"/>
    <w:rsid w:val="005D3EFE"/>
    <w:rsid w:val="005D5306"/>
    <w:rsid w:val="005E0645"/>
    <w:rsid w:val="00605827"/>
    <w:rsid w:val="00646050"/>
    <w:rsid w:val="006502DD"/>
    <w:rsid w:val="006713CA"/>
    <w:rsid w:val="00676C5C"/>
    <w:rsid w:val="0069238C"/>
    <w:rsid w:val="00705FA2"/>
    <w:rsid w:val="007263A2"/>
    <w:rsid w:val="00745BED"/>
    <w:rsid w:val="00751045"/>
    <w:rsid w:val="00764229"/>
    <w:rsid w:val="0076509F"/>
    <w:rsid w:val="007D1613"/>
    <w:rsid w:val="00833CBF"/>
    <w:rsid w:val="008414A3"/>
    <w:rsid w:val="0085177B"/>
    <w:rsid w:val="00852F93"/>
    <w:rsid w:val="00860CFE"/>
    <w:rsid w:val="00884B77"/>
    <w:rsid w:val="008B2CC1"/>
    <w:rsid w:val="008B60B2"/>
    <w:rsid w:val="008C7FF1"/>
    <w:rsid w:val="0090731E"/>
    <w:rsid w:val="00910E28"/>
    <w:rsid w:val="00916EE2"/>
    <w:rsid w:val="00934E32"/>
    <w:rsid w:val="009553C3"/>
    <w:rsid w:val="00966A22"/>
    <w:rsid w:val="0096722F"/>
    <w:rsid w:val="00980843"/>
    <w:rsid w:val="009808E7"/>
    <w:rsid w:val="009A0870"/>
    <w:rsid w:val="009A5A14"/>
    <w:rsid w:val="009E2791"/>
    <w:rsid w:val="009E3F6F"/>
    <w:rsid w:val="009F499F"/>
    <w:rsid w:val="00A00A1B"/>
    <w:rsid w:val="00A235AE"/>
    <w:rsid w:val="00A2557C"/>
    <w:rsid w:val="00A40841"/>
    <w:rsid w:val="00A40B2A"/>
    <w:rsid w:val="00A42DAF"/>
    <w:rsid w:val="00A45BD8"/>
    <w:rsid w:val="00A81183"/>
    <w:rsid w:val="00A852E4"/>
    <w:rsid w:val="00A860EE"/>
    <w:rsid w:val="00A869B7"/>
    <w:rsid w:val="00AB785D"/>
    <w:rsid w:val="00AC205C"/>
    <w:rsid w:val="00AE052C"/>
    <w:rsid w:val="00AF0A6B"/>
    <w:rsid w:val="00B04564"/>
    <w:rsid w:val="00B05A69"/>
    <w:rsid w:val="00B875F1"/>
    <w:rsid w:val="00B9734B"/>
    <w:rsid w:val="00BD2A72"/>
    <w:rsid w:val="00BD59E3"/>
    <w:rsid w:val="00BD77D4"/>
    <w:rsid w:val="00BE5F16"/>
    <w:rsid w:val="00BF14AD"/>
    <w:rsid w:val="00C11BFE"/>
    <w:rsid w:val="00C94758"/>
    <w:rsid w:val="00CA0CC5"/>
    <w:rsid w:val="00CD2683"/>
    <w:rsid w:val="00CD297A"/>
    <w:rsid w:val="00CD4F06"/>
    <w:rsid w:val="00D22A53"/>
    <w:rsid w:val="00D30044"/>
    <w:rsid w:val="00D45252"/>
    <w:rsid w:val="00D63338"/>
    <w:rsid w:val="00D71B4D"/>
    <w:rsid w:val="00D9275E"/>
    <w:rsid w:val="00D93D55"/>
    <w:rsid w:val="00E03B8B"/>
    <w:rsid w:val="00E335FE"/>
    <w:rsid w:val="00E53289"/>
    <w:rsid w:val="00E950C9"/>
    <w:rsid w:val="00E969DB"/>
    <w:rsid w:val="00EB46BE"/>
    <w:rsid w:val="00EB7548"/>
    <w:rsid w:val="00EC0DA5"/>
    <w:rsid w:val="00EC2ACC"/>
    <w:rsid w:val="00EC4E49"/>
    <w:rsid w:val="00ED7143"/>
    <w:rsid w:val="00ED77FB"/>
    <w:rsid w:val="00EE45FA"/>
    <w:rsid w:val="00EF6F70"/>
    <w:rsid w:val="00F05336"/>
    <w:rsid w:val="00F14E51"/>
    <w:rsid w:val="00F35377"/>
    <w:rsid w:val="00F66152"/>
    <w:rsid w:val="00FA7967"/>
    <w:rsid w:val="00FD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rsid w:val="001F69A7"/>
    <w:rPr>
      <w:color w:val="0000FF" w:themeColor="hyperlink"/>
      <w:u w:val="single"/>
    </w:rPr>
  </w:style>
  <w:style w:type="character" w:customStyle="1" w:styleId="FootnoteTextChar">
    <w:name w:val="Footnote Text Char"/>
    <w:aliases w:val="Footnote Char"/>
    <w:link w:val="FootnoteText"/>
    <w:uiPriority w:val="99"/>
    <w:semiHidden/>
    <w:locked/>
    <w:rsid w:val="003820B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rsid w:val="003820B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0530A7"/>
    <w:pPr>
      <w:spacing w:after="200" w:line="276" w:lineRule="auto"/>
      <w:ind w:left="720"/>
      <w:contextualSpacing/>
    </w:pPr>
    <w:rPr>
      <w:rFonts w:ascii="Calibri" w:hAnsi="Calibri" w:cs="Times New Roman"/>
      <w:szCs w:val="22"/>
      <w:lang w:eastAsia="en-US"/>
    </w:rPr>
  </w:style>
  <w:style w:type="paragraph" w:customStyle="1" w:styleId="DecisionInvitingPara">
    <w:name w:val="Decision Inviting Para."/>
    <w:basedOn w:val="Normal"/>
    <w:rsid w:val="000530A7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5E6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rsid w:val="001F69A7"/>
    <w:rPr>
      <w:color w:val="0000FF" w:themeColor="hyperlink"/>
      <w:u w:val="single"/>
    </w:rPr>
  </w:style>
  <w:style w:type="character" w:customStyle="1" w:styleId="FootnoteTextChar">
    <w:name w:val="Footnote Text Char"/>
    <w:aliases w:val="Footnote Char"/>
    <w:link w:val="FootnoteText"/>
    <w:uiPriority w:val="99"/>
    <w:semiHidden/>
    <w:locked/>
    <w:rsid w:val="003820B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rsid w:val="003820B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0530A7"/>
    <w:pPr>
      <w:spacing w:after="200" w:line="276" w:lineRule="auto"/>
      <w:ind w:left="720"/>
      <w:contextualSpacing/>
    </w:pPr>
    <w:rPr>
      <w:rFonts w:ascii="Calibri" w:hAnsi="Calibri" w:cs="Times New Roman"/>
      <w:szCs w:val="22"/>
      <w:lang w:eastAsia="en-US"/>
    </w:rPr>
  </w:style>
  <w:style w:type="paragraph" w:customStyle="1" w:styleId="DecisionInvitingPara">
    <w:name w:val="Decision Inviting Para."/>
    <w:basedOn w:val="Normal"/>
    <w:rsid w:val="000530A7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5E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nef/public/locarno/en/project/1645/LO130" TargetMode="External"/><Relationship Id="rId18" Type="http://schemas.openxmlformats.org/officeDocument/2006/relationships/hyperlink" Target="https://www3.wipo.int/nef/nef-projects/lo132/lo132-a07_ibtr.pdf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3.wipo.int/nef/nef-projects/lo132/lo132-a03_ibcr.pdf" TargetMode="External"/><Relationship Id="rId17" Type="http://schemas.openxmlformats.org/officeDocument/2006/relationships/hyperlink" Target="https://www3.wipo.int/nef/public/locarno/en/project/1590/LO13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po.int/edocs/mdocs/classifications/en/cel_12/cel_12_2.pdf" TargetMode="External"/><Relationship Id="rId20" Type="http://schemas.openxmlformats.org/officeDocument/2006/relationships/hyperlink" Target="https://www3.wipo.int/nef/nef-projects/lo132/lo132-a08_ibpe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nef-projects/lo132/lo132-a09_iba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public/locarno/en/project/1645/LO13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3.wipo.int/nef/public/locarno/en/project/1590/LO132" TargetMode="External"/><Relationship Id="rId19" Type="http://schemas.openxmlformats.org/officeDocument/2006/relationships/hyperlink" Target="https://www3.wipo.int/nef/public/locarno/en/project/1590/LO1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public/locarno/en/project/1590/LO132" TargetMode="External"/><Relationship Id="rId14" Type="http://schemas.openxmlformats.org/officeDocument/2006/relationships/hyperlink" Target="https://www3.wipo.int/nef/public/locarno/en/project/1590/LO13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625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CEL/13/2</vt:lpstr>
    </vt:vector>
  </TitlesOfParts>
  <Company>WIPO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CEL/13/2</dc:title>
  <dc:subject>报告</dc:subject>
  <dc:creator>Christine Carminati</dc:creator>
  <cp:keywords>IPC</cp:keywords>
  <cp:lastModifiedBy>Christine Carminati</cp:lastModifiedBy>
  <cp:revision>2</cp:revision>
  <cp:lastPrinted>2015-12-09T13:02:00Z</cp:lastPrinted>
  <dcterms:created xsi:type="dcterms:W3CDTF">2018-01-16T06:42:00Z</dcterms:created>
  <dcterms:modified xsi:type="dcterms:W3CDTF">2018-01-16T06:42:00Z</dcterms:modified>
</cp:coreProperties>
</file>