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8F3D6EF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7007DB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EA0673" w14:textId="1D4AE774" w:rsidR="00EC4E49" w:rsidRPr="008B2CC1" w:rsidRDefault="00F2382B" w:rsidP="00916EE2">
            <w:r w:rsidRPr="004C201E">
              <w:rPr>
                <w:noProof/>
                <w:lang w:val="de-DE" w:eastAsia="de-DE"/>
              </w:rPr>
              <w:drawing>
                <wp:inline distT="0" distB="0" distL="0" distR="0" wp14:anchorId="5D9E0556" wp14:editId="123F96ED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060B7E" w14:textId="34F5708A" w:rsidR="00EC4E49" w:rsidRPr="008B2CC1" w:rsidRDefault="00F2382B" w:rsidP="00F2382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2E1635B0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D8979E5" w14:textId="6CBCA173" w:rsidR="008B2CC1" w:rsidRPr="0090731E" w:rsidRDefault="00C0065B" w:rsidP="005C4A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5C4A6E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14:paraId="664F258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5165F34" w14:textId="4623DADC" w:rsidR="008B2CC1" w:rsidRPr="0090731E" w:rsidRDefault="00F2382B" w:rsidP="00F2382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8B2CC1" w:rsidRPr="001832A6" w14:paraId="67DACED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560A65C" w14:textId="66A82D56" w:rsidR="008B2CC1" w:rsidRPr="0090731E" w:rsidRDefault="00F2382B" w:rsidP="00F2382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14 мая</w:t>
            </w:r>
            <w:r w:rsidR="004B504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03F045F" w14:textId="77777777" w:rsidR="008B2CC1" w:rsidRPr="008B2CC1" w:rsidRDefault="008B2CC1" w:rsidP="008B2CC1"/>
    <w:p w14:paraId="1C9795AB" w14:textId="77777777" w:rsidR="008B2CC1" w:rsidRPr="008B2CC1" w:rsidRDefault="008B2CC1" w:rsidP="008B2CC1"/>
    <w:p w14:paraId="7E557CD6" w14:textId="77777777" w:rsidR="008B2CC1" w:rsidRPr="008B2CC1" w:rsidRDefault="008B2CC1" w:rsidP="008B2CC1"/>
    <w:p w14:paraId="30A31507" w14:textId="77777777" w:rsidR="008B2CC1" w:rsidRPr="008B2CC1" w:rsidRDefault="008B2CC1" w:rsidP="008B2CC1"/>
    <w:p w14:paraId="7B6A8DF9" w14:textId="77777777" w:rsidR="008B2CC1" w:rsidRPr="008B2CC1" w:rsidRDefault="008B2CC1" w:rsidP="008B2CC1"/>
    <w:p w14:paraId="347B256F" w14:textId="77777777" w:rsidR="00DC2D50" w:rsidRPr="00D033F1" w:rsidRDefault="00DC2D50" w:rsidP="00DC2D5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D033F1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D033F1">
        <w:rPr>
          <w:b/>
          <w:sz w:val="28"/>
          <w:szCs w:val="28"/>
          <w:lang w:val="ru-RU"/>
        </w:rPr>
        <w:t>)</w:t>
      </w:r>
    </w:p>
    <w:p w14:paraId="7357E37F" w14:textId="77777777" w:rsidR="00DC2D50" w:rsidRPr="00D033F1" w:rsidRDefault="00DC2D50" w:rsidP="00DC2D50">
      <w:pPr>
        <w:rPr>
          <w:lang w:val="ru-RU"/>
        </w:rPr>
      </w:pPr>
    </w:p>
    <w:p w14:paraId="0DBF669E" w14:textId="77777777" w:rsidR="00DC2D50" w:rsidRPr="00D033F1" w:rsidRDefault="00DC2D50" w:rsidP="00DC2D50">
      <w:pPr>
        <w:rPr>
          <w:lang w:val="ru-RU"/>
        </w:rPr>
      </w:pPr>
    </w:p>
    <w:p w14:paraId="02D06909" w14:textId="77777777" w:rsidR="00DC2D50" w:rsidRPr="00D033F1" w:rsidRDefault="00DC2D50" w:rsidP="00DC2D5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14:paraId="105A2323" w14:textId="77777777" w:rsidR="00DC2D50" w:rsidRPr="002A548D" w:rsidRDefault="00DC2D50" w:rsidP="00DC2D5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033F1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D033F1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 июля</w:t>
      </w:r>
      <w:r w:rsidRPr="00D033F1">
        <w:rPr>
          <w:b/>
          <w:sz w:val="24"/>
          <w:szCs w:val="24"/>
          <w:lang w:val="ru-RU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14:paraId="6D02B747" w14:textId="77777777" w:rsidR="00DC2D50" w:rsidRPr="00D033F1" w:rsidRDefault="00DC2D50" w:rsidP="00DC2D50">
      <w:pPr>
        <w:rPr>
          <w:lang w:val="ru-RU"/>
        </w:rPr>
      </w:pPr>
    </w:p>
    <w:p w14:paraId="1AA47D7E" w14:textId="77777777" w:rsidR="008B2CC1" w:rsidRPr="00DC2D50" w:rsidRDefault="008B2CC1" w:rsidP="008B2CC1">
      <w:pPr>
        <w:rPr>
          <w:lang w:val="ru-RU"/>
        </w:rPr>
      </w:pPr>
    </w:p>
    <w:p w14:paraId="336F1793" w14:textId="77777777" w:rsidR="008B2CC1" w:rsidRPr="00DC2D50" w:rsidRDefault="008B2CC1" w:rsidP="008B2CC1">
      <w:pPr>
        <w:rPr>
          <w:lang w:val="ru-RU"/>
        </w:rPr>
      </w:pPr>
    </w:p>
    <w:p w14:paraId="47E84336" w14:textId="68038BB9" w:rsidR="008B2CC1" w:rsidRPr="00DC2D50" w:rsidRDefault="00DC2D50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>РЕЗУЛЬТАТЫ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ОБСЛЕДОВАНИЯ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ОБЛАСТИ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ИСПОЛЬЗОВАНИЯ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ВЕДОМСТВАМИ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DC2D5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СОБСТВЕННОСТИ </w:t>
      </w:r>
      <w:r w:rsidR="00441EA4" w:rsidRPr="00441EA4">
        <w:rPr>
          <w:caps/>
          <w:sz w:val="24"/>
          <w:lang w:val="ru-RU"/>
        </w:rPr>
        <w:t>идентификаторов</w:t>
      </w:r>
      <w:r w:rsidR="00441EA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ЗАЯВИТЕЛ</w:t>
      </w:r>
      <w:r w:rsidR="00C35B2B">
        <w:rPr>
          <w:caps/>
          <w:sz w:val="24"/>
          <w:lang w:val="ru-RU"/>
        </w:rPr>
        <w:t>ЕЙ</w:t>
      </w:r>
    </w:p>
    <w:bookmarkEnd w:id="4"/>
    <w:p w14:paraId="34673C2B" w14:textId="77777777" w:rsidR="008B2CC1" w:rsidRPr="00DC2D50" w:rsidRDefault="008B2CC1" w:rsidP="008B2CC1">
      <w:pPr>
        <w:rPr>
          <w:lang w:val="ru-RU"/>
        </w:rPr>
      </w:pPr>
    </w:p>
    <w:p w14:paraId="777C1762" w14:textId="125BB374" w:rsidR="008B2CC1" w:rsidRPr="00566C11" w:rsidRDefault="00DC2D50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14:paraId="6E99FBAA" w14:textId="77777777" w:rsidR="00AC205C" w:rsidRPr="00566C11" w:rsidRDefault="00AC205C">
      <w:pPr>
        <w:rPr>
          <w:lang w:val="ru-RU"/>
        </w:rPr>
      </w:pPr>
    </w:p>
    <w:p w14:paraId="2458ACB5" w14:textId="77777777" w:rsidR="000F5E56" w:rsidRPr="00566C11" w:rsidRDefault="000F5E56">
      <w:pPr>
        <w:rPr>
          <w:lang w:val="ru-RU"/>
        </w:rPr>
      </w:pPr>
    </w:p>
    <w:p w14:paraId="3B7C626D" w14:textId="4218B4E8" w:rsidR="002928D3" w:rsidRPr="00566C11" w:rsidRDefault="002928D3" w:rsidP="0053057A">
      <w:pPr>
        <w:rPr>
          <w:u w:val="single"/>
          <w:lang w:val="ru-RU"/>
        </w:rPr>
      </w:pPr>
    </w:p>
    <w:p w14:paraId="48E0F143" w14:textId="77777777" w:rsidR="00392FC8" w:rsidRPr="00566C11" w:rsidRDefault="00392FC8" w:rsidP="0053057A">
      <w:pPr>
        <w:rPr>
          <w:lang w:val="ru-RU"/>
        </w:rPr>
      </w:pPr>
    </w:p>
    <w:p w14:paraId="476E379C" w14:textId="77777777" w:rsidR="007816C9" w:rsidRPr="00566C11" w:rsidRDefault="007816C9" w:rsidP="0053057A">
      <w:pPr>
        <w:rPr>
          <w:lang w:val="ru-RU"/>
        </w:rPr>
      </w:pPr>
    </w:p>
    <w:p w14:paraId="2DD8CC6F" w14:textId="185FEDA9" w:rsidR="00F23F38" w:rsidRPr="00566C11" w:rsidRDefault="005F5C1B" w:rsidP="00131925">
      <w:pPr>
        <w:pStyle w:val="Heading2"/>
        <w:spacing w:before="0"/>
        <w:rPr>
          <w:lang w:val="ru-RU"/>
        </w:rPr>
      </w:pPr>
      <w:r>
        <w:rPr>
          <w:caps w:val="0"/>
          <w:lang w:val="ru-RU"/>
        </w:rPr>
        <w:t>ВВЕДЕНИЕ</w:t>
      </w:r>
      <w:r w:rsidRPr="00566C11">
        <w:rPr>
          <w:caps w:val="0"/>
          <w:lang w:val="ru-RU"/>
        </w:rPr>
        <w:t xml:space="preserve"> </w:t>
      </w:r>
    </w:p>
    <w:p w14:paraId="7032B94D" w14:textId="015A6F70" w:rsidR="00220FA8" w:rsidRPr="00566C11" w:rsidRDefault="00F23F38" w:rsidP="006E74E2">
      <w:pPr>
        <w:pStyle w:val="ONUME"/>
        <w:numPr>
          <w:ilvl w:val="0"/>
          <w:numId w:val="0"/>
        </w:numPr>
        <w:rPr>
          <w:lang w:val="ru-RU"/>
        </w:rPr>
      </w:pPr>
      <w:r w:rsidRPr="007C4727">
        <w:fldChar w:fldCharType="begin"/>
      </w:r>
      <w:r w:rsidRPr="005F5C1B">
        <w:rPr>
          <w:lang w:val="ru-RU"/>
        </w:rPr>
        <w:instrText xml:space="preserve"> </w:instrText>
      </w:r>
      <w:r w:rsidRPr="007C4727">
        <w:instrText>AUTONUM</w:instrText>
      </w:r>
      <w:r w:rsidRPr="005F5C1B">
        <w:rPr>
          <w:lang w:val="ru-RU"/>
        </w:rPr>
        <w:instrText xml:space="preserve">  </w:instrText>
      </w:r>
      <w:r w:rsidRPr="007C4727">
        <w:fldChar w:fldCharType="end"/>
      </w:r>
      <w:r w:rsidRPr="005F5C1B">
        <w:rPr>
          <w:lang w:val="ru-RU"/>
        </w:rPr>
        <w:tab/>
      </w:r>
      <w:r w:rsidR="005F5C1B">
        <w:rPr>
          <w:lang w:val="ru-RU"/>
        </w:rPr>
        <w:t>Комитет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по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стандартам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ВОИС</w:t>
      </w:r>
      <w:r w:rsidR="005F5C1B" w:rsidRPr="005F5C1B">
        <w:rPr>
          <w:lang w:val="ru-RU"/>
        </w:rPr>
        <w:t xml:space="preserve"> (</w:t>
      </w:r>
      <w:r w:rsidR="005F5C1B">
        <w:rPr>
          <w:lang w:val="ru-RU"/>
        </w:rPr>
        <w:t>КСВ</w:t>
      </w:r>
      <w:r w:rsidR="005F5C1B" w:rsidRPr="005F5C1B">
        <w:rPr>
          <w:lang w:val="ru-RU"/>
        </w:rPr>
        <w:t xml:space="preserve">), </w:t>
      </w:r>
      <w:r w:rsidR="005F5C1B">
        <w:rPr>
          <w:lang w:val="ru-RU"/>
        </w:rPr>
        <w:t>в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ходе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своей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шестой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сессии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в</w:t>
      </w:r>
      <w:r w:rsidR="005F5C1B" w:rsidRPr="005F5C1B">
        <w:rPr>
          <w:lang w:val="ru-RU"/>
        </w:rPr>
        <w:t xml:space="preserve"> 2018</w:t>
      </w:r>
      <w:r w:rsidR="005F5C1B" w:rsidRPr="005F5C1B">
        <w:t> </w:t>
      </w:r>
      <w:r w:rsidR="005F5C1B">
        <w:rPr>
          <w:lang w:val="ru-RU"/>
        </w:rPr>
        <w:t>г</w:t>
      </w:r>
      <w:r w:rsidR="005F5C1B" w:rsidRPr="005F5C1B">
        <w:rPr>
          <w:lang w:val="ru-RU"/>
        </w:rPr>
        <w:t>.</w:t>
      </w:r>
      <w:r w:rsidR="00DC59CB">
        <w:rPr>
          <w:lang w:val="ru-RU"/>
        </w:rPr>
        <w:t>,</w:t>
      </w:r>
      <w:r w:rsidR="005F5C1B" w:rsidRPr="005F5C1B">
        <w:rPr>
          <w:lang w:val="ru-RU"/>
        </w:rPr>
        <w:t xml:space="preserve"> </w:t>
      </w:r>
      <w:r w:rsidR="005F5C1B">
        <w:rPr>
          <w:lang w:val="ru-RU"/>
        </w:rPr>
        <w:t>одобрил вопросник</w:t>
      </w:r>
      <w:r w:rsidR="00C35B2B">
        <w:rPr>
          <w:lang w:val="ru-RU"/>
        </w:rPr>
        <w:t xml:space="preserve"> по </w:t>
      </w:r>
      <w:r w:rsidR="005F5C1B">
        <w:rPr>
          <w:lang w:val="ru-RU"/>
        </w:rPr>
        <w:t>использовани</w:t>
      </w:r>
      <w:r w:rsidR="00C35B2B">
        <w:rPr>
          <w:lang w:val="ru-RU"/>
        </w:rPr>
        <w:t xml:space="preserve">ю ведомствами интеллектуальной собственности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C35B2B">
        <w:rPr>
          <w:lang w:val="ru-RU"/>
        </w:rPr>
        <w:t xml:space="preserve"> заявителей. </w:t>
      </w:r>
      <w:r w:rsidR="00DC59CB">
        <w:rPr>
          <w:lang w:val="ru-RU"/>
        </w:rPr>
        <w:t xml:space="preserve"> </w:t>
      </w:r>
      <w:r w:rsidR="00C35B2B">
        <w:rPr>
          <w:lang w:val="ru-RU"/>
        </w:rPr>
        <w:t xml:space="preserve">КСВ просил Секретариат разослать циркулярное письмо с предложением ведомствам интеллектуальной собственности (ВИС) принять участие в обследовании по </w:t>
      </w:r>
      <w:r w:rsidR="00441EA4">
        <w:rPr>
          <w:lang w:val="ru-RU"/>
        </w:rPr>
        <w:t xml:space="preserve">использованию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C35B2B">
        <w:rPr>
          <w:lang w:val="ru-RU"/>
        </w:rPr>
        <w:t xml:space="preserve">. </w:t>
      </w:r>
      <w:r w:rsidR="006E74E2" w:rsidRPr="00566C11">
        <w:rPr>
          <w:lang w:val="ru-RU"/>
        </w:rPr>
        <w:t>(</w:t>
      </w:r>
      <w:r w:rsidR="006E74E2">
        <w:rPr>
          <w:lang w:val="ru-RU"/>
        </w:rPr>
        <w:t>См. пункты 169</w:t>
      </w:r>
      <w:r w:rsidR="00BF3732">
        <w:rPr>
          <w:lang w:val="ru-RU"/>
        </w:rPr>
        <w:t xml:space="preserve"> </w:t>
      </w:r>
      <w:r w:rsidR="006E74E2">
        <w:rPr>
          <w:lang w:val="ru-RU"/>
        </w:rPr>
        <w:t xml:space="preserve">и 170 документа </w:t>
      </w:r>
      <w:r w:rsidRPr="007C4727">
        <w:t>CWS</w:t>
      </w:r>
      <w:r w:rsidRPr="00566C11">
        <w:rPr>
          <w:lang w:val="ru-RU"/>
        </w:rPr>
        <w:t>/6/34.)</w:t>
      </w:r>
      <w:r w:rsidR="00220FA8" w:rsidRPr="00566C11">
        <w:rPr>
          <w:lang w:val="ru-RU"/>
        </w:rPr>
        <w:t xml:space="preserve"> </w:t>
      </w:r>
    </w:p>
    <w:p w14:paraId="59C8F925" w14:textId="6059BAAF" w:rsidR="00220FA8" w:rsidRPr="006E74E2" w:rsidRDefault="00220FA8" w:rsidP="00220FA8">
      <w:pPr>
        <w:pStyle w:val="ONUME"/>
        <w:numPr>
          <w:ilvl w:val="0"/>
          <w:numId w:val="0"/>
        </w:numPr>
        <w:rPr>
          <w:lang w:val="ru-RU"/>
        </w:rPr>
      </w:pPr>
      <w:r w:rsidRPr="007C4727">
        <w:fldChar w:fldCharType="begin"/>
      </w:r>
      <w:r w:rsidRPr="006E74E2">
        <w:rPr>
          <w:lang w:val="ru-RU"/>
        </w:rPr>
        <w:instrText xml:space="preserve"> </w:instrText>
      </w:r>
      <w:r w:rsidRPr="007C4727">
        <w:instrText>AUTONUM</w:instrText>
      </w:r>
      <w:r w:rsidRPr="006E74E2">
        <w:rPr>
          <w:lang w:val="ru-RU"/>
        </w:rPr>
        <w:instrText xml:space="preserve">  </w:instrText>
      </w:r>
      <w:r w:rsidRPr="007C4727">
        <w:fldChar w:fldCharType="end"/>
      </w:r>
      <w:r w:rsidRPr="006E74E2">
        <w:rPr>
          <w:lang w:val="ru-RU"/>
        </w:rPr>
        <w:tab/>
      </w:r>
      <w:r w:rsidR="006E74E2">
        <w:rPr>
          <w:lang w:val="ru-RU"/>
        </w:rPr>
        <w:t>В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ноябре</w:t>
      </w:r>
      <w:r w:rsidR="006E74E2" w:rsidRPr="006E74E2">
        <w:rPr>
          <w:lang w:val="ru-RU"/>
        </w:rPr>
        <w:t xml:space="preserve"> 2018</w:t>
      </w:r>
      <w:r w:rsidR="006E74E2" w:rsidRPr="006E74E2">
        <w:t> </w:t>
      </w:r>
      <w:r w:rsidR="006E74E2">
        <w:rPr>
          <w:lang w:val="ru-RU"/>
        </w:rPr>
        <w:t>г</w:t>
      </w:r>
      <w:r w:rsidR="006E74E2" w:rsidRPr="006E74E2">
        <w:rPr>
          <w:lang w:val="ru-RU"/>
        </w:rPr>
        <w:t xml:space="preserve">. </w:t>
      </w:r>
      <w:r w:rsidR="006E74E2">
        <w:rPr>
          <w:lang w:val="ru-RU"/>
        </w:rPr>
        <w:t>Секретариат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разослал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циркулярное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письмо</w:t>
      </w:r>
      <w:r w:rsidR="006E74E2" w:rsidRPr="006E74E2">
        <w:rPr>
          <w:lang w:val="ru-RU"/>
        </w:rPr>
        <w:t xml:space="preserve"> </w:t>
      </w:r>
      <w:r>
        <w:t>C</w:t>
      </w:r>
      <w:r w:rsidRPr="006E74E2">
        <w:rPr>
          <w:lang w:val="ru-RU"/>
        </w:rPr>
        <w:t>.</w:t>
      </w:r>
      <w:r>
        <w:t>CWS</w:t>
      </w:r>
      <w:r w:rsidRPr="006E74E2">
        <w:rPr>
          <w:lang w:val="ru-RU"/>
        </w:rPr>
        <w:t xml:space="preserve">.110 </w:t>
      </w:r>
      <w:r w:rsidR="006E74E2">
        <w:rPr>
          <w:lang w:val="ru-RU"/>
        </w:rPr>
        <w:t>с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предложением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ВИС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назначить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представителей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для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участия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в</w:t>
      </w:r>
      <w:r w:rsidR="006E74E2" w:rsidRPr="006E74E2">
        <w:rPr>
          <w:lang w:val="ru-RU"/>
        </w:rPr>
        <w:t xml:space="preserve"> </w:t>
      </w:r>
      <w:r w:rsidR="006E74E2">
        <w:rPr>
          <w:lang w:val="ru-RU"/>
        </w:rPr>
        <w:t>обследовании</w:t>
      </w:r>
      <w:r w:rsidR="006E74E2" w:rsidRPr="006E74E2">
        <w:rPr>
          <w:lang w:val="ru-RU"/>
        </w:rPr>
        <w:t>.</w:t>
      </w:r>
    </w:p>
    <w:p w14:paraId="1752F171" w14:textId="20AABFD9" w:rsidR="002371C7" w:rsidRPr="00566C11" w:rsidRDefault="006E74E2" w:rsidP="007816C9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РЕЗУЛЬТАТЫ</w:t>
      </w:r>
      <w:r w:rsidRPr="00566C11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ОБСЛЕДОВАНИЯ</w:t>
      </w:r>
    </w:p>
    <w:p w14:paraId="640532F9" w14:textId="7958E87F" w:rsidR="00F23F38" w:rsidRPr="007522EE" w:rsidRDefault="002371C7" w:rsidP="007816C9">
      <w:pPr>
        <w:pStyle w:val="ONUME"/>
        <w:numPr>
          <w:ilvl w:val="0"/>
          <w:numId w:val="0"/>
        </w:numPr>
        <w:rPr>
          <w:lang w:val="ru-RU"/>
        </w:rPr>
      </w:pPr>
      <w:r w:rsidRPr="007C4727">
        <w:fldChar w:fldCharType="begin"/>
      </w:r>
      <w:r w:rsidRPr="00BF3732">
        <w:rPr>
          <w:lang w:val="ru-RU"/>
        </w:rPr>
        <w:instrText xml:space="preserve"> </w:instrText>
      </w:r>
      <w:r w:rsidRPr="007C4727">
        <w:instrText>AUTONUM</w:instrText>
      </w:r>
      <w:r w:rsidRPr="00BF3732">
        <w:rPr>
          <w:lang w:val="ru-RU"/>
        </w:rPr>
        <w:instrText xml:space="preserve">  </w:instrText>
      </w:r>
      <w:r w:rsidRPr="007C4727">
        <w:fldChar w:fldCharType="end"/>
      </w:r>
      <w:r w:rsidRPr="00BF3732">
        <w:rPr>
          <w:lang w:val="ru-RU"/>
        </w:rPr>
        <w:tab/>
      </w:r>
      <w:r w:rsidR="00BF3732">
        <w:rPr>
          <w:lang w:val="ru-RU"/>
        </w:rPr>
        <w:t>Настоящее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обследование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с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использованием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вопросника</w:t>
      </w:r>
      <w:r w:rsidR="00BF3732" w:rsidRPr="00BF3732">
        <w:rPr>
          <w:lang w:val="ru-RU"/>
        </w:rPr>
        <w:t xml:space="preserve">, </w:t>
      </w:r>
      <w:r w:rsidR="00BF3732">
        <w:rPr>
          <w:lang w:val="ru-RU"/>
        </w:rPr>
        <w:t>одобренного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КСВ</w:t>
      </w:r>
      <w:r w:rsidR="00BF3732" w:rsidRPr="00BF3732">
        <w:rPr>
          <w:lang w:val="ru-RU"/>
        </w:rPr>
        <w:t xml:space="preserve">, </w:t>
      </w:r>
      <w:r w:rsidR="00DD3FDC">
        <w:rPr>
          <w:lang w:val="ru-RU"/>
        </w:rPr>
        <w:t>проводилось</w:t>
      </w:r>
      <w:r w:rsidR="00DD3FDC" w:rsidRPr="00BF3732">
        <w:rPr>
          <w:lang w:val="ru-RU"/>
        </w:rPr>
        <w:t xml:space="preserve"> </w:t>
      </w:r>
      <w:r w:rsidR="00BF3732">
        <w:rPr>
          <w:lang w:val="ru-RU"/>
        </w:rPr>
        <w:t>с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декабря</w:t>
      </w:r>
      <w:r w:rsidR="00BF3732" w:rsidRPr="00BF3732">
        <w:rPr>
          <w:lang w:val="ru-RU"/>
        </w:rPr>
        <w:t xml:space="preserve"> 2018</w:t>
      </w:r>
      <w:r w:rsidR="00BF3732" w:rsidRPr="00BF3732">
        <w:t> </w:t>
      </w:r>
      <w:r w:rsidR="00BF3732">
        <w:rPr>
          <w:lang w:val="ru-RU"/>
        </w:rPr>
        <w:t>г</w:t>
      </w:r>
      <w:r w:rsidR="00BF3732" w:rsidRPr="00BF3732">
        <w:rPr>
          <w:lang w:val="ru-RU"/>
        </w:rPr>
        <w:t xml:space="preserve">. </w:t>
      </w:r>
      <w:r w:rsidR="00BF3732">
        <w:rPr>
          <w:lang w:val="ru-RU"/>
        </w:rPr>
        <w:t>по</w:t>
      </w:r>
      <w:r w:rsidR="00BF3732" w:rsidRPr="00BF3732">
        <w:rPr>
          <w:lang w:val="ru-RU"/>
        </w:rPr>
        <w:t xml:space="preserve"> </w:t>
      </w:r>
      <w:r w:rsidR="00BF3732">
        <w:rPr>
          <w:lang w:val="ru-RU"/>
        </w:rPr>
        <w:t>март</w:t>
      </w:r>
      <w:r w:rsidR="00BF3732" w:rsidRPr="00BF3732">
        <w:rPr>
          <w:lang w:val="ru-RU"/>
        </w:rPr>
        <w:t xml:space="preserve"> 2019</w:t>
      </w:r>
      <w:r w:rsidR="00BF3732" w:rsidRPr="00BF3732">
        <w:t> </w:t>
      </w:r>
      <w:r w:rsidR="00BF3732">
        <w:rPr>
          <w:lang w:val="ru-RU"/>
        </w:rPr>
        <w:t>г</w:t>
      </w:r>
      <w:r w:rsidR="00BF3732" w:rsidRPr="00BF3732">
        <w:rPr>
          <w:lang w:val="ru-RU"/>
        </w:rPr>
        <w:t>.</w:t>
      </w:r>
      <w:r w:rsidR="00061FE7" w:rsidRPr="00BF3732">
        <w:rPr>
          <w:lang w:val="ru-RU"/>
        </w:rPr>
        <w:t xml:space="preserve"> </w:t>
      </w:r>
      <w:r w:rsidR="00BF3732">
        <w:rPr>
          <w:lang w:val="ru-RU"/>
        </w:rPr>
        <w:t xml:space="preserve"> В ответ на циркулярное письмо тридцать девять ведомств обратились с просьбой предоставить ссылку на веб-страницу обследования. Двадцать</w:t>
      </w:r>
      <w:r w:rsidR="00BF3732" w:rsidRPr="00F01D1A">
        <w:rPr>
          <w:lang w:val="ru-RU"/>
        </w:rPr>
        <w:t xml:space="preserve"> </w:t>
      </w:r>
      <w:r w:rsidR="00BF3732">
        <w:rPr>
          <w:lang w:val="ru-RU"/>
        </w:rPr>
        <w:t>три</w:t>
      </w:r>
      <w:r w:rsidR="00BF3732" w:rsidRPr="00F01D1A">
        <w:rPr>
          <w:lang w:val="ru-RU"/>
        </w:rPr>
        <w:t xml:space="preserve"> </w:t>
      </w:r>
      <w:r w:rsidR="00F01D1A">
        <w:rPr>
          <w:lang w:val="ru-RU"/>
        </w:rPr>
        <w:t>ведомства</w:t>
      </w:r>
      <w:r w:rsidR="00BF3732" w:rsidRPr="00F01D1A">
        <w:rPr>
          <w:lang w:val="ru-RU"/>
        </w:rPr>
        <w:t xml:space="preserve"> </w:t>
      </w:r>
      <w:r w:rsidR="00F01D1A">
        <w:rPr>
          <w:lang w:val="ru-RU"/>
        </w:rPr>
        <w:t>представили</w:t>
      </w:r>
      <w:r w:rsidR="00F01D1A" w:rsidRPr="00F01D1A">
        <w:rPr>
          <w:lang w:val="ru-RU"/>
        </w:rPr>
        <w:t xml:space="preserve"> </w:t>
      </w:r>
      <w:r w:rsidR="00F01D1A">
        <w:rPr>
          <w:lang w:val="ru-RU"/>
        </w:rPr>
        <w:t>ответы</w:t>
      </w:r>
      <w:r w:rsidR="00F01D1A" w:rsidRPr="00F01D1A">
        <w:rPr>
          <w:lang w:val="ru-RU"/>
        </w:rPr>
        <w:t xml:space="preserve"> </w:t>
      </w:r>
      <w:r w:rsidR="00DD3FDC">
        <w:rPr>
          <w:lang w:val="ru-RU"/>
        </w:rPr>
        <w:t xml:space="preserve">на </w:t>
      </w:r>
      <w:r w:rsidR="00F01D1A">
        <w:rPr>
          <w:lang w:val="ru-RU"/>
        </w:rPr>
        <w:t>вопросник</w:t>
      </w:r>
      <w:r w:rsidR="00F01D1A" w:rsidRPr="00F01D1A">
        <w:rPr>
          <w:lang w:val="ru-RU"/>
        </w:rPr>
        <w:t xml:space="preserve"> </w:t>
      </w:r>
      <w:r w:rsidR="00F01D1A">
        <w:rPr>
          <w:lang w:val="ru-RU"/>
        </w:rPr>
        <w:t>обследования</w:t>
      </w:r>
      <w:r w:rsidR="00F01D1A" w:rsidRPr="00F01D1A">
        <w:rPr>
          <w:lang w:val="ru-RU"/>
        </w:rPr>
        <w:t>.</w:t>
      </w:r>
      <w:r w:rsidR="00F01D1A">
        <w:rPr>
          <w:lang w:val="ru-RU"/>
        </w:rPr>
        <w:t xml:space="preserve"> Международное бюро ВОИС проанализировало ответы и подготовило приводимый ниже отчет для его рассмотрения КСВ. </w:t>
      </w:r>
      <w:r w:rsidR="007522EE">
        <w:rPr>
          <w:lang w:val="ru-RU"/>
        </w:rPr>
        <w:t xml:space="preserve"> Полные тексты индивидуальных и коллективных ответов размещены по адресу: </w:t>
      </w:r>
      <w:r w:rsidR="007522EE" w:rsidRPr="007522EE">
        <w:rPr>
          <w:lang w:val="ru-RU"/>
        </w:rPr>
        <w:t>[</w:t>
      </w:r>
      <w:r w:rsidR="007522EE" w:rsidRPr="00FC565F">
        <w:rPr>
          <w:rStyle w:val="Hyperlink"/>
        </w:rPr>
        <w:t>https</w:t>
      </w:r>
      <w:r w:rsidR="007522EE" w:rsidRPr="007522EE">
        <w:rPr>
          <w:rStyle w:val="Hyperlink"/>
          <w:lang w:val="ru-RU"/>
        </w:rPr>
        <w:t>://</w:t>
      </w:r>
      <w:r w:rsidR="007522EE" w:rsidRPr="00FC565F">
        <w:rPr>
          <w:rStyle w:val="Hyperlink"/>
        </w:rPr>
        <w:t>www</w:t>
      </w:r>
      <w:r w:rsidR="007522EE" w:rsidRPr="007522EE">
        <w:rPr>
          <w:rStyle w:val="Hyperlink"/>
          <w:lang w:val="ru-RU"/>
        </w:rPr>
        <w:t>.</w:t>
      </w:r>
      <w:r w:rsidR="007522EE" w:rsidRPr="00FC565F">
        <w:rPr>
          <w:rStyle w:val="Hyperlink"/>
        </w:rPr>
        <w:t>wipo</w:t>
      </w:r>
      <w:r w:rsidR="007522EE" w:rsidRPr="007522EE">
        <w:rPr>
          <w:rStyle w:val="Hyperlink"/>
          <w:lang w:val="ru-RU"/>
        </w:rPr>
        <w:t>.</w:t>
      </w:r>
      <w:r w:rsidR="007522EE" w:rsidRPr="00FC565F">
        <w:rPr>
          <w:rStyle w:val="Hyperlink"/>
        </w:rPr>
        <w:t>int</w:t>
      </w:r>
      <w:r w:rsidR="007522EE" w:rsidRPr="007522EE">
        <w:rPr>
          <w:rStyle w:val="Hyperlink"/>
          <w:lang w:val="ru-RU"/>
        </w:rPr>
        <w:t>/</w:t>
      </w:r>
      <w:r w:rsidR="007522EE" w:rsidRPr="00FC565F">
        <w:rPr>
          <w:rStyle w:val="Hyperlink"/>
        </w:rPr>
        <w:t>edocs</w:t>
      </w:r>
      <w:r w:rsidR="007522EE" w:rsidRPr="007522EE">
        <w:rPr>
          <w:rStyle w:val="Hyperlink"/>
          <w:lang w:val="ru-RU"/>
        </w:rPr>
        <w:t>/</w:t>
      </w:r>
      <w:r w:rsidR="007522EE" w:rsidRPr="00FC565F">
        <w:rPr>
          <w:rStyle w:val="Hyperlink"/>
        </w:rPr>
        <w:t>mdocs</w:t>
      </w:r>
      <w:r w:rsidR="007522EE" w:rsidRPr="007522EE">
        <w:rPr>
          <w:rStyle w:val="Hyperlink"/>
          <w:lang w:val="ru-RU"/>
        </w:rPr>
        <w:t>/</w:t>
      </w:r>
      <w:r w:rsidR="007522EE" w:rsidRPr="00FC565F">
        <w:rPr>
          <w:rStyle w:val="Hyperlink"/>
        </w:rPr>
        <w:t>classifications</w:t>
      </w:r>
      <w:r w:rsidR="007522EE" w:rsidRPr="007522EE">
        <w:rPr>
          <w:rStyle w:val="Hyperlink"/>
          <w:lang w:val="ru-RU"/>
        </w:rPr>
        <w:t>/</w:t>
      </w:r>
      <w:r w:rsidR="007522EE" w:rsidRPr="00FC565F">
        <w:rPr>
          <w:rStyle w:val="Hyperlink"/>
        </w:rPr>
        <w:t>en</w:t>
      </w:r>
      <w:r w:rsidR="007522EE" w:rsidRPr="007522EE">
        <w:rPr>
          <w:rStyle w:val="Hyperlink"/>
          <w:lang w:val="ru-RU"/>
        </w:rPr>
        <w:t>/</w:t>
      </w:r>
      <w:r w:rsidR="007522EE" w:rsidRPr="00FC565F">
        <w:rPr>
          <w:rStyle w:val="Hyperlink"/>
        </w:rPr>
        <w:t>cws</w:t>
      </w:r>
      <w:r w:rsidR="007522EE" w:rsidRPr="007522EE">
        <w:rPr>
          <w:rStyle w:val="Hyperlink"/>
          <w:lang w:val="ru-RU"/>
        </w:rPr>
        <w:t>_7/</w:t>
      </w:r>
      <w:r w:rsidR="007522EE" w:rsidRPr="00FC565F">
        <w:rPr>
          <w:rStyle w:val="Hyperlink"/>
        </w:rPr>
        <w:t>cws</w:t>
      </w:r>
      <w:r w:rsidR="007522EE" w:rsidRPr="007522EE">
        <w:rPr>
          <w:rStyle w:val="Hyperlink"/>
          <w:lang w:val="ru-RU"/>
        </w:rPr>
        <w:t>_7_8-</w:t>
      </w:r>
      <w:r w:rsidR="007522EE" w:rsidRPr="00FC565F">
        <w:rPr>
          <w:rStyle w:val="Hyperlink"/>
        </w:rPr>
        <w:t>related</w:t>
      </w:r>
      <w:r w:rsidR="007522EE" w:rsidRPr="007522EE">
        <w:rPr>
          <w:rStyle w:val="Hyperlink"/>
          <w:lang w:val="ru-RU"/>
        </w:rPr>
        <w:t>1.</w:t>
      </w:r>
      <w:r w:rsidR="007522EE" w:rsidRPr="00FC565F">
        <w:rPr>
          <w:rStyle w:val="Hyperlink"/>
        </w:rPr>
        <w:t>zip</w:t>
      </w:r>
      <w:r w:rsidR="007522EE" w:rsidRPr="007522EE">
        <w:rPr>
          <w:lang w:val="ru-RU"/>
        </w:rPr>
        <w:t>]</w:t>
      </w:r>
      <w:r w:rsidR="00061FE7" w:rsidRPr="007522EE">
        <w:rPr>
          <w:lang w:val="ru-RU"/>
        </w:rPr>
        <w:t>.</w:t>
      </w:r>
    </w:p>
    <w:p w14:paraId="2D063112" w14:textId="30ED841D" w:rsidR="00061FE7" w:rsidRPr="007C00C1" w:rsidRDefault="002371C7" w:rsidP="00131925">
      <w:pPr>
        <w:pStyle w:val="ONUME"/>
        <w:keepLines/>
        <w:numPr>
          <w:ilvl w:val="0"/>
          <w:numId w:val="0"/>
        </w:numPr>
        <w:rPr>
          <w:lang w:val="ru-RU"/>
        </w:rPr>
      </w:pPr>
      <w:r w:rsidRPr="007C4727">
        <w:fldChar w:fldCharType="begin"/>
      </w:r>
      <w:r w:rsidRPr="007C00C1">
        <w:rPr>
          <w:lang w:val="ru-RU"/>
        </w:rPr>
        <w:instrText xml:space="preserve"> </w:instrText>
      </w:r>
      <w:r w:rsidRPr="007C4727">
        <w:instrText>AUTONUM</w:instrText>
      </w:r>
      <w:r w:rsidRPr="007C00C1">
        <w:rPr>
          <w:lang w:val="ru-RU"/>
        </w:rPr>
        <w:instrText xml:space="preserve">  </w:instrText>
      </w:r>
      <w:r w:rsidRPr="007C4727">
        <w:fldChar w:fldCharType="end"/>
      </w:r>
      <w:r w:rsidRPr="007C00C1">
        <w:rPr>
          <w:lang w:val="ru-RU"/>
        </w:rPr>
        <w:tab/>
      </w:r>
      <w:r w:rsidR="007522EE">
        <w:rPr>
          <w:lang w:val="ru-RU"/>
        </w:rPr>
        <w:t>Вопросник</w:t>
      </w:r>
      <w:r w:rsidR="007522EE" w:rsidRPr="007C00C1">
        <w:rPr>
          <w:lang w:val="ru-RU"/>
        </w:rPr>
        <w:t xml:space="preserve"> </w:t>
      </w:r>
      <w:r w:rsidR="007522EE">
        <w:rPr>
          <w:lang w:val="ru-RU"/>
        </w:rPr>
        <w:t>содержал</w:t>
      </w:r>
      <w:r w:rsidR="007522EE" w:rsidRPr="007C00C1">
        <w:rPr>
          <w:lang w:val="ru-RU"/>
        </w:rPr>
        <w:t xml:space="preserve"> </w:t>
      </w:r>
      <w:r w:rsidR="007522EE">
        <w:rPr>
          <w:lang w:val="ru-RU"/>
        </w:rPr>
        <w:t>вопросы</w:t>
      </w:r>
      <w:r w:rsidR="007522EE" w:rsidRPr="007C00C1">
        <w:rPr>
          <w:lang w:val="ru-RU"/>
        </w:rPr>
        <w:t xml:space="preserve">, </w:t>
      </w:r>
      <w:r w:rsidR="007522EE">
        <w:rPr>
          <w:lang w:val="ru-RU"/>
        </w:rPr>
        <w:t>касающиеся</w:t>
      </w:r>
      <w:r w:rsidR="007522EE" w:rsidRPr="007C00C1">
        <w:rPr>
          <w:lang w:val="ru-RU"/>
        </w:rPr>
        <w:t xml:space="preserve"> </w:t>
      </w:r>
      <w:r w:rsidR="007522EE">
        <w:rPr>
          <w:lang w:val="ru-RU"/>
        </w:rPr>
        <w:t>использования</w:t>
      </w:r>
      <w:r w:rsidR="007522EE" w:rsidRPr="007C00C1">
        <w:rPr>
          <w:lang w:val="ru-RU"/>
        </w:rPr>
        <w:t xml:space="preserve"> </w:t>
      </w:r>
      <w:r w:rsidR="007522EE">
        <w:rPr>
          <w:lang w:val="ru-RU"/>
        </w:rPr>
        <w:t>ВИС</w:t>
      </w:r>
      <w:r w:rsidR="007522EE" w:rsidRPr="007C00C1">
        <w:rPr>
          <w:lang w:val="ru-RU"/>
        </w:rPr>
        <w:t xml:space="preserve">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7C00C1">
        <w:rPr>
          <w:lang w:val="ru-RU"/>
        </w:rPr>
        <w:t xml:space="preserve"> имен заявителей.</w:t>
      </w:r>
      <w:r w:rsidR="00061FE7" w:rsidRPr="007C00C1">
        <w:rPr>
          <w:lang w:val="ru-RU"/>
        </w:rPr>
        <w:t xml:space="preserve">  </w:t>
      </w:r>
      <w:r w:rsidR="007C00C1">
        <w:rPr>
          <w:lang w:val="ru-RU"/>
        </w:rPr>
        <w:t>Вопросы</w:t>
      </w:r>
      <w:r w:rsidR="007C00C1" w:rsidRPr="007C00C1">
        <w:rPr>
          <w:lang w:val="ru-RU"/>
        </w:rPr>
        <w:t xml:space="preserve">, </w:t>
      </w:r>
      <w:r w:rsidR="007C00C1">
        <w:rPr>
          <w:lang w:val="ru-RU"/>
        </w:rPr>
        <w:t>в</w:t>
      </w:r>
      <w:r w:rsidR="007C00C1" w:rsidRPr="007C00C1">
        <w:rPr>
          <w:lang w:val="ru-RU"/>
        </w:rPr>
        <w:t xml:space="preserve"> </w:t>
      </w:r>
      <w:r w:rsidR="007C00C1">
        <w:rPr>
          <w:lang w:val="ru-RU"/>
        </w:rPr>
        <w:t>частности</w:t>
      </w:r>
      <w:r w:rsidR="007C00C1" w:rsidRPr="007C00C1">
        <w:rPr>
          <w:lang w:val="ru-RU"/>
        </w:rPr>
        <w:t xml:space="preserve">, </w:t>
      </w:r>
      <w:r w:rsidR="007C00C1">
        <w:rPr>
          <w:lang w:val="ru-RU"/>
        </w:rPr>
        <w:t>касались</w:t>
      </w:r>
      <w:r w:rsidR="007C00C1" w:rsidRPr="007C00C1">
        <w:rPr>
          <w:lang w:val="ru-RU"/>
        </w:rPr>
        <w:t xml:space="preserve"> </w:t>
      </w:r>
      <w:r w:rsidR="007C00C1">
        <w:rPr>
          <w:lang w:val="ru-RU"/>
        </w:rPr>
        <w:t>предполагаемых</w:t>
      </w:r>
      <w:r w:rsidR="007C00C1" w:rsidRPr="007C00C1">
        <w:rPr>
          <w:lang w:val="ru-RU"/>
        </w:rPr>
        <w:t xml:space="preserve"> </w:t>
      </w:r>
      <w:r w:rsidR="007C00C1">
        <w:rPr>
          <w:lang w:val="ru-RU"/>
        </w:rPr>
        <w:t>преимуществ</w:t>
      </w:r>
      <w:r w:rsidR="007C00C1" w:rsidRPr="007C00C1">
        <w:rPr>
          <w:lang w:val="ru-RU"/>
        </w:rPr>
        <w:t xml:space="preserve"> </w:t>
      </w:r>
      <w:r w:rsidR="007C00C1">
        <w:rPr>
          <w:lang w:val="ru-RU"/>
        </w:rPr>
        <w:t>и</w:t>
      </w:r>
      <w:r w:rsidR="007C00C1" w:rsidRPr="007C00C1">
        <w:rPr>
          <w:lang w:val="ru-RU"/>
        </w:rPr>
        <w:t xml:space="preserve"> </w:t>
      </w:r>
      <w:r w:rsidR="007C00C1">
        <w:rPr>
          <w:lang w:val="ru-RU"/>
        </w:rPr>
        <w:lastRenderedPageBreak/>
        <w:t xml:space="preserve">недостатков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061FE7" w:rsidRPr="007C00C1">
        <w:rPr>
          <w:lang w:val="ru-RU"/>
        </w:rPr>
        <w:t xml:space="preserve">, </w:t>
      </w:r>
      <w:r w:rsidR="00DD3FDC">
        <w:rPr>
          <w:lang w:val="ru-RU"/>
        </w:rPr>
        <w:t xml:space="preserve">того, </w:t>
      </w:r>
      <w:r w:rsidR="007C00C1">
        <w:rPr>
          <w:lang w:val="ru-RU"/>
        </w:rPr>
        <w:t xml:space="preserve">каким образом ВИС присваивают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="00061FE7" w:rsidRPr="007C00C1">
        <w:rPr>
          <w:lang w:val="ru-RU"/>
        </w:rPr>
        <w:t xml:space="preserve"> </w:t>
      </w:r>
      <w:r w:rsidR="007C00C1">
        <w:rPr>
          <w:lang w:val="ru-RU"/>
        </w:rPr>
        <w:t>и план</w:t>
      </w:r>
      <w:r w:rsidR="00DD3FDC">
        <w:rPr>
          <w:lang w:val="ru-RU"/>
        </w:rPr>
        <w:t>ов</w:t>
      </w:r>
      <w:r w:rsidR="007C00C1">
        <w:rPr>
          <w:lang w:val="ru-RU"/>
        </w:rPr>
        <w:t xml:space="preserve"> ВИС </w:t>
      </w:r>
      <w:r w:rsidR="0053297E">
        <w:rPr>
          <w:lang w:val="ru-RU"/>
        </w:rPr>
        <w:t xml:space="preserve">относительно </w:t>
      </w:r>
      <w:r w:rsidR="007C00C1">
        <w:rPr>
          <w:lang w:val="ru-RU"/>
        </w:rPr>
        <w:t>использовани</w:t>
      </w:r>
      <w:r w:rsidR="0053297E">
        <w:rPr>
          <w:lang w:val="ru-RU"/>
        </w:rPr>
        <w:t xml:space="preserve">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53297E">
        <w:rPr>
          <w:lang w:val="ru-RU"/>
        </w:rPr>
        <w:t xml:space="preserve"> в будущем</w:t>
      </w:r>
      <w:r w:rsidR="00061FE7" w:rsidRPr="007C00C1">
        <w:rPr>
          <w:lang w:val="ru-RU"/>
        </w:rPr>
        <w:t>.</w:t>
      </w:r>
    </w:p>
    <w:p w14:paraId="61955734" w14:textId="4455CB62" w:rsidR="00061FE7" w:rsidRPr="0053297E" w:rsidRDefault="00061FE7" w:rsidP="00AB7E57">
      <w:pPr>
        <w:keepNext/>
        <w:keepLines/>
        <w:spacing w:line="360" w:lineRule="auto"/>
        <w:rPr>
          <w:rStyle w:val="BodyTextChar"/>
          <w:lang w:val="ru-RU"/>
        </w:rPr>
      </w:pPr>
      <w:r w:rsidRPr="003C4B82">
        <w:fldChar w:fldCharType="begin"/>
      </w:r>
      <w:r w:rsidRPr="0053297E">
        <w:rPr>
          <w:lang w:val="ru-RU"/>
        </w:rPr>
        <w:instrText xml:space="preserve"> </w:instrText>
      </w:r>
      <w:r w:rsidRPr="003C4B82">
        <w:instrText>AUTONUM</w:instrText>
      </w:r>
      <w:r w:rsidRPr="0053297E">
        <w:rPr>
          <w:lang w:val="ru-RU"/>
        </w:rPr>
        <w:instrText xml:space="preserve"> </w:instrText>
      </w:r>
      <w:r w:rsidRPr="003C4B82">
        <w:fldChar w:fldCharType="end"/>
      </w:r>
      <w:r w:rsidRPr="0053297E">
        <w:rPr>
          <w:lang w:val="ru-RU"/>
        </w:rPr>
        <w:tab/>
      </w:r>
      <w:r w:rsidR="0053297E">
        <w:rPr>
          <w:lang w:val="ru-RU"/>
        </w:rPr>
        <w:t>В</w:t>
      </w:r>
      <w:r w:rsidR="0053297E" w:rsidRPr="0053297E">
        <w:rPr>
          <w:lang w:val="ru-RU"/>
        </w:rPr>
        <w:t xml:space="preserve"> </w:t>
      </w:r>
      <w:r w:rsidR="0053297E">
        <w:rPr>
          <w:lang w:val="ru-RU"/>
        </w:rPr>
        <w:t>обследования</w:t>
      </w:r>
      <w:r w:rsidR="0053297E" w:rsidRPr="0053297E">
        <w:rPr>
          <w:lang w:val="ru-RU"/>
        </w:rPr>
        <w:t xml:space="preserve"> </w:t>
      </w:r>
      <w:r w:rsidR="0053297E">
        <w:rPr>
          <w:lang w:val="ru-RU"/>
        </w:rPr>
        <w:t>приняли участие ведомства следующих 23 стран</w:t>
      </w:r>
      <w:r w:rsidRPr="0053297E">
        <w:rPr>
          <w:rStyle w:val="BodyTextChar"/>
          <w:lang w:val="ru-RU"/>
        </w:rPr>
        <w:t>:</w:t>
      </w:r>
    </w:p>
    <w:p w14:paraId="379DDD25" w14:textId="77777777" w:rsidR="00061FE7" w:rsidRPr="0053297E" w:rsidRDefault="00061FE7" w:rsidP="00AB7E57">
      <w:pPr>
        <w:keepNext/>
        <w:keepLines/>
        <w:spacing w:line="360" w:lineRule="auto"/>
        <w:rPr>
          <w:lang w:val="ru-RU"/>
        </w:rPr>
      </w:pPr>
    </w:p>
    <w:tbl>
      <w:tblPr>
        <w:tblW w:w="4407" w:type="dxa"/>
        <w:tblInd w:w="93" w:type="dxa"/>
        <w:tblLook w:val="0000" w:firstRow="0" w:lastRow="0" w:firstColumn="0" w:lastColumn="0" w:noHBand="0" w:noVBand="0"/>
      </w:tblPr>
      <w:tblGrid>
        <w:gridCol w:w="960"/>
        <w:gridCol w:w="3447"/>
      </w:tblGrid>
      <w:tr w:rsidR="008A238F" w:rsidRPr="008A238F" w14:paraId="331AD897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84BCB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AU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9B83" w14:textId="6A0FECBC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Австрали</w:t>
            </w:r>
            <w:r w:rsidR="004E026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</w:p>
        </w:tc>
      </w:tr>
      <w:tr w:rsidR="008A238F" w:rsidRPr="008A238F" w14:paraId="33DA5613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F731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CA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EE093" w14:textId="5D3F62DD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Канад</w:t>
            </w:r>
            <w:r w:rsidR="004E0268">
              <w:rPr>
                <w:lang w:val="ru-RU"/>
              </w:rPr>
              <w:t>ы</w:t>
            </w:r>
            <w:r>
              <w:rPr>
                <w:lang w:val="ru-RU"/>
              </w:rPr>
              <w:t xml:space="preserve"> </w:t>
            </w:r>
          </w:p>
        </w:tc>
      </w:tr>
      <w:tr w:rsidR="008A238F" w:rsidRPr="008A238F" w14:paraId="1F620A2F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D53E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CH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8A28" w14:textId="2672D622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Швейцари</w:t>
            </w:r>
            <w:r w:rsidR="004E026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</w:p>
        </w:tc>
      </w:tr>
      <w:tr w:rsidR="008A238F" w:rsidRPr="008A238F" w14:paraId="06E4723E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64E6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CN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8B64" w14:textId="2F33B46D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Кита</w:t>
            </w:r>
            <w:r w:rsidR="004E0268">
              <w:rPr>
                <w:lang w:val="ru-RU"/>
              </w:rPr>
              <w:t>я</w:t>
            </w:r>
          </w:p>
        </w:tc>
      </w:tr>
      <w:tr w:rsidR="008A238F" w:rsidRPr="008A238F" w14:paraId="11470C1E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F721E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CO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9A836" w14:textId="382BAD93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Колумби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6C1C8586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8EF9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CR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C982" w14:textId="390BDBD1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Коста-Рик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084A454D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44EA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CZ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F99C1" w14:textId="3459432E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Чешск</w:t>
            </w:r>
            <w:r w:rsidR="004E0268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Республик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44A517C4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59B1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DE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A900C" w14:textId="5FE39DDF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Германи</w:t>
            </w:r>
            <w:r w:rsidR="004E026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</w:p>
        </w:tc>
      </w:tr>
      <w:tr w:rsidR="008A238F" w:rsidRPr="008A238F" w14:paraId="23533D70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9A44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DO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3D0EF" w14:textId="154B1C55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Доминиканск</w:t>
            </w:r>
            <w:r w:rsidR="004E0268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Республик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58C7C86C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B8A5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EE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06C4F" w14:textId="3714B63C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Эстони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7AEFA88F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BA25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ES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C7ED" w14:textId="6DAF4A68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Испани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662C5724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7181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GB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94FEE" w14:textId="42E8B800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Соединенно</w:t>
            </w:r>
            <w:r w:rsidR="004E0268">
              <w:rPr>
                <w:lang w:val="ru-RU"/>
              </w:rPr>
              <w:t>го</w:t>
            </w:r>
            <w:r>
              <w:rPr>
                <w:lang w:val="ru-RU"/>
              </w:rPr>
              <w:t xml:space="preserve"> Королевств</w:t>
            </w:r>
            <w:r w:rsidR="004E0268">
              <w:rPr>
                <w:lang w:val="ru-RU"/>
              </w:rPr>
              <w:t>а</w:t>
            </w:r>
          </w:p>
        </w:tc>
      </w:tr>
      <w:tr w:rsidR="008A238F" w:rsidRPr="008A238F" w14:paraId="0A669E49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FFAE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HR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89CDE" w14:textId="4719C4B5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Хорвати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7F870068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FB63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IT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C687" w14:textId="0EE7B9F8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Итали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59836344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8E0A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JP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10400" w14:textId="6C7A3422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Япони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044ABCAF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1DDE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KR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A9249" w14:textId="032D7CA6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Республик</w:t>
            </w:r>
            <w:r w:rsidR="004E026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Корея</w:t>
            </w:r>
          </w:p>
        </w:tc>
      </w:tr>
      <w:tr w:rsidR="008A238F" w:rsidRPr="008A238F" w14:paraId="272C4153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47F6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MD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7FA9" w14:textId="1F968FA7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Республик</w:t>
            </w:r>
            <w:r w:rsidR="004E026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Молдова</w:t>
            </w:r>
          </w:p>
        </w:tc>
      </w:tr>
      <w:tr w:rsidR="008A238F" w:rsidRPr="008A238F" w14:paraId="19DB546D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2D934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NZ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387BE" w14:textId="13CA6A6C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Нов</w:t>
            </w:r>
            <w:r w:rsidR="004E0268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Зеланди</w:t>
            </w:r>
            <w:r w:rsidR="004E026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</w:p>
        </w:tc>
      </w:tr>
      <w:tr w:rsidR="008A238F" w:rsidRPr="008A238F" w14:paraId="52623F5E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8941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RU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4A2C" w14:textId="50D916C5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Российск</w:t>
            </w:r>
            <w:r w:rsidR="004E0268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Федераци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3A1D2F5E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DAA2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SE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13864" w14:textId="12B457B9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Швеци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0B06BDB0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F73A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SK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29E3" w14:textId="1261FB6F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Словаки</w:t>
            </w:r>
            <w:r w:rsidR="004E0268">
              <w:rPr>
                <w:lang w:val="ru-RU"/>
              </w:rPr>
              <w:t>и</w:t>
            </w:r>
          </w:p>
        </w:tc>
      </w:tr>
      <w:tr w:rsidR="008A238F" w:rsidRPr="008A238F" w14:paraId="7FD27CEA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7C2B6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UA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57550" w14:textId="530BD9D8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Украин</w:t>
            </w:r>
            <w:r w:rsidR="004E0268">
              <w:rPr>
                <w:lang w:val="ru-RU"/>
              </w:rPr>
              <w:t>ы</w:t>
            </w:r>
          </w:p>
        </w:tc>
      </w:tr>
      <w:tr w:rsidR="008A238F" w:rsidRPr="008A238F" w14:paraId="3CE6790A" w14:textId="77777777" w:rsidTr="004E02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0AC7" w14:textId="77777777" w:rsidR="008A238F" w:rsidRPr="008A238F" w:rsidRDefault="008A238F" w:rsidP="008A238F">
            <w:pPr>
              <w:keepNext/>
              <w:keepLines/>
              <w:spacing w:line="360" w:lineRule="auto"/>
              <w:rPr>
                <w:color w:val="000000"/>
              </w:rPr>
            </w:pPr>
            <w:r w:rsidRPr="008A238F">
              <w:rPr>
                <w:color w:val="000000"/>
              </w:rPr>
              <w:t>US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D522D" w14:textId="7780A829" w:rsidR="008A238F" w:rsidRPr="008A238F" w:rsidRDefault="0053297E" w:rsidP="004E0268">
            <w:pPr>
              <w:keepNext/>
              <w:keepLines/>
              <w:spacing w:line="360" w:lineRule="auto"/>
            </w:pPr>
            <w:r>
              <w:rPr>
                <w:lang w:val="ru-RU"/>
              </w:rPr>
              <w:t>Соединенны</w:t>
            </w:r>
            <w:r w:rsidR="004E0268">
              <w:rPr>
                <w:lang w:val="ru-RU"/>
              </w:rPr>
              <w:t>х</w:t>
            </w:r>
            <w:r>
              <w:rPr>
                <w:lang w:val="ru-RU"/>
              </w:rPr>
              <w:t xml:space="preserve"> Штат</w:t>
            </w:r>
            <w:r w:rsidR="004E0268">
              <w:rPr>
                <w:lang w:val="ru-RU"/>
              </w:rPr>
              <w:t xml:space="preserve">ов </w:t>
            </w:r>
            <w:r>
              <w:rPr>
                <w:lang w:val="ru-RU"/>
              </w:rPr>
              <w:t xml:space="preserve">Америки </w:t>
            </w:r>
          </w:p>
        </w:tc>
      </w:tr>
    </w:tbl>
    <w:p w14:paraId="5840AF39" w14:textId="77777777" w:rsidR="00061FE7" w:rsidRPr="003C4B82" w:rsidRDefault="00061FE7" w:rsidP="00061FE7">
      <w:pPr>
        <w:spacing w:line="360" w:lineRule="auto"/>
      </w:pPr>
    </w:p>
    <w:p w14:paraId="25990D80" w14:textId="61C2D358" w:rsidR="004E0268" w:rsidRPr="00391CFF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4E0268">
        <w:rPr>
          <w:lang w:val="ru-RU"/>
        </w:rPr>
        <w:instrText xml:space="preserve"> </w:instrText>
      </w:r>
      <w:r w:rsidRPr="003C4B82">
        <w:instrText>AUTONUM</w:instrText>
      </w:r>
      <w:r w:rsidRPr="004E0268">
        <w:rPr>
          <w:lang w:val="ru-RU"/>
        </w:rPr>
        <w:instrText xml:space="preserve"> </w:instrText>
      </w:r>
      <w:r w:rsidRPr="003C4B82">
        <w:fldChar w:fldCharType="end"/>
      </w:r>
      <w:r w:rsidRPr="004E0268">
        <w:rPr>
          <w:lang w:val="ru-RU"/>
        </w:rPr>
        <w:tab/>
      </w:r>
      <w:r w:rsidR="004E0268">
        <w:rPr>
          <w:lang w:val="ru-RU"/>
        </w:rPr>
        <w:t>В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настоящем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отчете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представлено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резюме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ответов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на</w:t>
      </w:r>
      <w:r w:rsidR="004E0268" w:rsidRPr="004E0268">
        <w:rPr>
          <w:lang w:val="ru-RU"/>
        </w:rPr>
        <w:t xml:space="preserve"> </w:t>
      </w:r>
      <w:r w:rsidR="004E0268">
        <w:rPr>
          <w:lang w:val="ru-RU"/>
        </w:rPr>
        <w:t>вопросник</w:t>
      </w:r>
      <w:r w:rsidR="004E0268" w:rsidRPr="004E0268">
        <w:rPr>
          <w:lang w:val="ru-RU"/>
        </w:rPr>
        <w:t>.</w:t>
      </w:r>
      <w:r w:rsidRPr="004E0268">
        <w:rPr>
          <w:lang w:val="ru-RU"/>
        </w:rPr>
        <w:t xml:space="preserve">  </w:t>
      </w:r>
      <w:r w:rsidR="00DD3FDC">
        <w:rPr>
          <w:lang w:val="ru-RU"/>
        </w:rPr>
        <w:t>Для</w:t>
      </w:r>
      <w:r w:rsidR="00DD743D">
        <w:rPr>
          <w:lang w:val="ru-RU"/>
        </w:rPr>
        <w:t xml:space="preserve"> цел</w:t>
      </w:r>
      <w:r w:rsidR="00DD3FDC">
        <w:rPr>
          <w:lang w:val="ru-RU"/>
        </w:rPr>
        <w:t>ей</w:t>
      </w:r>
      <w:r w:rsidR="00DD743D">
        <w:rPr>
          <w:lang w:val="ru-RU"/>
        </w:rPr>
        <w:t xml:space="preserve"> перевода, сокращения, уточнения или согласования отдельные </w:t>
      </w:r>
      <w:r w:rsidR="00DC59CB">
        <w:rPr>
          <w:lang w:val="ru-RU"/>
        </w:rPr>
        <w:t xml:space="preserve">комментарии </w:t>
      </w:r>
      <w:r w:rsidR="00DD743D">
        <w:rPr>
          <w:lang w:val="ru-RU"/>
        </w:rPr>
        <w:t xml:space="preserve">из первоначальных ответов были переформулированы. </w:t>
      </w:r>
      <w:r w:rsidR="00DD743D" w:rsidRPr="00DD743D">
        <w:rPr>
          <w:lang w:val="ru-RU"/>
        </w:rPr>
        <w:t>Любое</w:t>
      </w:r>
      <w:r w:rsidR="00DD743D" w:rsidRPr="00391CFF">
        <w:rPr>
          <w:lang w:val="ru-RU"/>
        </w:rPr>
        <w:t xml:space="preserve"> </w:t>
      </w:r>
      <w:r w:rsidR="00391CFF">
        <w:rPr>
          <w:lang w:val="ru-RU"/>
        </w:rPr>
        <w:t>изменение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смысла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первоначальных</w:t>
      </w:r>
      <w:r w:rsidR="00391CFF" w:rsidRPr="00391CFF">
        <w:rPr>
          <w:lang w:val="ru-RU"/>
        </w:rPr>
        <w:t xml:space="preserve"> </w:t>
      </w:r>
      <w:r w:rsidR="00DC59CB">
        <w:rPr>
          <w:lang w:val="ru-RU"/>
        </w:rPr>
        <w:t xml:space="preserve">комментариев </w:t>
      </w:r>
      <w:r w:rsidR="00DD743D" w:rsidRPr="00DD743D">
        <w:rPr>
          <w:lang w:val="ru-RU"/>
        </w:rPr>
        <w:t>носит</w:t>
      </w:r>
      <w:r w:rsidR="00DD743D" w:rsidRPr="00391CFF">
        <w:rPr>
          <w:lang w:val="ru-RU"/>
        </w:rPr>
        <w:t xml:space="preserve"> </w:t>
      </w:r>
      <w:r w:rsidR="00DD743D" w:rsidRPr="00DD743D">
        <w:rPr>
          <w:lang w:val="ru-RU"/>
        </w:rPr>
        <w:t>непреднамеренный</w:t>
      </w:r>
      <w:r w:rsidR="00DD743D" w:rsidRPr="00391CFF">
        <w:rPr>
          <w:lang w:val="ru-RU"/>
        </w:rPr>
        <w:t xml:space="preserve"> </w:t>
      </w:r>
      <w:r w:rsidR="00DD743D" w:rsidRPr="00DD743D">
        <w:rPr>
          <w:lang w:val="ru-RU"/>
        </w:rPr>
        <w:t>характер</w:t>
      </w:r>
      <w:r w:rsidR="00DD743D" w:rsidRPr="00391CFF">
        <w:rPr>
          <w:lang w:val="ru-RU"/>
        </w:rPr>
        <w:t>.</w:t>
      </w:r>
      <w:r w:rsidR="00391CFF">
        <w:rPr>
          <w:lang w:val="ru-RU"/>
        </w:rPr>
        <w:t xml:space="preserve">  Вопросник состоит из трех </w:t>
      </w:r>
      <w:r w:rsidR="004117E3">
        <w:rPr>
          <w:lang w:val="ru-RU"/>
        </w:rPr>
        <w:t>разделов</w:t>
      </w:r>
      <w:r w:rsidR="00391CFF">
        <w:rPr>
          <w:lang w:val="ru-RU"/>
        </w:rPr>
        <w:t>, и резюме каждо</w:t>
      </w:r>
      <w:r w:rsidR="00DC59CB">
        <w:rPr>
          <w:lang w:val="ru-RU"/>
        </w:rPr>
        <w:t>го</w:t>
      </w:r>
      <w:r w:rsidR="00391CFF">
        <w:rPr>
          <w:lang w:val="ru-RU"/>
        </w:rPr>
        <w:t xml:space="preserve"> </w:t>
      </w:r>
      <w:r w:rsidR="004117E3">
        <w:rPr>
          <w:lang w:val="ru-RU"/>
        </w:rPr>
        <w:t>раздел</w:t>
      </w:r>
      <w:r w:rsidR="00DC59CB">
        <w:rPr>
          <w:lang w:val="ru-RU"/>
        </w:rPr>
        <w:t>а</w:t>
      </w:r>
      <w:r w:rsidR="004117E3">
        <w:rPr>
          <w:lang w:val="ru-RU"/>
        </w:rPr>
        <w:t xml:space="preserve"> </w:t>
      </w:r>
      <w:r w:rsidR="00391CFF">
        <w:rPr>
          <w:lang w:val="ru-RU"/>
        </w:rPr>
        <w:t xml:space="preserve">представлено ниже. </w:t>
      </w:r>
    </w:p>
    <w:p w14:paraId="448EFBF8" w14:textId="4DAF93DD" w:rsidR="00061FE7" w:rsidRPr="00667C08" w:rsidRDefault="004C2479" w:rsidP="00AB7E57">
      <w:pPr>
        <w:pStyle w:val="BodyText"/>
        <w:rPr>
          <w:lang w:val="ru-RU"/>
        </w:rPr>
      </w:pPr>
      <w:r w:rsidRPr="003C4B82">
        <w:fldChar w:fldCharType="begin"/>
      </w:r>
      <w:r w:rsidRPr="00391CFF">
        <w:rPr>
          <w:lang w:val="ru-RU"/>
        </w:rPr>
        <w:instrText xml:space="preserve"> </w:instrText>
      </w:r>
      <w:r w:rsidRPr="003C4B82">
        <w:instrText>AUTONUM</w:instrText>
      </w:r>
      <w:r w:rsidRPr="00391CFF">
        <w:rPr>
          <w:lang w:val="ru-RU"/>
        </w:rPr>
        <w:instrText xml:space="preserve"> </w:instrText>
      </w:r>
      <w:r w:rsidRPr="003C4B82">
        <w:fldChar w:fldCharType="end"/>
      </w:r>
      <w:r w:rsidRPr="00391CFF">
        <w:rPr>
          <w:lang w:val="ru-RU"/>
        </w:rPr>
        <w:tab/>
      </w:r>
      <w:r w:rsidR="00391CFF">
        <w:rPr>
          <w:lang w:val="ru-RU"/>
        </w:rPr>
        <w:t>Двадцать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респондентов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ответили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на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вопросы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в</w:t>
      </w:r>
      <w:r w:rsidR="00391CFF" w:rsidRPr="00391CFF">
        <w:rPr>
          <w:lang w:val="ru-RU"/>
        </w:rPr>
        <w:t xml:space="preserve"> </w:t>
      </w:r>
      <w:r w:rsidR="004117E3">
        <w:rPr>
          <w:lang w:val="ru-RU"/>
        </w:rPr>
        <w:t xml:space="preserve">разделе </w:t>
      </w:r>
      <w:r w:rsidR="00391CFF">
        <w:rPr>
          <w:lang w:val="ru-RU"/>
        </w:rPr>
        <w:t>А</w:t>
      </w:r>
      <w:r w:rsidR="00391CFF" w:rsidRPr="00391CFF">
        <w:rPr>
          <w:lang w:val="ru-RU"/>
        </w:rPr>
        <w:t xml:space="preserve">, </w:t>
      </w:r>
      <w:r w:rsidR="00391CFF">
        <w:rPr>
          <w:lang w:val="ru-RU"/>
        </w:rPr>
        <w:t>предназначенн</w:t>
      </w:r>
      <w:r w:rsidR="004117E3">
        <w:rPr>
          <w:lang w:val="ru-RU"/>
        </w:rPr>
        <w:t>ом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для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 xml:space="preserve">ведомств, использующих или планирующих использовать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Pr="00391CFF">
        <w:rPr>
          <w:lang w:val="ru-RU"/>
        </w:rPr>
        <w:t xml:space="preserve">.  </w:t>
      </w:r>
      <w:r w:rsidR="00391CFF">
        <w:rPr>
          <w:lang w:val="ru-RU"/>
        </w:rPr>
        <w:t>Четыре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ведомства</w:t>
      </w:r>
      <w:r w:rsidR="00391CFF" w:rsidRPr="00391CFF">
        <w:rPr>
          <w:lang w:val="ru-RU"/>
        </w:rPr>
        <w:t xml:space="preserve"> </w:t>
      </w:r>
      <w:r w:rsidRPr="00391CFF">
        <w:rPr>
          <w:lang w:val="ru-RU"/>
        </w:rPr>
        <w:t>(</w:t>
      </w:r>
      <w:r>
        <w:t>CA</w:t>
      </w:r>
      <w:r w:rsidRPr="00391CFF">
        <w:rPr>
          <w:lang w:val="ru-RU"/>
        </w:rPr>
        <w:t xml:space="preserve">, </w:t>
      </w:r>
      <w:r>
        <w:t>CR</w:t>
      </w:r>
      <w:r w:rsidRPr="00391CFF">
        <w:rPr>
          <w:lang w:val="ru-RU"/>
        </w:rPr>
        <w:t xml:space="preserve">, </w:t>
      </w:r>
      <w:r>
        <w:t>DO</w:t>
      </w:r>
      <w:r w:rsidRPr="00391CFF">
        <w:rPr>
          <w:lang w:val="ru-RU"/>
        </w:rPr>
        <w:t xml:space="preserve">, </w:t>
      </w:r>
      <w:r>
        <w:t>US</w:t>
      </w:r>
      <w:r w:rsidRPr="00391CFF">
        <w:rPr>
          <w:lang w:val="ru-RU"/>
        </w:rPr>
        <w:t xml:space="preserve">) </w:t>
      </w:r>
      <w:r w:rsidR="00391CFF">
        <w:rPr>
          <w:lang w:val="ru-RU"/>
        </w:rPr>
        <w:t>ответили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на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вопросы</w:t>
      </w:r>
      <w:r w:rsidR="00391CFF" w:rsidRPr="00391CFF">
        <w:rPr>
          <w:lang w:val="ru-RU"/>
        </w:rPr>
        <w:t xml:space="preserve"> </w:t>
      </w:r>
      <w:r w:rsidR="00391CFF">
        <w:rPr>
          <w:lang w:val="ru-RU"/>
        </w:rPr>
        <w:t>в</w:t>
      </w:r>
      <w:r w:rsidR="00391CFF" w:rsidRPr="00391CFF">
        <w:rPr>
          <w:lang w:val="ru-RU"/>
        </w:rPr>
        <w:t xml:space="preserve"> </w:t>
      </w:r>
      <w:r w:rsidR="004117E3">
        <w:rPr>
          <w:lang w:val="ru-RU"/>
        </w:rPr>
        <w:t xml:space="preserve">разделе </w:t>
      </w:r>
      <w:r w:rsidR="00391CFF">
        <w:rPr>
          <w:lang w:val="ru-RU"/>
        </w:rPr>
        <w:t>В, предназначенно</w:t>
      </w:r>
      <w:r w:rsidR="004117E3">
        <w:rPr>
          <w:lang w:val="ru-RU"/>
        </w:rPr>
        <w:t>м</w:t>
      </w:r>
      <w:r w:rsidR="00391CFF">
        <w:rPr>
          <w:lang w:val="ru-RU"/>
        </w:rPr>
        <w:t xml:space="preserve"> для ведомств</w:t>
      </w:r>
      <w:r w:rsidR="00667C08">
        <w:rPr>
          <w:lang w:val="ru-RU"/>
        </w:rPr>
        <w:t xml:space="preserve">, не использующих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="00667C08">
        <w:rPr>
          <w:lang w:val="ru-RU"/>
        </w:rPr>
        <w:t xml:space="preserve">. </w:t>
      </w:r>
      <w:r w:rsidR="00391CFF" w:rsidRPr="00391CFF">
        <w:rPr>
          <w:lang w:val="ru-RU"/>
        </w:rPr>
        <w:t xml:space="preserve"> </w:t>
      </w:r>
      <w:r w:rsidR="00667C08">
        <w:rPr>
          <w:lang w:val="ru-RU"/>
        </w:rPr>
        <w:t>Одно</w:t>
      </w:r>
      <w:r w:rsidR="00667C08" w:rsidRPr="00667C08">
        <w:rPr>
          <w:lang w:val="ru-RU"/>
        </w:rPr>
        <w:t xml:space="preserve"> </w:t>
      </w:r>
      <w:r w:rsidR="00667C08">
        <w:rPr>
          <w:lang w:val="ru-RU"/>
        </w:rPr>
        <w:t>ведомство</w:t>
      </w:r>
      <w:r w:rsidR="00667C08" w:rsidRPr="00667C08">
        <w:rPr>
          <w:lang w:val="ru-RU"/>
        </w:rPr>
        <w:t xml:space="preserve"> </w:t>
      </w:r>
      <w:r w:rsidR="00667C08">
        <w:rPr>
          <w:lang w:val="ru-RU"/>
        </w:rPr>
        <w:t>ответило на вопросы в об</w:t>
      </w:r>
      <w:r w:rsidR="004117E3">
        <w:rPr>
          <w:lang w:val="ru-RU"/>
        </w:rPr>
        <w:t>оих</w:t>
      </w:r>
      <w:r w:rsidR="00667C08">
        <w:rPr>
          <w:lang w:val="ru-RU"/>
        </w:rPr>
        <w:t xml:space="preserve"> </w:t>
      </w:r>
      <w:r w:rsidR="004117E3">
        <w:rPr>
          <w:lang w:val="ru-RU"/>
        </w:rPr>
        <w:t>разделах</w:t>
      </w:r>
      <w:r w:rsidRPr="00667C08">
        <w:rPr>
          <w:lang w:val="ru-RU"/>
        </w:rPr>
        <w:t>.</w:t>
      </w:r>
    </w:p>
    <w:p w14:paraId="0E85AD59" w14:textId="57237A86" w:rsidR="00061FE7" w:rsidRPr="00667C08" w:rsidRDefault="00EA7906" w:rsidP="00482F0F">
      <w:pPr>
        <w:pStyle w:val="Heading3"/>
        <w:keepLines/>
        <w:rPr>
          <w:lang w:val="ru-RU"/>
        </w:rPr>
      </w:pPr>
      <w:r>
        <w:rPr>
          <w:lang w:val="ru-RU"/>
        </w:rPr>
        <w:t>Раздел А</w:t>
      </w:r>
      <w:r w:rsidR="00AB7E57" w:rsidRPr="00667C08">
        <w:rPr>
          <w:lang w:val="ru-RU"/>
        </w:rPr>
        <w:t xml:space="preserve"> </w:t>
      </w:r>
      <w:r w:rsidR="00667C08" w:rsidRPr="00667C08">
        <w:rPr>
          <w:lang w:val="ru-RU"/>
        </w:rPr>
        <w:t>–</w:t>
      </w:r>
      <w:r w:rsidR="00AB7E57" w:rsidRPr="00667C08">
        <w:rPr>
          <w:lang w:val="ru-RU"/>
        </w:rPr>
        <w:t xml:space="preserve"> </w:t>
      </w:r>
      <w:r w:rsidR="00441EA4">
        <w:rPr>
          <w:lang w:val="ru-RU"/>
        </w:rPr>
        <w:t>И</w:t>
      </w:r>
      <w:r w:rsidR="00441EA4" w:rsidRPr="00441EA4">
        <w:rPr>
          <w:rFonts w:eastAsia="Malgun Gothic"/>
          <w:szCs w:val="22"/>
          <w:lang w:val="ru-RU"/>
        </w:rPr>
        <w:t>дентификатор</w:t>
      </w:r>
      <w:r w:rsidR="00441EA4">
        <w:rPr>
          <w:rFonts w:eastAsia="Malgun Gothic"/>
          <w:szCs w:val="22"/>
          <w:lang w:val="ru-RU"/>
        </w:rPr>
        <w:t>ы</w:t>
      </w:r>
      <w:r w:rsidR="00667C08">
        <w:rPr>
          <w:lang w:val="ru-RU"/>
        </w:rPr>
        <w:t xml:space="preserve"> </w:t>
      </w:r>
    </w:p>
    <w:p w14:paraId="7D375EC3" w14:textId="23768AA1" w:rsidR="00061FE7" w:rsidRPr="00725347" w:rsidRDefault="00061FE7" w:rsidP="00482F0F">
      <w:pPr>
        <w:pStyle w:val="BodyText"/>
        <w:keepNext/>
        <w:keepLines/>
        <w:rPr>
          <w:lang w:val="ru-RU"/>
        </w:rPr>
      </w:pPr>
      <w:r w:rsidRPr="003C4B82">
        <w:fldChar w:fldCharType="begin"/>
      </w:r>
      <w:r w:rsidRPr="00725347">
        <w:rPr>
          <w:lang w:val="ru-RU"/>
        </w:rPr>
        <w:instrText xml:space="preserve"> </w:instrText>
      </w:r>
      <w:r w:rsidRPr="003C4B82">
        <w:instrText>AUTONUM</w:instrText>
      </w:r>
      <w:r w:rsidRPr="00725347">
        <w:rPr>
          <w:lang w:val="ru-RU"/>
        </w:rPr>
        <w:instrText xml:space="preserve"> </w:instrText>
      </w:r>
      <w:r w:rsidRPr="003C4B82">
        <w:fldChar w:fldCharType="end"/>
      </w:r>
      <w:r w:rsidRPr="00725347">
        <w:rPr>
          <w:lang w:val="ru-RU"/>
        </w:rPr>
        <w:tab/>
      </w:r>
      <w:r w:rsidR="00725347">
        <w:rPr>
          <w:lang w:val="ru-RU"/>
        </w:rPr>
        <w:t>В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перв</w:t>
      </w:r>
      <w:r w:rsidR="004117E3">
        <w:rPr>
          <w:lang w:val="ru-RU"/>
        </w:rPr>
        <w:t>ый</w:t>
      </w:r>
      <w:r w:rsidR="00725347" w:rsidRPr="00725347">
        <w:rPr>
          <w:lang w:val="ru-RU"/>
        </w:rPr>
        <w:t xml:space="preserve"> </w:t>
      </w:r>
      <w:r w:rsidR="004117E3">
        <w:rPr>
          <w:lang w:val="ru-RU"/>
        </w:rPr>
        <w:t xml:space="preserve">раздел </w:t>
      </w:r>
      <w:r w:rsidR="00725347">
        <w:rPr>
          <w:lang w:val="ru-RU"/>
        </w:rPr>
        <w:t>вопросника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включены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вопросы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 xml:space="preserve">относительно использования или планируемого использования ВИС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725347">
        <w:rPr>
          <w:lang w:val="ru-RU"/>
        </w:rPr>
        <w:t>.</w:t>
      </w:r>
      <w:r w:rsidRPr="00725347">
        <w:rPr>
          <w:lang w:val="ru-RU"/>
        </w:rPr>
        <w:t xml:space="preserve">  </w:t>
      </w:r>
      <w:r w:rsidR="00725347">
        <w:rPr>
          <w:lang w:val="ru-RU"/>
        </w:rPr>
        <w:t>Ответы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свидетельствуют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о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том</w:t>
      </w:r>
      <w:r w:rsidR="00725347" w:rsidRPr="00725347">
        <w:rPr>
          <w:lang w:val="ru-RU"/>
        </w:rPr>
        <w:t xml:space="preserve">, </w:t>
      </w:r>
      <w:r w:rsidR="00725347">
        <w:rPr>
          <w:lang w:val="ru-RU"/>
        </w:rPr>
        <w:t>что, по мнению большинства</w:t>
      </w:r>
      <w:r w:rsidR="00725347" w:rsidRPr="00725347">
        <w:rPr>
          <w:lang w:val="ru-RU"/>
        </w:rPr>
        <w:t xml:space="preserve"> </w:t>
      </w:r>
      <w:r w:rsidR="00725347">
        <w:rPr>
          <w:lang w:val="ru-RU"/>
        </w:rPr>
        <w:t>ведомств</w:t>
      </w:r>
      <w:r w:rsidR="00725347" w:rsidRPr="00725347">
        <w:rPr>
          <w:lang w:val="ru-RU"/>
        </w:rPr>
        <w:t xml:space="preserve">, </w:t>
      </w:r>
      <w:r w:rsidR="00725347">
        <w:rPr>
          <w:lang w:val="ru-RU"/>
        </w:rPr>
        <w:t xml:space="preserve">основными преимуществами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725347">
        <w:rPr>
          <w:lang w:val="ru-RU"/>
        </w:rPr>
        <w:t xml:space="preserve"> являются следующие:</w:t>
      </w:r>
    </w:p>
    <w:p w14:paraId="503B5D18" w14:textId="13087857" w:rsidR="00061FE7" w:rsidRPr="00725347" w:rsidRDefault="00725347" w:rsidP="00482F0F">
      <w:pPr>
        <w:pStyle w:val="ListParagraph"/>
        <w:keepNext/>
        <w:keepLines/>
        <w:numPr>
          <w:ilvl w:val="0"/>
          <w:numId w:val="9"/>
        </w:numPr>
        <w:spacing w:after="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эффективное</w:t>
      </w:r>
      <w:r w:rsidRPr="00725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управление</w:t>
      </w:r>
      <w:r w:rsidRPr="00725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информацией о заявителях </w:t>
      </w:r>
      <w:r w:rsidR="00061FE7" w:rsidRPr="00725347">
        <w:rPr>
          <w:szCs w:val="22"/>
          <w:lang w:val="ru-RU"/>
        </w:rPr>
        <w:t>(95%)</w:t>
      </w:r>
      <w:r w:rsidR="00C811A6" w:rsidRPr="00725347">
        <w:rPr>
          <w:szCs w:val="22"/>
          <w:lang w:val="ru-RU"/>
        </w:rPr>
        <w:t>;</w:t>
      </w:r>
      <w:r w:rsidR="00533CC1" w:rsidRPr="00725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14:paraId="106F3E1C" w14:textId="0BC64F65" w:rsidR="00061FE7" w:rsidRPr="00725347" w:rsidRDefault="00725347" w:rsidP="00482F0F">
      <w:pPr>
        <w:pStyle w:val="ListParagraph"/>
        <w:keepNext/>
        <w:keepLines/>
        <w:numPr>
          <w:ilvl w:val="0"/>
          <w:numId w:val="9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простота</w:t>
      </w:r>
      <w:r w:rsidRPr="00725347">
        <w:rPr>
          <w:szCs w:val="22"/>
          <w:lang w:val="ru-RU"/>
        </w:rPr>
        <w:t xml:space="preserve"> </w:t>
      </w:r>
      <w:r w:rsidR="00724636">
        <w:rPr>
          <w:szCs w:val="22"/>
          <w:lang w:val="ru-RU"/>
        </w:rPr>
        <w:t xml:space="preserve">изменения </w:t>
      </w:r>
      <w:r>
        <w:rPr>
          <w:szCs w:val="22"/>
          <w:lang w:val="ru-RU"/>
        </w:rPr>
        <w:t>информации</w:t>
      </w:r>
      <w:r w:rsidRPr="00725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заявителях </w:t>
      </w:r>
      <w:r w:rsidR="00724636">
        <w:rPr>
          <w:szCs w:val="22"/>
          <w:lang w:val="ru-RU"/>
        </w:rPr>
        <w:t xml:space="preserve">одновременно </w:t>
      </w:r>
      <w:r>
        <w:rPr>
          <w:szCs w:val="22"/>
          <w:lang w:val="ru-RU"/>
        </w:rPr>
        <w:t xml:space="preserve">во всех соответствующих записях </w:t>
      </w:r>
      <w:r w:rsidR="00061FE7" w:rsidRPr="00725347">
        <w:rPr>
          <w:szCs w:val="22"/>
          <w:lang w:val="ru-RU"/>
        </w:rPr>
        <w:t>(85%)</w:t>
      </w:r>
      <w:r w:rsidR="00533CC1" w:rsidRPr="00725347">
        <w:rPr>
          <w:szCs w:val="22"/>
          <w:lang w:val="ru-RU"/>
        </w:rPr>
        <w:t>.</w:t>
      </w:r>
    </w:p>
    <w:p w14:paraId="16AE6A3A" w14:textId="6FD77617" w:rsidR="00061FE7" w:rsidRPr="00024877" w:rsidRDefault="000E3F1D" w:rsidP="00AB7E57">
      <w:pPr>
        <w:pStyle w:val="BodyText"/>
        <w:rPr>
          <w:lang w:val="ru-RU"/>
        </w:rPr>
      </w:pPr>
      <w:r>
        <w:rPr>
          <w:lang w:val="ru-RU"/>
        </w:rPr>
        <w:t>М</w:t>
      </w:r>
      <w:r w:rsidR="00724636">
        <w:rPr>
          <w:lang w:val="ru-RU"/>
        </w:rPr>
        <w:t>енее</w:t>
      </w:r>
      <w:r w:rsidR="00724636" w:rsidRPr="00724636">
        <w:rPr>
          <w:lang w:val="ru-RU"/>
        </w:rPr>
        <w:t xml:space="preserve"> </w:t>
      </w:r>
      <w:r w:rsidR="00724636">
        <w:rPr>
          <w:lang w:val="ru-RU"/>
        </w:rPr>
        <w:t>одной трет</w:t>
      </w:r>
      <w:r>
        <w:rPr>
          <w:lang w:val="ru-RU"/>
        </w:rPr>
        <w:t>и</w:t>
      </w:r>
      <w:r w:rsidR="00724636" w:rsidRPr="00724636">
        <w:rPr>
          <w:lang w:val="ru-RU"/>
        </w:rPr>
        <w:t xml:space="preserve"> </w:t>
      </w:r>
      <w:r>
        <w:rPr>
          <w:lang w:val="ru-RU"/>
        </w:rPr>
        <w:t xml:space="preserve">всех </w:t>
      </w:r>
      <w:r w:rsidR="00724636">
        <w:rPr>
          <w:lang w:val="ru-RU"/>
        </w:rPr>
        <w:t>ВИС</w:t>
      </w:r>
      <w:r w:rsidR="00724636" w:rsidRPr="00724636">
        <w:rPr>
          <w:lang w:val="ru-RU"/>
        </w:rPr>
        <w:t xml:space="preserve">, </w:t>
      </w:r>
      <w:r w:rsidR="00724636">
        <w:rPr>
          <w:lang w:val="ru-RU"/>
        </w:rPr>
        <w:t>участвовавших</w:t>
      </w:r>
      <w:r w:rsidR="00724636" w:rsidRPr="00724636">
        <w:rPr>
          <w:lang w:val="ru-RU"/>
        </w:rPr>
        <w:t xml:space="preserve"> </w:t>
      </w:r>
      <w:r w:rsidR="00724636">
        <w:rPr>
          <w:lang w:val="ru-RU"/>
        </w:rPr>
        <w:t>в</w:t>
      </w:r>
      <w:r w:rsidR="00724636" w:rsidRPr="00724636">
        <w:rPr>
          <w:lang w:val="ru-RU"/>
        </w:rPr>
        <w:t xml:space="preserve"> </w:t>
      </w:r>
      <w:r w:rsidR="00724636">
        <w:rPr>
          <w:lang w:val="ru-RU"/>
        </w:rPr>
        <w:t>обследовании</w:t>
      </w:r>
      <w:r>
        <w:rPr>
          <w:lang w:val="ru-RU"/>
        </w:rPr>
        <w:t xml:space="preserve">, выбрали другие ответы. </w:t>
      </w:r>
      <w:r w:rsidR="00724636">
        <w:rPr>
          <w:lang w:val="ru-RU"/>
        </w:rPr>
        <w:t>Вместе</w:t>
      </w:r>
      <w:r w:rsidR="00724636" w:rsidRPr="00024877">
        <w:rPr>
          <w:lang w:val="ru-RU"/>
        </w:rPr>
        <w:t xml:space="preserve"> </w:t>
      </w:r>
      <w:r w:rsidR="00724636">
        <w:rPr>
          <w:lang w:val="ru-RU"/>
        </w:rPr>
        <w:t>с</w:t>
      </w:r>
      <w:r w:rsidR="00724636" w:rsidRPr="00024877">
        <w:rPr>
          <w:lang w:val="ru-RU"/>
        </w:rPr>
        <w:t xml:space="preserve"> </w:t>
      </w:r>
      <w:r w:rsidR="00724636">
        <w:rPr>
          <w:lang w:val="ru-RU"/>
        </w:rPr>
        <w:t>тем</w:t>
      </w:r>
      <w:r w:rsidR="00724636" w:rsidRPr="00024877">
        <w:rPr>
          <w:lang w:val="ru-RU"/>
        </w:rPr>
        <w:t xml:space="preserve"> </w:t>
      </w:r>
      <w:r w:rsidR="00724636">
        <w:rPr>
          <w:lang w:val="ru-RU"/>
        </w:rPr>
        <w:t>ряд</w:t>
      </w:r>
      <w:r w:rsidR="00724636" w:rsidRPr="00024877">
        <w:rPr>
          <w:lang w:val="ru-RU"/>
        </w:rPr>
        <w:t xml:space="preserve"> </w:t>
      </w:r>
      <w:r w:rsidR="00724636">
        <w:rPr>
          <w:lang w:val="ru-RU"/>
        </w:rPr>
        <w:t>ответов</w:t>
      </w:r>
      <w:r w:rsidR="00724636" w:rsidRPr="00024877">
        <w:rPr>
          <w:lang w:val="ru-RU"/>
        </w:rPr>
        <w:t xml:space="preserve">, </w:t>
      </w:r>
      <w:r w:rsidR="00724636">
        <w:rPr>
          <w:lang w:val="ru-RU"/>
        </w:rPr>
        <w:t>включая</w:t>
      </w:r>
      <w:r w:rsidR="00724636" w:rsidRPr="00024877">
        <w:rPr>
          <w:lang w:val="ru-RU"/>
        </w:rPr>
        <w:t xml:space="preserve"> </w:t>
      </w:r>
      <w:r w:rsidR="00724636">
        <w:rPr>
          <w:lang w:val="ru-RU"/>
        </w:rPr>
        <w:t>еще</w:t>
      </w:r>
      <w:r w:rsidR="00724636" w:rsidRPr="00024877">
        <w:rPr>
          <w:lang w:val="ru-RU"/>
        </w:rPr>
        <w:t xml:space="preserve"> </w:t>
      </w:r>
      <w:r w:rsidR="00724636">
        <w:rPr>
          <w:lang w:val="ru-RU"/>
        </w:rPr>
        <w:t>шесть</w:t>
      </w:r>
      <w:r w:rsidR="00724636" w:rsidRPr="00024877">
        <w:rPr>
          <w:lang w:val="ru-RU"/>
        </w:rPr>
        <w:t xml:space="preserve"> </w:t>
      </w:r>
      <w:r w:rsidR="00DC59CB">
        <w:rPr>
          <w:lang w:val="ru-RU"/>
        </w:rPr>
        <w:t xml:space="preserve">добавленных </w:t>
      </w:r>
      <w:r w:rsidR="00724636">
        <w:rPr>
          <w:lang w:val="ru-RU"/>
        </w:rPr>
        <w:t>вариантов</w:t>
      </w:r>
      <w:r w:rsidR="00724636" w:rsidRPr="00024877">
        <w:rPr>
          <w:lang w:val="ru-RU"/>
        </w:rPr>
        <w:t xml:space="preserve">, </w:t>
      </w:r>
      <w:r w:rsidR="00024877">
        <w:rPr>
          <w:lang w:val="ru-RU"/>
        </w:rPr>
        <w:t xml:space="preserve">свидетельствуют о том, что в целом ВИС видят в использовании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024877">
        <w:rPr>
          <w:lang w:val="ru-RU"/>
        </w:rPr>
        <w:t xml:space="preserve"> заявителей много потенциальных преимуществ.</w:t>
      </w:r>
    </w:p>
    <w:p w14:paraId="3C2DF36F" w14:textId="757E826F" w:rsidR="00061FE7" w:rsidRPr="003C4B82" w:rsidRDefault="00061FE7" w:rsidP="00AB7E57">
      <w:pPr>
        <w:pStyle w:val="BodyText"/>
      </w:pPr>
      <w:r w:rsidRPr="003C4B82">
        <w:fldChar w:fldCharType="begin"/>
      </w:r>
      <w:r w:rsidRPr="00024877">
        <w:rPr>
          <w:lang w:val="ru-RU"/>
        </w:rPr>
        <w:instrText xml:space="preserve"> </w:instrText>
      </w:r>
      <w:r w:rsidRPr="003C4B82">
        <w:instrText>AUTONUM</w:instrText>
      </w:r>
      <w:r w:rsidRPr="00024877">
        <w:rPr>
          <w:lang w:val="ru-RU"/>
        </w:rPr>
        <w:instrText xml:space="preserve"> </w:instrText>
      </w:r>
      <w:r w:rsidRPr="003C4B82">
        <w:fldChar w:fldCharType="end"/>
      </w:r>
      <w:r w:rsidRPr="00024877">
        <w:rPr>
          <w:lang w:val="ru-RU"/>
        </w:rPr>
        <w:tab/>
      </w:r>
      <w:r w:rsidR="00024877">
        <w:rPr>
          <w:lang w:val="ru-RU"/>
        </w:rPr>
        <w:t>Ответы ВИС на</w:t>
      </w:r>
      <w:r w:rsidR="00024877" w:rsidRPr="00024877">
        <w:rPr>
          <w:lang w:val="ru-RU"/>
        </w:rPr>
        <w:t xml:space="preserve"> </w:t>
      </w:r>
      <w:r w:rsidR="00024877">
        <w:rPr>
          <w:lang w:val="ru-RU"/>
        </w:rPr>
        <w:t>вопрос</w:t>
      </w:r>
      <w:r w:rsidR="00024877" w:rsidRPr="00024877">
        <w:rPr>
          <w:lang w:val="ru-RU"/>
        </w:rPr>
        <w:t xml:space="preserve"> </w:t>
      </w:r>
      <w:r w:rsidR="00024877">
        <w:rPr>
          <w:lang w:val="ru-RU"/>
        </w:rPr>
        <w:t>о</w:t>
      </w:r>
      <w:r w:rsidR="00024877" w:rsidRPr="00024877">
        <w:rPr>
          <w:lang w:val="ru-RU"/>
        </w:rPr>
        <w:t xml:space="preserve"> </w:t>
      </w:r>
      <w:r w:rsidR="00024877">
        <w:rPr>
          <w:lang w:val="ru-RU"/>
        </w:rPr>
        <w:t>предполагаемых преимуществах для заявителей и пользователей патентной информации были более разнообразными.</w:t>
      </w:r>
      <w:r w:rsidRPr="00024877">
        <w:rPr>
          <w:lang w:val="ru-RU"/>
        </w:rPr>
        <w:t xml:space="preserve">  </w:t>
      </w:r>
      <w:r w:rsidR="00024877">
        <w:rPr>
          <w:lang w:val="ru-RU"/>
        </w:rPr>
        <w:t>Наибол</w:t>
      </w:r>
      <w:r w:rsidR="00892593">
        <w:rPr>
          <w:lang w:val="ru-RU"/>
        </w:rPr>
        <w:t>ее частыми были следующие ответы</w:t>
      </w:r>
      <w:r w:rsidRPr="003C4B82">
        <w:t>:</w:t>
      </w:r>
    </w:p>
    <w:p w14:paraId="49E0C449" w14:textId="6F8BBC14" w:rsidR="00061FE7" w:rsidRPr="00892593" w:rsidRDefault="00892593" w:rsidP="00AB7E57">
      <w:pPr>
        <w:pStyle w:val="ListParagraph"/>
        <w:numPr>
          <w:ilvl w:val="0"/>
          <w:numId w:val="9"/>
        </w:numPr>
        <w:spacing w:after="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устранение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ошибок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различий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счет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замены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многих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вариантов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написания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заявителя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единым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стандартным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написанием</w:t>
      </w:r>
      <w:r w:rsidRPr="00892593">
        <w:rPr>
          <w:szCs w:val="22"/>
          <w:lang w:val="ru-RU"/>
        </w:rPr>
        <w:t xml:space="preserve"> </w:t>
      </w:r>
      <w:r w:rsidR="00061FE7" w:rsidRPr="00892593">
        <w:rPr>
          <w:szCs w:val="22"/>
          <w:lang w:val="ru-RU"/>
        </w:rPr>
        <w:t>(79%)</w:t>
      </w:r>
      <w:r>
        <w:rPr>
          <w:szCs w:val="22"/>
          <w:lang w:val="ru-RU"/>
        </w:rPr>
        <w:t>;</w:t>
      </w:r>
    </w:p>
    <w:p w14:paraId="4ED711FD" w14:textId="713ABF98" w:rsidR="00061FE7" w:rsidRPr="00892593" w:rsidRDefault="00892593" w:rsidP="00AB7E57">
      <w:pPr>
        <w:pStyle w:val="ListParagraph"/>
        <w:numPr>
          <w:ilvl w:val="0"/>
          <w:numId w:val="9"/>
        </w:numPr>
        <w:spacing w:after="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точная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статистика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патентным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заявителям и патентообладателям </w:t>
      </w:r>
      <w:r w:rsidR="00061FE7" w:rsidRPr="00892593">
        <w:rPr>
          <w:szCs w:val="22"/>
          <w:lang w:val="ru-RU"/>
        </w:rPr>
        <w:t>(68%)</w:t>
      </w:r>
      <w:r>
        <w:rPr>
          <w:szCs w:val="22"/>
          <w:lang w:val="ru-RU"/>
        </w:rPr>
        <w:t>;</w:t>
      </w:r>
    </w:p>
    <w:p w14:paraId="2BD9FF36" w14:textId="33FE3A88" w:rsidR="00061FE7" w:rsidRPr="00892593" w:rsidRDefault="00892593" w:rsidP="00AB7E57">
      <w:pPr>
        <w:pStyle w:val="ListParagraph"/>
        <w:numPr>
          <w:ilvl w:val="0"/>
          <w:numId w:val="9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устранение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необходимости</w:t>
      </w:r>
      <w:r w:rsidRPr="0089259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для</w:t>
      </w:r>
      <w:r w:rsidRPr="00892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заявителей) повторного ввода одной и той же информации </w:t>
      </w:r>
      <w:r w:rsidR="00061FE7" w:rsidRPr="00892593">
        <w:rPr>
          <w:szCs w:val="22"/>
          <w:lang w:val="ru-RU"/>
        </w:rPr>
        <w:t>(63%)</w:t>
      </w:r>
      <w:r>
        <w:rPr>
          <w:szCs w:val="22"/>
          <w:lang w:val="ru-RU"/>
        </w:rPr>
        <w:t xml:space="preserve">. </w:t>
      </w:r>
    </w:p>
    <w:p w14:paraId="65208E76" w14:textId="41C3EBF6" w:rsidR="00061FE7" w:rsidRPr="007418B6" w:rsidRDefault="00892593" w:rsidP="00AB7E57">
      <w:pPr>
        <w:pStyle w:val="BodyText"/>
        <w:rPr>
          <w:lang w:val="ru-RU"/>
        </w:rPr>
      </w:pPr>
      <w:r>
        <w:rPr>
          <w:lang w:val="ru-RU"/>
        </w:rPr>
        <w:t>От</w:t>
      </w:r>
      <w:r w:rsidRPr="007418B6">
        <w:rPr>
          <w:lang w:val="ru-RU"/>
        </w:rPr>
        <w:t xml:space="preserve"> </w:t>
      </w:r>
      <w:r>
        <w:rPr>
          <w:lang w:val="ru-RU"/>
        </w:rPr>
        <w:t>одной</w:t>
      </w:r>
      <w:r w:rsidRPr="007418B6">
        <w:rPr>
          <w:lang w:val="ru-RU"/>
        </w:rPr>
        <w:t xml:space="preserve"> </w:t>
      </w:r>
      <w:r>
        <w:rPr>
          <w:lang w:val="ru-RU"/>
        </w:rPr>
        <w:t>четверти</w:t>
      </w:r>
      <w:r w:rsidRPr="007418B6">
        <w:rPr>
          <w:lang w:val="ru-RU"/>
        </w:rPr>
        <w:t xml:space="preserve"> </w:t>
      </w:r>
      <w:r>
        <w:rPr>
          <w:lang w:val="ru-RU"/>
        </w:rPr>
        <w:t>до</w:t>
      </w:r>
      <w:r w:rsidRPr="007418B6">
        <w:rPr>
          <w:lang w:val="ru-RU"/>
        </w:rPr>
        <w:t xml:space="preserve"> </w:t>
      </w:r>
      <w:r>
        <w:rPr>
          <w:lang w:val="ru-RU"/>
        </w:rPr>
        <w:t>одной</w:t>
      </w:r>
      <w:r w:rsidRPr="007418B6">
        <w:rPr>
          <w:lang w:val="ru-RU"/>
        </w:rPr>
        <w:t xml:space="preserve"> </w:t>
      </w:r>
      <w:r>
        <w:rPr>
          <w:lang w:val="ru-RU"/>
        </w:rPr>
        <w:t>трети</w:t>
      </w:r>
      <w:r w:rsidRPr="007418B6">
        <w:rPr>
          <w:lang w:val="ru-RU"/>
        </w:rPr>
        <w:t xml:space="preserve"> </w:t>
      </w:r>
      <w:r w:rsidR="000E3F1D">
        <w:rPr>
          <w:lang w:val="ru-RU"/>
        </w:rPr>
        <w:t>ВИС</w:t>
      </w:r>
      <w:r w:rsidR="000E3F1D" w:rsidRPr="007418B6">
        <w:rPr>
          <w:lang w:val="ru-RU"/>
        </w:rPr>
        <w:t xml:space="preserve"> </w:t>
      </w:r>
      <w:r w:rsidR="000E3F1D">
        <w:rPr>
          <w:lang w:val="ru-RU"/>
        </w:rPr>
        <w:t>согласились</w:t>
      </w:r>
      <w:r w:rsidR="000E3F1D" w:rsidRPr="007418B6">
        <w:rPr>
          <w:lang w:val="ru-RU"/>
        </w:rPr>
        <w:t xml:space="preserve"> </w:t>
      </w:r>
      <w:r w:rsidR="000E3F1D">
        <w:rPr>
          <w:lang w:val="ru-RU"/>
        </w:rPr>
        <w:t>с</w:t>
      </w:r>
      <w:r w:rsidR="000E3F1D" w:rsidRPr="007418B6">
        <w:rPr>
          <w:lang w:val="ru-RU"/>
        </w:rPr>
        <w:t xml:space="preserve"> </w:t>
      </w:r>
      <w:r w:rsidR="000E3F1D">
        <w:rPr>
          <w:lang w:val="ru-RU"/>
        </w:rPr>
        <w:t>другими</w:t>
      </w:r>
      <w:r w:rsidR="000E3F1D" w:rsidRPr="007418B6">
        <w:rPr>
          <w:lang w:val="ru-RU"/>
        </w:rPr>
        <w:t xml:space="preserve"> </w:t>
      </w:r>
      <w:r w:rsidR="000E3F1D">
        <w:rPr>
          <w:lang w:val="ru-RU"/>
        </w:rPr>
        <w:t>перечисленными</w:t>
      </w:r>
      <w:r w:rsidR="000E3F1D" w:rsidRPr="007418B6">
        <w:rPr>
          <w:lang w:val="ru-RU"/>
        </w:rPr>
        <w:t xml:space="preserve"> </w:t>
      </w:r>
      <w:r w:rsidR="000E3F1D">
        <w:rPr>
          <w:lang w:val="ru-RU"/>
        </w:rPr>
        <w:t>преимуществами</w:t>
      </w:r>
      <w:r w:rsidR="000E3F1D" w:rsidRPr="007418B6">
        <w:rPr>
          <w:lang w:val="ru-RU"/>
        </w:rPr>
        <w:t xml:space="preserve"> </w:t>
      </w:r>
      <w:r w:rsidR="007418B6">
        <w:rPr>
          <w:lang w:val="ru-RU"/>
        </w:rPr>
        <w:t>для</w:t>
      </w:r>
      <w:r w:rsidR="007418B6" w:rsidRPr="007418B6">
        <w:rPr>
          <w:lang w:val="ru-RU"/>
        </w:rPr>
        <w:t xml:space="preserve"> </w:t>
      </w:r>
      <w:r w:rsidR="007418B6">
        <w:rPr>
          <w:lang w:val="ru-RU"/>
        </w:rPr>
        <w:t xml:space="preserve">заявителей, при этом было </w:t>
      </w:r>
      <w:r w:rsidR="00DC59CB">
        <w:rPr>
          <w:lang w:val="ru-RU"/>
        </w:rPr>
        <w:t xml:space="preserve">добавлено </w:t>
      </w:r>
      <w:r w:rsidR="007418B6">
        <w:rPr>
          <w:lang w:val="ru-RU"/>
        </w:rPr>
        <w:t>еще четыре возможных преимущества</w:t>
      </w:r>
      <w:r w:rsidR="00061FE7" w:rsidRPr="007418B6">
        <w:rPr>
          <w:lang w:val="ru-RU"/>
        </w:rPr>
        <w:t>.</w:t>
      </w:r>
    </w:p>
    <w:p w14:paraId="297610AF" w14:textId="10E4493A" w:rsidR="00FC06D8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7418B6">
        <w:rPr>
          <w:lang w:val="ru-RU"/>
        </w:rPr>
        <w:instrText xml:space="preserve"> </w:instrText>
      </w:r>
      <w:r w:rsidRPr="003C4B82">
        <w:instrText>AUTONUM</w:instrText>
      </w:r>
      <w:r w:rsidRPr="007418B6">
        <w:rPr>
          <w:lang w:val="ru-RU"/>
        </w:rPr>
        <w:instrText xml:space="preserve"> </w:instrText>
      </w:r>
      <w:r w:rsidRPr="003C4B82">
        <w:fldChar w:fldCharType="end"/>
      </w:r>
      <w:r w:rsidRPr="007418B6">
        <w:rPr>
          <w:lang w:val="ru-RU"/>
        </w:rPr>
        <w:tab/>
      </w:r>
      <w:r w:rsidR="007418B6">
        <w:rPr>
          <w:lang w:val="ru-RU"/>
        </w:rPr>
        <w:t>Только</w:t>
      </w:r>
      <w:r w:rsidR="007418B6" w:rsidRPr="007418B6">
        <w:rPr>
          <w:lang w:val="ru-RU"/>
        </w:rPr>
        <w:t xml:space="preserve"> </w:t>
      </w:r>
      <w:r w:rsidR="007418B6">
        <w:rPr>
          <w:lang w:val="ru-RU"/>
        </w:rPr>
        <w:t>одна</w:t>
      </w:r>
      <w:r w:rsidR="007418B6" w:rsidRPr="007418B6">
        <w:rPr>
          <w:lang w:val="ru-RU"/>
        </w:rPr>
        <w:t xml:space="preserve"> </w:t>
      </w:r>
      <w:r w:rsidR="007418B6">
        <w:rPr>
          <w:lang w:val="ru-RU"/>
        </w:rPr>
        <w:t>треть</w:t>
      </w:r>
      <w:r w:rsidR="007418B6" w:rsidRPr="007418B6">
        <w:rPr>
          <w:lang w:val="ru-RU"/>
        </w:rPr>
        <w:t xml:space="preserve"> </w:t>
      </w:r>
      <w:r w:rsidR="007418B6">
        <w:rPr>
          <w:lang w:val="ru-RU"/>
        </w:rPr>
        <w:t>ответивших</w:t>
      </w:r>
      <w:r w:rsidR="007418B6" w:rsidRPr="007418B6">
        <w:rPr>
          <w:lang w:val="ru-RU"/>
        </w:rPr>
        <w:t xml:space="preserve"> </w:t>
      </w:r>
      <w:r w:rsidR="007418B6">
        <w:rPr>
          <w:lang w:val="ru-RU"/>
        </w:rPr>
        <w:t>ведомств</w:t>
      </w:r>
      <w:r w:rsidR="007418B6" w:rsidRPr="007418B6">
        <w:rPr>
          <w:lang w:val="ru-RU"/>
        </w:rPr>
        <w:t xml:space="preserve"> </w:t>
      </w:r>
      <w:r w:rsidR="007418B6">
        <w:rPr>
          <w:lang w:val="ru-RU"/>
        </w:rPr>
        <w:t xml:space="preserve">сообщает о том, что они публикуют или намерены публиковать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="007418B6">
        <w:rPr>
          <w:lang w:val="ru-RU"/>
        </w:rPr>
        <w:t xml:space="preserve"> заявителей, которые они используют или планируют использовать.  Это свидетельствует о том, что </w:t>
      </w:r>
      <w:r w:rsidR="005F4ADC">
        <w:rPr>
          <w:lang w:val="ru-RU"/>
        </w:rPr>
        <w:t xml:space="preserve">многие </w:t>
      </w:r>
      <w:r w:rsidR="007418B6">
        <w:rPr>
          <w:lang w:val="ru-RU"/>
        </w:rPr>
        <w:t>ведомств</w:t>
      </w:r>
      <w:r w:rsidR="005F4ADC">
        <w:rPr>
          <w:lang w:val="ru-RU"/>
        </w:rPr>
        <w:t>а</w:t>
      </w:r>
      <w:r w:rsidR="007418B6">
        <w:rPr>
          <w:lang w:val="ru-RU"/>
        </w:rPr>
        <w:t xml:space="preserve"> делают </w:t>
      </w:r>
      <w:r w:rsidR="005F4ADC">
        <w:rPr>
          <w:lang w:val="ru-RU"/>
        </w:rPr>
        <w:t xml:space="preserve">или собираются сделать </w:t>
      </w:r>
      <w:r w:rsidR="007418B6">
        <w:rPr>
          <w:lang w:val="ru-RU"/>
        </w:rPr>
        <w:t xml:space="preserve">информацию </w:t>
      </w:r>
      <w:r w:rsidR="005F4ADC">
        <w:rPr>
          <w:lang w:val="ru-RU"/>
        </w:rPr>
        <w:t xml:space="preserve">об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ах</w:t>
      </w:r>
      <w:r w:rsidR="005F4ADC">
        <w:rPr>
          <w:lang w:val="ru-RU"/>
        </w:rPr>
        <w:t xml:space="preserve"> публичной, однако при этом две трети ВИС не намерены публиковать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="005F4ADC">
        <w:rPr>
          <w:lang w:val="ru-RU"/>
        </w:rPr>
        <w:t xml:space="preserve">.  Такое положение </w:t>
      </w:r>
      <w:r w:rsidR="00B512DF">
        <w:rPr>
          <w:lang w:val="ru-RU"/>
        </w:rPr>
        <w:t xml:space="preserve">может определенным образом осложнить </w:t>
      </w:r>
      <w:r w:rsidR="005F4ADC">
        <w:rPr>
          <w:lang w:val="ru-RU"/>
        </w:rPr>
        <w:t>сотрудничеств</w:t>
      </w:r>
      <w:r w:rsidR="00B512DF">
        <w:rPr>
          <w:lang w:val="ru-RU"/>
        </w:rPr>
        <w:t xml:space="preserve">о между </w:t>
      </w:r>
      <w:r w:rsidR="005F4ADC">
        <w:rPr>
          <w:lang w:val="ru-RU"/>
        </w:rPr>
        <w:t>ведомств</w:t>
      </w:r>
      <w:r w:rsidR="00B512DF">
        <w:rPr>
          <w:lang w:val="ru-RU"/>
        </w:rPr>
        <w:t>ами</w:t>
      </w:r>
      <w:r w:rsidR="005F4ADC">
        <w:rPr>
          <w:lang w:val="ru-RU"/>
        </w:rPr>
        <w:t xml:space="preserve"> </w:t>
      </w:r>
      <w:r w:rsidR="00B512DF">
        <w:rPr>
          <w:lang w:val="ru-RU"/>
        </w:rPr>
        <w:t xml:space="preserve">в области использования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B512DF">
        <w:rPr>
          <w:lang w:val="ru-RU"/>
        </w:rPr>
        <w:t xml:space="preserve">.  </w:t>
      </w:r>
      <w:r w:rsidR="00FC49FD">
        <w:rPr>
          <w:lang w:val="ru-RU"/>
        </w:rPr>
        <w:t xml:space="preserve">С другой стороны, </w:t>
      </w:r>
      <w:r w:rsidR="00B512DF">
        <w:rPr>
          <w:lang w:val="ru-RU"/>
        </w:rPr>
        <w:t xml:space="preserve">это </w:t>
      </w:r>
      <w:r w:rsidR="00FC49FD">
        <w:rPr>
          <w:lang w:val="ru-RU"/>
        </w:rPr>
        <w:t xml:space="preserve">может </w:t>
      </w:r>
      <w:r w:rsidR="00B512DF">
        <w:rPr>
          <w:lang w:val="ru-RU"/>
        </w:rPr>
        <w:t xml:space="preserve">просто </w:t>
      </w:r>
      <w:r w:rsidR="00FC49FD">
        <w:rPr>
          <w:lang w:val="ru-RU"/>
        </w:rPr>
        <w:t xml:space="preserve">указывать на </w:t>
      </w:r>
      <w:r w:rsidR="00B512DF">
        <w:rPr>
          <w:lang w:val="ru-RU"/>
        </w:rPr>
        <w:t xml:space="preserve">то, что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="00B512DF">
        <w:rPr>
          <w:lang w:val="ru-RU"/>
        </w:rPr>
        <w:t>, которые эти ведомства используют в настоящее время,</w:t>
      </w:r>
      <w:r w:rsidR="00657E3C" w:rsidRPr="00657E3C">
        <w:rPr>
          <w:lang w:val="ru-RU"/>
        </w:rPr>
        <w:t xml:space="preserve"> </w:t>
      </w:r>
      <w:r w:rsidR="00657E3C">
        <w:rPr>
          <w:lang w:val="ru-RU"/>
        </w:rPr>
        <w:t>не походят для публикации (например, номер паспорт</w:t>
      </w:r>
      <w:r w:rsidR="00DA5667">
        <w:rPr>
          <w:lang w:val="ru-RU"/>
        </w:rPr>
        <w:t>а</w:t>
      </w:r>
      <w:r w:rsidR="00657E3C">
        <w:rPr>
          <w:lang w:val="ru-RU"/>
        </w:rPr>
        <w:t xml:space="preserve"> или идентификационный номер налогоплательщика)</w:t>
      </w:r>
      <w:r w:rsidR="00DA5667">
        <w:rPr>
          <w:lang w:val="ru-RU"/>
        </w:rPr>
        <w:t xml:space="preserve">, и в то же время эти ведомства готовы </w:t>
      </w:r>
      <w:r w:rsidR="0013353E">
        <w:rPr>
          <w:lang w:val="ru-RU"/>
        </w:rPr>
        <w:t xml:space="preserve">публиковать другие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rFonts w:eastAsia="Malgun Gothic"/>
          <w:szCs w:val="22"/>
          <w:lang w:val="ru-RU"/>
        </w:rPr>
        <w:t>ы</w:t>
      </w:r>
      <w:r w:rsidR="0013353E">
        <w:rPr>
          <w:lang w:val="ru-RU"/>
        </w:rPr>
        <w:t>, которые должны быть публичными.  С третье</w:t>
      </w:r>
      <w:r w:rsidR="00FA4471">
        <w:rPr>
          <w:lang w:val="ru-RU"/>
        </w:rPr>
        <w:t>й</w:t>
      </w:r>
      <w:r w:rsidR="0013353E">
        <w:rPr>
          <w:lang w:val="ru-RU"/>
        </w:rPr>
        <w:t xml:space="preserve"> стороны, это может свидетельствовать о том, что эти ВИС еще не приняли решение по вопросу о публикации </w:t>
      </w:r>
      <w:r w:rsidR="00441EA4" w:rsidRPr="00953C9F">
        <w:rPr>
          <w:rFonts w:eastAsia="Malgun Gothic"/>
          <w:szCs w:val="22"/>
          <w:lang w:val="ru-RU"/>
        </w:rPr>
        <w:t>идентификатор</w:t>
      </w:r>
      <w:r w:rsidR="00441EA4">
        <w:rPr>
          <w:szCs w:val="22"/>
          <w:lang w:val="ru-RU"/>
        </w:rPr>
        <w:t>ов</w:t>
      </w:r>
      <w:r w:rsidR="0013353E">
        <w:rPr>
          <w:lang w:val="ru-RU"/>
        </w:rPr>
        <w:t xml:space="preserve">, которые планируется использовать в будущем.  Некоторые ведомства в качестве причины отказа от публикации сослались на </w:t>
      </w:r>
      <w:r w:rsidR="0013353E" w:rsidRPr="0013353E">
        <w:rPr>
          <w:lang w:val="ru-RU"/>
        </w:rPr>
        <w:t>Общи</w:t>
      </w:r>
      <w:r w:rsidR="0013353E">
        <w:rPr>
          <w:lang w:val="ru-RU"/>
        </w:rPr>
        <w:t>й</w:t>
      </w:r>
      <w:r w:rsidR="0013353E" w:rsidRPr="0013353E">
        <w:rPr>
          <w:lang w:val="ru-RU"/>
        </w:rPr>
        <w:t xml:space="preserve"> регламент по защите данных Е</w:t>
      </w:r>
      <w:r w:rsidR="0013353E">
        <w:rPr>
          <w:lang w:val="ru-RU"/>
        </w:rPr>
        <w:t xml:space="preserve">С, в то время как другие ведомства </w:t>
      </w:r>
      <w:r w:rsidR="00FC06D8">
        <w:rPr>
          <w:lang w:val="ru-RU"/>
        </w:rPr>
        <w:t xml:space="preserve">отметили, что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40355F">
        <w:rPr>
          <w:lang w:val="ru-RU"/>
        </w:rPr>
        <w:t xml:space="preserve"> </w:t>
      </w:r>
      <w:r w:rsidR="00FC06D8">
        <w:rPr>
          <w:lang w:val="ru-RU"/>
        </w:rPr>
        <w:t>используются только для внутренних целей в самом ВИС.</w:t>
      </w:r>
      <w:r w:rsidR="00FC06D8" w:rsidRPr="00FC06D8">
        <w:rPr>
          <w:lang w:val="ru-RU"/>
        </w:rPr>
        <w:t xml:space="preserve"> </w:t>
      </w:r>
      <w:r w:rsidR="00FC06D8">
        <w:rPr>
          <w:lang w:val="ru-RU"/>
        </w:rPr>
        <w:t xml:space="preserve">К сожалению, в данном случае не проводится различие между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ами</w:t>
      </w:r>
      <w:r w:rsidR="00FC06D8">
        <w:rPr>
          <w:lang w:val="ru-RU"/>
        </w:rPr>
        <w:t xml:space="preserve">, которые уже используются, и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ами</w:t>
      </w:r>
      <w:r w:rsidR="00FC06D8">
        <w:rPr>
          <w:lang w:val="ru-RU"/>
        </w:rPr>
        <w:t xml:space="preserve">, которые планируется использовать, в связи с чем сложно назвать причины, по которым некоторые ведомства не </w:t>
      </w:r>
      <w:r w:rsidR="00FA4471">
        <w:rPr>
          <w:lang w:val="ru-RU"/>
        </w:rPr>
        <w:t xml:space="preserve">намерены </w:t>
      </w:r>
      <w:r w:rsidR="00FC06D8">
        <w:rPr>
          <w:lang w:val="ru-RU"/>
        </w:rPr>
        <w:t xml:space="preserve">их публиковать. </w:t>
      </w:r>
    </w:p>
    <w:p w14:paraId="604D667B" w14:textId="2EB533D9" w:rsidR="00061FE7" w:rsidRPr="003B03C9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3B03C9">
        <w:rPr>
          <w:lang w:val="ru-RU"/>
        </w:rPr>
        <w:instrText xml:space="preserve"> </w:instrText>
      </w:r>
      <w:r w:rsidRPr="003C4B82">
        <w:instrText>AUTONUM</w:instrText>
      </w:r>
      <w:r w:rsidRPr="003B03C9">
        <w:rPr>
          <w:lang w:val="ru-RU"/>
        </w:rPr>
        <w:instrText xml:space="preserve"> </w:instrText>
      </w:r>
      <w:r w:rsidRPr="003C4B82">
        <w:fldChar w:fldCharType="end"/>
      </w:r>
      <w:r w:rsidRPr="003B03C9">
        <w:rPr>
          <w:lang w:val="ru-RU"/>
        </w:rPr>
        <w:tab/>
      </w:r>
      <w:r w:rsidR="00FC06D8">
        <w:rPr>
          <w:lang w:val="ru-RU"/>
        </w:rPr>
        <w:t>Ведомства</w:t>
      </w:r>
      <w:r w:rsidR="00FC06D8" w:rsidRPr="003B03C9">
        <w:rPr>
          <w:lang w:val="ru-RU"/>
        </w:rPr>
        <w:t xml:space="preserve">, </w:t>
      </w:r>
      <w:r w:rsidR="00FC06D8">
        <w:rPr>
          <w:lang w:val="ru-RU"/>
        </w:rPr>
        <w:t>которые</w:t>
      </w:r>
      <w:r w:rsidR="00FC06D8" w:rsidRPr="003B03C9">
        <w:rPr>
          <w:lang w:val="ru-RU"/>
        </w:rPr>
        <w:t xml:space="preserve"> </w:t>
      </w:r>
      <w:r w:rsidR="00FC06D8">
        <w:rPr>
          <w:lang w:val="ru-RU"/>
        </w:rPr>
        <w:t>публикуют</w:t>
      </w:r>
      <w:r w:rsidR="00FC06D8" w:rsidRPr="003B03C9">
        <w:rPr>
          <w:lang w:val="ru-RU"/>
        </w:rPr>
        <w:t xml:space="preserve"> </w:t>
      </w:r>
      <w:r w:rsidR="00FC06D8">
        <w:rPr>
          <w:lang w:val="ru-RU"/>
        </w:rPr>
        <w:t>или</w:t>
      </w:r>
      <w:r w:rsidR="00FC06D8" w:rsidRPr="003B03C9">
        <w:rPr>
          <w:lang w:val="ru-RU"/>
        </w:rPr>
        <w:t xml:space="preserve"> </w:t>
      </w:r>
      <w:r w:rsidR="00FC06D8">
        <w:rPr>
          <w:lang w:val="ru-RU"/>
        </w:rPr>
        <w:t>планируют</w:t>
      </w:r>
      <w:r w:rsidR="00FC06D8" w:rsidRPr="003B03C9">
        <w:rPr>
          <w:lang w:val="ru-RU"/>
        </w:rPr>
        <w:t xml:space="preserve"> </w:t>
      </w:r>
      <w:r w:rsidR="00FC06D8">
        <w:rPr>
          <w:lang w:val="ru-RU"/>
        </w:rPr>
        <w:t>публиковать</w:t>
      </w:r>
      <w:r w:rsidR="00FC06D8" w:rsidRPr="003B03C9">
        <w:rPr>
          <w:lang w:val="ru-RU"/>
        </w:rPr>
        <w:t xml:space="preserve">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3B03C9">
        <w:rPr>
          <w:lang w:val="ru-RU"/>
        </w:rPr>
        <w:t>, используют для этого официальные вестники, онлайновые порталы или системы электронной подачи документов</w:t>
      </w:r>
      <w:r w:rsidRPr="003B03C9">
        <w:rPr>
          <w:lang w:val="ru-RU"/>
        </w:rPr>
        <w:t>.</w:t>
      </w:r>
    </w:p>
    <w:p w14:paraId="560268B3" w14:textId="6D32217C" w:rsidR="003B03C9" w:rsidRPr="007B2C10" w:rsidRDefault="00061FE7" w:rsidP="003B03C9">
      <w:pPr>
        <w:pStyle w:val="BodyText"/>
        <w:rPr>
          <w:lang w:val="ru-RU"/>
        </w:rPr>
      </w:pPr>
      <w:r w:rsidRPr="003C4B82">
        <w:fldChar w:fldCharType="begin"/>
      </w:r>
      <w:r w:rsidRPr="003B03C9">
        <w:rPr>
          <w:lang w:val="ru-RU"/>
        </w:rPr>
        <w:instrText xml:space="preserve"> </w:instrText>
      </w:r>
      <w:r w:rsidRPr="003C4B82">
        <w:instrText>AUTONUM</w:instrText>
      </w:r>
      <w:r w:rsidRPr="003B03C9">
        <w:rPr>
          <w:lang w:val="ru-RU"/>
        </w:rPr>
        <w:instrText xml:space="preserve"> </w:instrText>
      </w:r>
      <w:r w:rsidRPr="003C4B82">
        <w:fldChar w:fldCharType="end"/>
      </w:r>
      <w:r w:rsidRPr="003B03C9">
        <w:rPr>
          <w:lang w:val="ru-RU"/>
        </w:rPr>
        <w:tab/>
      </w:r>
      <w:r w:rsidR="003B03C9">
        <w:rPr>
          <w:lang w:val="ru-RU"/>
        </w:rPr>
        <w:t>Почти</w:t>
      </w:r>
      <w:r w:rsidR="003B03C9" w:rsidRPr="003B03C9">
        <w:rPr>
          <w:lang w:val="ru-RU"/>
        </w:rPr>
        <w:t xml:space="preserve"> </w:t>
      </w:r>
      <w:r w:rsidR="003B03C9">
        <w:rPr>
          <w:lang w:val="ru-RU"/>
        </w:rPr>
        <w:t>две</w:t>
      </w:r>
      <w:r w:rsidR="003B03C9" w:rsidRPr="003B03C9">
        <w:rPr>
          <w:lang w:val="ru-RU"/>
        </w:rPr>
        <w:t xml:space="preserve"> </w:t>
      </w:r>
      <w:r w:rsidR="003B03C9">
        <w:rPr>
          <w:lang w:val="ru-RU"/>
        </w:rPr>
        <w:t>трети</w:t>
      </w:r>
      <w:r w:rsidR="003B03C9" w:rsidRPr="003B03C9">
        <w:rPr>
          <w:lang w:val="ru-RU"/>
        </w:rPr>
        <w:t xml:space="preserve"> </w:t>
      </w:r>
      <w:r w:rsidRPr="003B03C9">
        <w:rPr>
          <w:lang w:val="ru-RU"/>
        </w:rPr>
        <w:t xml:space="preserve">(63%) </w:t>
      </w:r>
      <w:r w:rsidR="003B03C9" w:rsidRPr="0040355F">
        <w:rPr>
          <w:lang w:val="ru-RU"/>
        </w:rPr>
        <w:t>ВИС</w:t>
      </w:r>
      <w:r w:rsidR="003B03C9" w:rsidRPr="003B03C9">
        <w:rPr>
          <w:lang w:val="ru-RU"/>
        </w:rPr>
        <w:t xml:space="preserve"> </w:t>
      </w:r>
      <w:r w:rsidR="003B03C9">
        <w:rPr>
          <w:lang w:val="ru-RU"/>
        </w:rPr>
        <w:t>не</w:t>
      </w:r>
      <w:r w:rsidR="003B03C9" w:rsidRPr="003B03C9">
        <w:rPr>
          <w:lang w:val="ru-RU"/>
        </w:rPr>
        <w:t xml:space="preserve"> </w:t>
      </w:r>
      <w:r w:rsidR="003B03C9">
        <w:rPr>
          <w:lang w:val="ru-RU"/>
        </w:rPr>
        <w:t>планируют</w:t>
      </w:r>
      <w:r w:rsidR="003B03C9" w:rsidRPr="003B03C9">
        <w:rPr>
          <w:lang w:val="ru-RU"/>
        </w:rPr>
        <w:t xml:space="preserve"> </w:t>
      </w:r>
      <w:r w:rsidR="003B03C9">
        <w:rPr>
          <w:lang w:val="ru-RU"/>
        </w:rPr>
        <w:t>включать</w:t>
      </w:r>
      <w:r w:rsidR="003B03C9" w:rsidRPr="003B03C9">
        <w:rPr>
          <w:lang w:val="ru-RU"/>
        </w:rPr>
        <w:t xml:space="preserve">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3B03C9" w:rsidRPr="003B03C9">
        <w:rPr>
          <w:lang w:val="ru-RU"/>
        </w:rPr>
        <w:t xml:space="preserve"> </w:t>
      </w:r>
      <w:r w:rsidR="003B03C9">
        <w:rPr>
          <w:lang w:val="ru-RU"/>
        </w:rPr>
        <w:t>в</w:t>
      </w:r>
      <w:r w:rsidR="003B03C9" w:rsidRPr="003B03C9">
        <w:rPr>
          <w:lang w:val="ru-RU"/>
        </w:rPr>
        <w:t xml:space="preserve"> </w:t>
      </w:r>
      <w:r w:rsidR="00EA3A36">
        <w:rPr>
          <w:lang w:val="ru-RU"/>
        </w:rPr>
        <w:t xml:space="preserve">набор </w:t>
      </w:r>
      <w:r w:rsidR="003B03C9">
        <w:rPr>
          <w:lang w:val="ru-RU"/>
        </w:rPr>
        <w:t>данны</w:t>
      </w:r>
      <w:r w:rsidR="00EA3A36">
        <w:rPr>
          <w:lang w:val="ru-RU"/>
        </w:rPr>
        <w:t>х</w:t>
      </w:r>
      <w:r w:rsidR="003B03C9">
        <w:rPr>
          <w:lang w:val="ru-RU"/>
        </w:rPr>
        <w:t>, которыми они обмениваются с другими ведомствами</w:t>
      </w:r>
      <w:r w:rsidRPr="003B03C9">
        <w:rPr>
          <w:lang w:val="ru-RU"/>
        </w:rPr>
        <w:t xml:space="preserve">.  </w:t>
      </w:r>
      <w:r w:rsidR="003B03C9">
        <w:rPr>
          <w:lang w:val="ru-RU"/>
        </w:rPr>
        <w:t xml:space="preserve">Еще </w:t>
      </w:r>
      <w:r w:rsidR="003B03C9" w:rsidRPr="007B2C10">
        <w:rPr>
          <w:lang w:val="ru-RU"/>
        </w:rPr>
        <w:t>20%</w:t>
      </w:r>
      <w:r w:rsidR="003B03C9">
        <w:rPr>
          <w:lang w:val="ru-RU"/>
        </w:rPr>
        <w:t xml:space="preserve"> </w:t>
      </w:r>
      <w:r w:rsidR="003B03C9" w:rsidRPr="0040355F">
        <w:rPr>
          <w:lang w:val="ru-RU"/>
        </w:rPr>
        <w:t>ВИС</w:t>
      </w:r>
      <w:r w:rsidR="003B03C9">
        <w:rPr>
          <w:lang w:val="ru-RU"/>
        </w:rPr>
        <w:t xml:space="preserve"> не уверены, будут ли они обмениваться таким данными</w:t>
      </w:r>
      <w:r w:rsidR="007B2C10">
        <w:rPr>
          <w:lang w:val="ru-RU"/>
        </w:rPr>
        <w:t xml:space="preserve">, при этом только </w:t>
      </w:r>
      <w:r w:rsidR="007B2C10" w:rsidRPr="007B2C10">
        <w:rPr>
          <w:lang w:val="ru-RU"/>
        </w:rPr>
        <w:t>16%</w:t>
      </w:r>
      <w:r w:rsidR="007B2C10">
        <w:rPr>
          <w:lang w:val="ru-RU"/>
        </w:rPr>
        <w:t xml:space="preserve"> включают или планируют включить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7B2C10">
        <w:rPr>
          <w:lang w:val="ru-RU"/>
        </w:rPr>
        <w:t xml:space="preserve"> в такой обмен данными.  Это также может осложнить сотрудничество между ведомствами в области использования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7B2C10">
        <w:rPr>
          <w:lang w:val="ru-RU"/>
        </w:rPr>
        <w:t xml:space="preserve">. </w:t>
      </w:r>
      <w:r w:rsidR="004316C0">
        <w:rPr>
          <w:lang w:val="ru-RU"/>
        </w:rPr>
        <w:t>Однако, по крайней мере, два ведомства указали</w:t>
      </w:r>
      <w:r w:rsidR="00B119D6" w:rsidRPr="00B119D6">
        <w:rPr>
          <w:lang w:val="ru-RU"/>
        </w:rPr>
        <w:t xml:space="preserve"> в комментариях</w:t>
      </w:r>
      <w:r w:rsidR="004316C0">
        <w:rPr>
          <w:lang w:val="ru-RU"/>
        </w:rPr>
        <w:t xml:space="preserve">, что они хотели бы рассмотреть вопрос </w:t>
      </w:r>
      <w:r w:rsidR="004316C0" w:rsidRPr="0040355F">
        <w:rPr>
          <w:lang w:val="ru-RU"/>
        </w:rPr>
        <w:t xml:space="preserve">обмена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ами</w:t>
      </w:r>
      <w:r w:rsidR="004316C0">
        <w:rPr>
          <w:lang w:val="ru-RU"/>
        </w:rPr>
        <w:t xml:space="preserve"> в будущем. </w:t>
      </w:r>
    </w:p>
    <w:p w14:paraId="4A43A9DB" w14:textId="5C5C41BE" w:rsidR="004316C0" w:rsidRPr="00410834" w:rsidRDefault="00061FE7" w:rsidP="00410834">
      <w:pPr>
        <w:pStyle w:val="BodyText"/>
        <w:rPr>
          <w:lang w:val="ru-RU"/>
        </w:rPr>
      </w:pPr>
      <w:r w:rsidRPr="003C4B82">
        <w:fldChar w:fldCharType="begin"/>
      </w:r>
      <w:r w:rsidRPr="004316C0">
        <w:rPr>
          <w:lang w:val="ru-RU"/>
        </w:rPr>
        <w:instrText xml:space="preserve"> </w:instrText>
      </w:r>
      <w:r w:rsidRPr="003C4B82">
        <w:instrText>AUTONUM</w:instrText>
      </w:r>
      <w:r w:rsidRPr="004316C0">
        <w:rPr>
          <w:lang w:val="ru-RU"/>
        </w:rPr>
        <w:instrText xml:space="preserve"> </w:instrText>
      </w:r>
      <w:r w:rsidRPr="003C4B82">
        <w:fldChar w:fldCharType="end"/>
      </w:r>
      <w:r w:rsidRPr="004316C0">
        <w:rPr>
          <w:lang w:val="ru-RU"/>
        </w:rPr>
        <w:tab/>
      </w:r>
      <w:r w:rsidR="004316C0">
        <w:rPr>
          <w:lang w:val="ru-RU"/>
        </w:rPr>
        <w:t>Приблизительно</w:t>
      </w:r>
      <w:r w:rsidR="004316C0" w:rsidRPr="004316C0">
        <w:rPr>
          <w:lang w:val="ru-RU"/>
        </w:rPr>
        <w:t xml:space="preserve"> 60% </w:t>
      </w:r>
      <w:r w:rsidR="004316C0">
        <w:rPr>
          <w:lang w:val="ru-RU"/>
        </w:rPr>
        <w:t>ВИС</w:t>
      </w:r>
      <w:r w:rsidR="004316C0" w:rsidRPr="004316C0">
        <w:rPr>
          <w:lang w:val="ru-RU"/>
        </w:rPr>
        <w:t xml:space="preserve"> </w:t>
      </w:r>
      <w:r w:rsidR="004316C0">
        <w:rPr>
          <w:lang w:val="ru-RU"/>
        </w:rPr>
        <w:t>отметили</w:t>
      </w:r>
      <w:r w:rsidR="004316C0" w:rsidRPr="004316C0">
        <w:rPr>
          <w:lang w:val="ru-RU"/>
        </w:rPr>
        <w:t xml:space="preserve">, </w:t>
      </w:r>
      <w:r w:rsidR="004316C0">
        <w:rPr>
          <w:lang w:val="ru-RU"/>
        </w:rPr>
        <w:t>что</w:t>
      </w:r>
      <w:r w:rsidR="004316C0" w:rsidRPr="004316C0">
        <w:rPr>
          <w:lang w:val="ru-RU"/>
        </w:rPr>
        <w:t xml:space="preserve"> </w:t>
      </w:r>
      <w:r w:rsidR="004316C0">
        <w:rPr>
          <w:lang w:val="ru-RU"/>
        </w:rPr>
        <w:t xml:space="preserve">они используют или планируют использовать в качестве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4316C0">
        <w:rPr>
          <w:lang w:val="ru-RU"/>
        </w:rPr>
        <w:t xml:space="preserve"> коды, присвоенные </w:t>
      </w:r>
      <w:r w:rsidR="00410834">
        <w:rPr>
          <w:lang w:val="ru-RU"/>
        </w:rPr>
        <w:t>национальным органом, в то время как лишь 20</w:t>
      </w:r>
      <w:r w:rsidR="00410834" w:rsidRPr="00410834">
        <w:rPr>
          <w:lang w:val="ru-RU"/>
        </w:rPr>
        <w:t>%</w:t>
      </w:r>
      <w:r w:rsidR="00410834">
        <w:rPr>
          <w:lang w:val="ru-RU"/>
        </w:rPr>
        <w:t xml:space="preserve"> планируют использовать коды, присвоенные </w:t>
      </w:r>
      <w:r w:rsidR="00FA4471">
        <w:rPr>
          <w:lang w:val="ru-RU"/>
        </w:rPr>
        <w:t xml:space="preserve">таким </w:t>
      </w:r>
      <w:r w:rsidR="00410834">
        <w:rPr>
          <w:lang w:val="ru-RU"/>
        </w:rPr>
        <w:t xml:space="preserve">международным органом как ВОИС.  </w:t>
      </w:r>
      <w:r w:rsidR="00E24CA2">
        <w:rPr>
          <w:lang w:val="ru-RU"/>
        </w:rPr>
        <w:t xml:space="preserve">В своих комментариях </w:t>
      </w:r>
      <w:r w:rsidR="00410834">
        <w:rPr>
          <w:lang w:val="ru-RU"/>
        </w:rPr>
        <w:t xml:space="preserve">в качестве источников </w:t>
      </w:r>
      <w:r w:rsidR="00E24CA2">
        <w:rPr>
          <w:lang w:val="ru-RU"/>
        </w:rPr>
        <w:t xml:space="preserve">информации для целей присвоения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410834">
        <w:rPr>
          <w:lang w:val="ru-RU"/>
        </w:rPr>
        <w:t xml:space="preserve"> </w:t>
      </w:r>
      <w:r w:rsidR="00E24CA2">
        <w:rPr>
          <w:lang w:val="ru-RU"/>
        </w:rPr>
        <w:t>в графе «Иной» из</w:t>
      </w:r>
      <w:r w:rsidR="00E24CA2" w:rsidRPr="00410834">
        <w:rPr>
          <w:lang w:val="ru-RU"/>
        </w:rPr>
        <w:t xml:space="preserve"> 40%</w:t>
      </w:r>
      <w:r w:rsidR="00E24CA2">
        <w:rPr>
          <w:lang w:val="ru-RU"/>
        </w:rPr>
        <w:t xml:space="preserve"> ВИС </w:t>
      </w:r>
      <w:r w:rsidR="00410834">
        <w:rPr>
          <w:lang w:val="ru-RU"/>
        </w:rPr>
        <w:t>большинство указали</w:t>
      </w:r>
      <w:r w:rsidR="00EA3A36">
        <w:rPr>
          <w:lang w:val="ru-RU"/>
        </w:rPr>
        <w:t xml:space="preserve"> государственные реестры или службы идентификации. </w:t>
      </w:r>
      <w:r w:rsidR="00410834">
        <w:rPr>
          <w:lang w:val="ru-RU"/>
        </w:rPr>
        <w:t xml:space="preserve"> </w:t>
      </w:r>
    </w:p>
    <w:p w14:paraId="06CDAC36" w14:textId="1A7C070F" w:rsidR="00806E02" w:rsidRPr="00806E02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806E02">
        <w:rPr>
          <w:lang w:val="ru-RU"/>
        </w:rPr>
        <w:instrText xml:space="preserve"> </w:instrText>
      </w:r>
      <w:r w:rsidRPr="003C4B82">
        <w:instrText>AUTONUM</w:instrText>
      </w:r>
      <w:r w:rsidRPr="00806E02">
        <w:rPr>
          <w:lang w:val="ru-RU"/>
        </w:rPr>
        <w:instrText xml:space="preserve"> </w:instrText>
      </w:r>
      <w:r w:rsidRPr="003C4B82">
        <w:fldChar w:fldCharType="end"/>
      </w:r>
      <w:r w:rsidRPr="00806E02">
        <w:rPr>
          <w:lang w:val="ru-RU"/>
        </w:rPr>
        <w:tab/>
      </w:r>
      <w:r w:rsidR="00806E02">
        <w:rPr>
          <w:lang w:val="ru-RU"/>
        </w:rPr>
        <w:t>Ведомства</w:t>
      </w:r>
      <w:r w:rsidR="00806E02" w:rsidRPr="00806E02">
        <w:rPr>
          <w:lang w:val="ru-RU"/>
        </w:rPr>
        <w:t xml:space="preserve"> </w:t>
      </w:r>
      <w:r w:rsidR="00806E02">
        <w:rPr>
          <w:lang w:val="ru-RU"/>
        </w:rPr>
        <w:t>сообщили</w:t>
      </w:r>
      <w:r w:rsidR="00806E02" w:rsidRPr="00806E02">
        <w:rPr>
          <w:lang w:val="ru-RU"/>
        </w:rPr>
        <w:t xml:space="preserve"> </w:t>
      </w:r>
      <w:r w:rsidR="00806E02">
        <w:rPr>
          <w:lang w:val="ru-RU"/>
        </w:rPr>
        <w:t>об</w:t>
      </w:r>
      <w:r w:rsidR="00806E02" w:rsidRPr="00806E02">
        <w:rPr>
          <w:lang w:val="ru-RU"/>
        </w:rPr>
        <w:t xml:space="preserve"> </w:t>
      </w:r>
      <w:r w:rsidR="00806E02">
        <w:rPr>
          <w:lang w:val="ru-RU"/>
        </w:rPr>
        <w:t>использовании</w:t>
      </w:r>
      <w:r w:rsidR="00806E02" w:rsidRPr="00806E02">
        <w:rPr>
          <w:lang w:val="ru-RU"/>
        </w:rPr>
        <w:t xml:space="preserve"> </w:t>
      </w:r>
      <w:r w:rsidR="00806E02">
        <w:rPr>
          <w:lang w:val="ru-RU"/>
        </w:rPr>
        <w:t xml:space="preserve">самых различных механизмов с целью обеспечить присвоение только одного уникального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</w:t>
      </w:r>
      <w:r w:rsidR="00806E02">
        <w:rPr>
          <w:lang w:val="ru-RU"/>
        </w:rPr>
        <w:t xml:space="preserve"> каждому заявителю.  К ним относятся:  использование выданных государственными органами удостоверений личности, </w:t>
      </w:r>
      <w:r w:rsidR="00B119D6">
        <w:rPr>
          <w:lang w:val="ru-RU"/>
        </w:rPr>
        <w:t>взаимо</w:t>
      </w:r>
      <w:r w:rsidR="007042DA" w:rsidRPr="00B119D6">
        <w:rPr>
          <w:lang w:val="ru-RU"/>
        </w:rPr>
        <w:t>увязка</w:t>
      </w:r>
      <w:r w:rsidR="007042DA">
        <w:rPr>
          <w:lang w:val="ru-RU"/>
        </w:rPr>
        <w:t xml:space="preserve"> имени и адреса, использование регистрационных номеров компаний и лицензий или номеров налогоплательщика. Не</w:t>
      </w:r>
      <w:r w:rsidR="00090776">
        <w:rPr>
          <w:lang w:val="ru-RU"/>
        </w:rPr>
        <w:t xml:space="preserve">которые </w:t>
      </w:r>
      <w:r w:rsidR="007042DA">
        <w:rPr>
          <w:lang w:val="ru-RU"/>
        </w:rPr>
        <w:t>респондент</w:t>
      </w:r>
      <w:r w:rsidR="00090776">
        <w:rPr>
          <w:lang w:val="ru-RU"/>
        </w:rPr>
        <w:t>ы</w:t>
      </w:r>
      <w:r w:rsidR="007042DA">
        <w:rPr>
          <w:lang w:val="ru-RU"/>
        </w:rPr>
        <w:t xml:space="preserve"> также </w:t>
      </w:r>
      <w:r w:rsidR="00090776">
        <w:rPr>
          <w:lang w:val="ru-RU"/>
        </w:rPr>
        <w:t>сообщили о том</w:t>
      </w:r>
      <w:r w:rsidR="007042DA">
        <w:rPr>
          <w:lang w:val="ru-RU"/>
        </w:rPr>
        <w:t xml:space="preserve">, что они не проверяют какое-либо лицо или компанию на наличие нескольких присвоенных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7042DA">
        <w:rPr>
          <w:lang w:val="ru-RU"/>
        </w:rPr>
        <w:t xml:space="preserve">.  </w:t>
      </w:r>
    </w:p>
    <w:p w14:paraId="020824F8" w14:textId="40109348" w:rsidR="00262EC4" w:rsidRPr="002871D2" w:rsidRDefault="00061FE7" w:rsidP="00262EC4">
      <w:pPr>
        <w:pStyle w:val="BodyText"/>
        <w:rPr>
          <w:lang w:val="ru-RU"/>
        </w:rPr>
      </w:pPr>
      <w:r w:rsidRPr="00262EC4">
        <w:fldChar w:fldCharType="begin"/>
      </w:r>
      <w:r w:rsidRPr="002871D2">
        <w:rPr>
          <w:lang w:val="ru-RU"/>
        </w:rPr>
        <w:instrText xml:space="preserve"> </w:instrText>
      </w:r>
      <w:r w:rsidRPr="00262EC4">
        <w:instrText>AUTONUM</w:instrText>
      </w:r>
      <w:r w:rsidRPr="002871D2">
        <w:rPr>
          <w:lang w:val="ru-RU"/>
        </w:rPr>
        <w:instrText xml:space="preserve"> </w:instrText>
      </w:r>
      <w:r w:rsidRPr="00262EC4">
        <w:fldChar w:fldCharType="end"/>
      </w:r>
      <w:r w:rsidRPr="002871D2">
        <w:rPr>
          <w:lang w:val="ru-RU"/>
        </w:rPr>
        <w:tab/>
      </w:r>
      <w:r w:rsidR="00262EC4" w:rsidRPr="002871D2">
        <w:rPr>
          <w:lang w:val="ru-RU"/>
        </w:rPr>
        <w:t xml:space="preserve">На вопрос о том, какие сведения запрашивают ВИС для целей присвоения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262EC4" w:rsidRPr="002871D2">
        <w:rPr>
          <w:lang w:val="ru-RU"/>
        </w:rPr>
        <w:t xml:space="preserve"> национальным заявителям, наиболее часто встречающимися ответами были следующие:</w:t>
      </w:r>
      <w:r w:rsidR="00FA4471">
        <w:rPr>
          <w:lang w:val="ru-RU"/>
        </w:rPr>
        <w:t xml:space="preserve"> </w:t>
      </w:r>
      <w:r w:rsidR="00262EC4" w:rsidRPr="002871D2">
        <w:rPr>
          <w:lang w:val="ru-RU"/>
        </w:rPr>
        <w:t xml:space="preserve"> </w:t>
      </w:r>
      <w:r w:rsidR="002871D2">
        <w:rPr>
          <w:lang w:val="ru-RU"/>
        </w:rPr>
        <w:t xml:space="preserve">выписка из реестра юридических лиц </w:t>
      </w:r>
      <w:r w:rsidR="002871D2" w:rsidRPr="002871D2">
        <w:rPr>
          <w:lang w:val="ru-RU"/>
        </w:rPr>
        <w:t>(42%),</w:t>
      </w:r>
      <w:r w:rsidR="002871D2">
        <w:rPr>
          <w:lang w:val="ru-RU"/>
        </w:rPr>
        <w:t xml:space="preserve"> номер налогоплательщика </w:t>
      </w:r>
      <w:r w:rsidR="002871D2" w:rsidRPr="002871D2">
        <w:rPr>
          <w:lang w:val="ru-RU"/>
        </w:rPr>
        <w:t>(2</w:t>
      </w:r>
      <w:r w:rsidR="002871D2">
        <w:rPr>
          <w:lang w:val="ru-RU"/>
        </w:rPr>
        <w:t>6</w:t>
      </w:r>
      <w:r w:rsidR="002871D2" w:rsidRPr="002871D2">
        <w:rPr>
          <w:lang w:val="ru-RU"/>
        </w:rPr>
        <w:t>%),</w:t>
      </w:r>
      <w:r w:rsidR="002871D2">
        <w:rPr>
          <w:lang w:val="ru-RU"/>
        </w:rPr>
        <w:t xml:space="preserve"> адрес электронной почты </w:t>
      </w:r>
      <w:r w:rsidR="002871D2" w:rsidRPr="002871D2">
        <w:rPr>
          <w:lang w:val="ru-RU"/>
        </w:rPr>
        <w:t>(2</w:t>
      </w:r>
      <w:r w:rsidR="002871D2">
        <w:rPr>
          <w:lang w:val="ru-RU"/>
        </w:rPr>
        <w:t xml:space="preserve">1%) и номер паспорта </w:t>
      </w:r>
      <w:r w:rsidR="002871D2" w:rsidRPr="002871D2">
        <w:rPr>
          <w:lang w:val="ru-RU"/>
        </w:rPr>
        <w:t>(</w:t>
      </w:r>
      <w:r w:rsidR="002871D2">
        <w:rPr>
          <w:lang w:val="ru-RU"/>
        </w:rPr>
        <w:t>10</w:t>
      </w:r>
      <w:r w:rsidR="002871D2" w:rsidRPr="002871D2">
        <w:rPr>
          <w:lang w:val="ru-RU"/>
        </w:rPr>
        <w:t>%)</w:t>
      </w:r>
      <w:r w:rsidR="002871D2">
        <w:rPr>
          <w:lang w:val="ru-RU"/>
        </w:rPr>
        <w:t xml:space="preserve">. </w:t>
      </w:r>
      <w:r w:rsidR="008161AC">
        <w:rPr>
          <w:lang w:val="ru-RU"/>
        </w:rPr>
        <w:t>Д</w:t>
      </w:r>
      <w:r w:rsidR="002871D2">
        <w:rPr>
          <w:lang w:val="ru-RU"/>
        </w:rPr>
        <w:t xml:space="preserve">ля целей присвоения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8161AC">
        <w:rPr>
          <w:szCs w:val="22"/>
          <w:lang w:val="ru-RU"/>
        </w:rPr>
        <w:t>,</w:t>
      </w:r>
      <w:r w:rsidR="003941BC">
        <w:rPr>
          <w:lang w:val="ru-RU"/>
        </w:rPr>
        <w:t xml:space="preserve"> </w:t>
      </w:r>
      <w:r w:rsidR="008161AC">
        <w:rPr>
          <w:lang w:val="ru-RU"/>
        </w:rPr>
        <w:t xml:space="preserve">таких как </w:t>
      </w:r>
      <w:r w:rsidR="00DD3FDC">
        <w:rPr>
          <w:lang w:val="ru-RU"/>
        </w:rPr>
        <w:t>имен</w:t>
      </w:r>
      <w:r w:rsidR="00FA4471">
        <w:rPr>
          <w:lang w:val="ru-RU"/>
        </w:rPr>
        <w:t>а</w:t>
      </w:r>
      <w:r w:rsidR="002871D2">
        <w:rPr>
          <w:lang w:val="ru-RU"/>
        </w:rPr>
        <w:t>, адреса и личные идентификационные номера</w:t>
      </w:r>
      <w:r w:rsidR="008161AC">
        <w:rPr>
          <w:lang w:val="ru-RU"/>
        </w:rPr>
        <w:t>, некоторые ведомства используют и другие источники информации</w:t>
      </w:r>
      <w:r w:rsidR="002871D2">
        <w:rPr>
          <w:lang w:val="ru-RU"/>
        </w:rPr>
        <w:t xml:space="preserve">. </w:t>
      </w:r>
      <w:r w:rsidR="008161AC">
        <w:rPr>
          <w:lang w:val="ru-RU"/>
        </w:rPr>
        <w:t xml:space="preserve">В отношении </w:t>
      </w:r>
      <w:r w:rsidR="002871D2">
        <w:rPr>
          <w:lang w:val="ru-RU"/>
        </w:rPr>
        <w:t>иностранных заявител</w:t>
      </w:r>
      <w:r w:rsidR="002C5DE0">
        <w:rPr>
          <w:lang w:val="ru-RU"/>
        </w:rPr>
        <w:t>ей</w:t>
      </w:r>
      <w:r w:rsidR="00FA4471">
        <w:rPr>
          <w:lang w:val="ru-RU"/>
        </w:rPr>
        <w:t xml:space="preserve"> </w:t>
      </w:r>
      <w:r w:rsidR="008161AC">
        <w:rPr>
          <w:lang w:val="ru-RU"/>
        </w:rPr>
        <w:t xml:space="preserve">ведомства используют эти же источники информации </w:t>
      </w:r>
      <w:r w:rsidR="00E814B1">
        <w:rPr>
          <w:lang w:val="ru-RU"/>
        </w:rPr>
        <w:t xml:space="preserve">сопоставимым </w:t>
      </w:r>
      <w:r w:rsidR="008161AC">
        <w:rPr>
          <w:lang w:val="ru-RU"/>
        </w:rPr>
        <w:t xml:space="preserve">образом </w:t>
      </w:r>
      <w:r w:rsidR="00FA4471">
        <w:rPr>
          <w:lang w:val="ru-RU"/>
        </w:rPr>
        <w:t xml:space="preserve">за исключением реестра юридических лиц </w:t>
      </w:r>
      <w:r w:rsidR="00FA4471" w:rsidRPr="002871D2">
        <w:rPr>
          <w:lang w:val="ru-RU"/>
        </w:rPr>
        <w:t>(</w:t>
      </w:r>
      <w:r w:rsidR="00FA4471">
        <w:rPr>
          <w:lang w:val="ru-RU"/>
        </w:rPr>
        <w:t>13</w:t>
      </w:r>
      <w:r w:rsidR="00FA4471" w:rsidRPr="002871D2">
        <w:rPr>
          <w:lang w:val="ru-RU"/>
        </w:rPr>
        <w:t>%)</w:t>
      </w:r>
      <w:r w:rsidR="002C5DE0">
        <w:rPr>
          <w:lang w:val="ru-RU"/>
        </w:rPr>
        <w:t xml:space="preserve">. </w:t>
      </w:r>
    </w:p>
    <w:p w14:paraId="1E3E3BC2" w14:textId="2C543D0F" w:rsidR="00E24CA2" w:rsidRPr="006B3D39" w:rsidRDefault="00061FE7" w:rsidP="006B3D39">
      <w:pPr>
        <w:pStyle w:val="BodyText"/>
        <w:rPr>
          <w:lang w:val="ru-RU"/>
        </w:rPr>
      </w:pPr>
      <w:r w:rsidRPr="003C4B82">
        <w:fldChar w:fldCharType="begin"/>
      </w:r>
      <w:r w:rsidRPr="00E24CA2">
        <w:rPr>
          <w:lang w:val="ru-RU"/>
        </w:rPr>
        <w:instrText xml:space="preserve"> </w:instrText>
      </w:r>
      <w:r w:rsidRPr="003C4B82">
        <w:instrText>AUTONUM</w:instrText>
      </w:r>
      <w:r w:rsidRPr="00E24CA2">
        <w:rPr>
          <w:lang w:val="ru-RU"/>
        </w:rPr>
        <w:instrText xml:space="preserve"> </w:instrText>
      </w:r>
      <w:r w:rsidRPr="003C4B82">
        <w:fldChar w:fldCharType="end"/>
      </w:r>
      <w:r w:rsidRPr="00E24CA2">
        <w:rPr>
          <w:lang w:val="ru-RU"/>
        </w:rPr>
        <w:tab/>
      </w:r>
      <w:r w:rsidR="006B3D39">
        <w:rPr>
          <w:lang w:val="ru-RU"/>
        </w:rPr>
        <w:t xml:space="preserve">В качестве желательного решения проблемы стандартизации имен заявителей </w:t>
      </w:r>
      <w:r w:rsidR="006B3D39" w:rsidRPr="006B3D39">
        <w:rPr>
          <w:lang w:val="ru-RU"/>
        </w:rPr>
        <w:t xml:space="preserve">63% </w:t>
      </w:r>
      <w:r w:rsidR="006B3D39">
        <w:rPr>
          <w:lang w:val="ru-RU"/>
        </w:rPr>
        <w:t xml:space="preserve">ВИС указали </w:t>
      </w:r>
      <w:r w:rsidR="00044D91">
        <w:rPr>
          <w:lang w:val="ru-RU"/>
        </w:rPr>
        <w:t xml:space="preserve">использование </w:t>
      </w:r>
      <w:r w:rsidR="006B3D39">
        <w:rPr>
          <w:lang w:val="ru-RU"/>
        </w:rPr>
        <w:t>глобальн</w:t>
      </w:r>
      <w:r w:rsidR="00044D91">
        <w:rPr>
          <w:lang w:val="ru-RU"/>
        </w:rPr>
        <w:t>ых</w:t>
      </w:r>
      <w:r w:rsidR="006B3D39">
        <w:rPr>
          <w:lang w:val="ru-RU"/>
        </w:rPr>
        <w:t xml:space="preserve">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6B3D39">
        <w:rPr>
          <w:lang w:val="ru-RU"/>
        </w:rPr>
        <w:t xml:space="preserve">, при этом другие </w:t>
      </w:r>
      <w:r w:rsidR="006B3D39" w:rsidRPr="006B3D39">
        <w:rPr>
          <w:lang w:val="ru-RU"/>
        </w:rPr>
        <w:t>5%</w:t>
      </w:r>
      <w:r w:rsidR="006B3D39">
        <w:rPr>
          <w:lang w:val="ru-RU"/>
        </w:rPr>
        <w:t xml:space="preserve"> ВИС не были в этом уверены.  Вместе с тем это означает, что почти третья часть ВИС (32%) не счита</w:t>
      </w:r>
      <w:r w:rsidR="00E303CB">
        <w:rPr>
          <w:lang w:val="ru-RU"/>
        </w:rPr>
        <w:t>е</w:t>
      </w:r>
      <w:r w:rsidR="006B3D39">
        <w:rPr>
          <w:lang w:val="ru-RU"/>
        </w:rPr>
        <w:t xml:space="preserve">т целесообразным использование глобальных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6B3D39">
        <w:rPr>
          <w:lang w:val="ru-RU"/>
        </w:rPr>
        <w:t>.  В своих комментариях по этому вопросу ВИС, в частности, указали, что у них нет четкого представления о том, каким образом могл</w:t>
      </w:r>
      <w:r w:rsidR="00044D91">
        <w:rPr>
          <w:lang w:val="ru-RU"/>
        </w:rPr>
        <w:t>и</w:t>
      </w:r>
      <w:r w:rsidR="006B3D39">
        <w:rPr>
          <w:lang w:val="ru-RU"/>
        </w:rPr>
        <w:t xml:space="preserve"> бы использоваться возможн</w:t>
      </w:r>
      <w:r w:rsidR="00044D91">
        <w:rPr>
          <w:lang w:val="ru-RU"/>
        </w:rPr>
        <w:t>ы</w:t>
      </w:r>
      <w:r w:rsidR="00E303CB">
        <w:rPr>
          <w:lang w:val="ru-RU"/>
        </w:rPr>
        <w:t>е</w:t>
      </w:r>
      <w:r w:rsidR="006B3D39">
        <w:rPr>
          <w:lang w:val="ru-RU"/>
        </w:rPr>
        <w:t xml:space="preserve"> в будущем глобальн</w:t>
      </w:r>
      <w:r w:rsidR="00044D91">
        <w:rPr>
          <w:lang w:val="ru-RU"/>
        </w:rPr>
        <w:t>ые</w:t>
      </w:r>
      <w:r w:rsidR="006B3D39">
        <w:rPr>
          <w:lang w:val="ru-RU"/>
        </w:rPr>
        <w:t xml:space="preserve">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E303CB">
        <w:rPr>
          <w:lang w:val="ru-RU"/>
        </w:rPr>
        <w:t xml:space="preserve"> и сколько ведомств будут использовать</w:t>
      </w:r>
      <w:r w:rsidR="00B01DD2">
        <w:rPr>
          <w:lang w:val="ru-RU"/>
        </w:rPr>
        <w:t xml:space="preserve"> </w:t>
      </w:r>
      <w:r w:rsidR="00044D91">
        <w:rPr>
          <w:lang w:val="ru-RU"/>
        </w:rPr>
        <w:t xml:space="preserve">их </w:t>
      </w:r>
      <w:r w:rsidR="00B01DD2">
        <w:rPr>
          <w:lang w:val="ru-RU"/>
        </w:rPr>
        <w:t xml:space="preserve">в условиях </w:t>
      </w:r>
      <w:r w:rsidR="00E303CB">
        <w:rPr>
          <w:lang w:val="ru-RU"/>
        </w:rPr>
        <w:t>огранич</w:t>
      </w:r>
      <w:r w:rsidR="00B01DD2">
        <w:rPr>
          <w:lang w:val="ru-RU"/>
        </w:rPr>
        <w:t xml:space="preserve">ения </w:t>
      </w:r>
      <w:r w:rsidR="00E303CB">
        <w:rPr>
          <w:lang w:val="ru-RU"/>
        </w:rPr>
        <w:t>информаци</w:t>
      </w:r>
      <w:r w:rsidR="00B01DD2">
        <w:rPr>
          <w:lang w:val="ru-RU"/>
        </w:rPr>
        <w:t>и</w:t>
      </w:r>
      <w:r w:rsidR="00E303CB">
        <w:rPr>
          <w:lang w:val="ru-RU"/>
        </w:rPr>
        <w:t>, предоставляем</w:t>
      </w:r>
      <w:r w:rsidR="00B01DD2">
        <w:rPr>
          <w:lang w:val="ru-RU"/>
        </w:rPr>
        <w:t>ой</w:t>
      </w:r>
      <w:r w:rsidR="00E303CB">
        <w:rPr>
          <w:lang w:val="ru-RU"/>
        </w:rPr>
        <w:t xml:space="preserve"> ими для целей присвоения </w:t>
      </w:r>
      <w:r w:rsidR="00044D91">
        <w:rPr>
          <w:lang w:val="ru-RU"/>
        </w:rPr>
        <w:t xml:space="preserve">этих </w:t>
      </w:r>
      <w:r w:rsidR="00E303CB">
        <w:rPr>
          <w:lang w:val="ru-RU"/>
        </w:rPr>
        <w:t xml:space="preserve">обозначений. </w:t>
      </w:r>
      <w:r w:rsidR="00B01DD2">
        <w:rPr>
          <w:lang w:val="ru-RU"/>
        </w:rPr>
        <w:t xml:space="preserve"> </w:t>
      </w:r>
      <w:r w:rsidR="00044D91">
        <w:rPr>
          <w:lang w:val="ru-RU"/>
        </w:rPr>
        <w:t xml:space="preserve">В ответах на </w:t>
      </w:r>
      <w:r w:rsidR="00B01DD2">
        <w:rPr>
          <w:lang w:val="ru-RU"/>
        </w:rPr>
        <w:t xml:space="preserve">вопрос о порядке </w:t>
      </w:r>
      <w:r w:rsidR="007D6730">
        <w:rPr>
          <w:lang w:val="ru-RU"/>
        </w:rPr>
        <w:t xml:space="preserve">использования глобальных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7D6730">
        <w:rPr>
          <w:lang w:val="ru-RU"/>
        </w:rPr>
        <w:t xml:space="preserve"> некоторые ведомства предложили создать систему </w:t>
      </w:r>
      <w:r w:rsidR="00044D91">
        <w:rPr>
          <w:lang w:val="ru-RU"/>
        </w:rPr>
        <w:t xml:space="preserve">на основе </w:t>
      </w:r>
      <w:r w:rsidR="007D6730">
        <w:rPr>
          <w:lang w:val="ru-RU"/>
        </w:rPr>
        <w:t xml:space="preserve">национальных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7D6730">
        <w:rPr>
          <w:lang w:val="ru-RU"/>
        </w:rPr>
        <w:t xml:space="preserve">, уже </w:t>
      </w:r>
      <w:r w:rsidR="00044D91">
        <w:rPr>
          <w:lang w:val="ru-RU"/>
        </w:rPr>
        <w:t xml:space="preserve">используемых </w:t>
      </w:r>
      <w:r w:rsidR="007D6730">
        <w:rPr>
          <w:lang w:val="ru-RU"/>
        </w:rPr>
        <w:t xml:space="preserve">другими ведомствами. Два ведомства предложили </w:t>
      </w:r>
      <w:r w:rsidR="009E527A">
        <w:rPr>
          <w:lang w:val="ru-RU"/>
        </w:rPr>
        <w:t>передать функции</w:t>
      </w:r>
      <w:r w:rsidR="007D6730">
        <w:rPr>
          <w:lang w:val="ru-RU"/>
        </w:rPr>
        <w:t xml:space="preserve"> присвоения и управления </w:t>
      </w:r>
      <w:r w:rsidR="009E527A">
        <w:rPr>
          <w:lang w:val="ru-RU"/>
        </w:rPr>
        <w:t>глобальными</w:t>
      </w:r>
      <w:r w:rsidR="007D6730">
        <w:rPr>
          <w:lang w:val="ru-RU"/>
        </w:rPr>
        <w:t xml:space="preserve">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ами</w:t>
      </w:r>
      <w:r w:rsidR="007D6730">
        <w:rPr>
          <w:lang w:val="ru-RU"/>
        </w:rPr>
        <w:t xml:space="preserve"> </w:t>
      </w:r>
      <w:r w:rsidR="009E527A">
        <w:rPr>
          <w:lang w:val="ru-RU"/>
        </w:rPr>
        <w:t xml:space="preserve">ВОИС и использовать для этого заявки, подаваемые в рамках РСТ или Мадридской системы. В случае принятия глобальных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9E527A">
        <w:rPr>
          <w:lang w:val="ru-RU"/>
        </w:rPr>
        <w:t xml:space="preserve"> 11 ведомств подтвердили свою готовность перейти от национальных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9E527A">
        <w:rPr>
          <w:lang w:val="ru-RU"/>
        </w:rPr>
        <w:t xml:space="preserve"> к </w:t>
      </w:r>
      <w:r w:rsidR="00044D91">
        <w:rPr>
          <w:lang w:val="ru-RU"/>
        </w:rPr>
        <w:t xml:space="preserve">использованию </w:t>
      </w:r>
      <w:r w:rsidR="009E527A">
        <w:rPr>
          <w:lang w:val="ru-RU"/>
        </w:rPr>
        <w:t>глобальны</w:t>
      </w:r>
      <w:r w:rsidR="00044D91">
        <w:rPr>
          <w:lang w:val="ru-RU"/>
        </w:rPr>
        <w:t>х</w:t>
      </w:r>
      <w:r w:rsidR="009E527A">
        <w:rPr>
          <w:lang w:val="ru-RU"/>
        </w:rPr>
        <w:t xml:space="preserve">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9E527A">
        <w:rPr>
          <w:lang w:val="ru-RU"/>
        </w:rPr>
        <w:t xml:space="preserve">.  </w:t>
      </w:r>
      <w:r w:rsidR="004117E3">
        <w:rPr>
          <w:lang w:val="ru-RU"/>
        </w:rPr>
        <w:t xml:space="preserve">Три ведомства отметили, что отсутствие в настоящее время достаточной информации о глобальных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ах</w:t>
      </w:r>
      <w:r w:rsidR="004117E3">
        <w:rPr>
          <w:lang w:val="ru-RU"/>
        </w:rPr>
        <w:t xml:space="preserve"> не позволяет им сделать выбор в пользу какого-либо подхода. </w:t>
      </w:r>
    </w:p>
    <w:p w14:paraId="0BFCDE1D" w14:textId="6E9EF921" w:rsidR="00061FE7" w:rsidRPr="004117E3" w:rsidRDefault="004117E3" w:rsidP="00131925">
      <w:pPr>
        <w:pStyle w:val="Heading3"/>
        <w:keepLines/>
        <w:rPr>
          <w:lang w:val="ru-RU"/>
        </w:rPr>
      </w:pPr>
      <w:r>
        <w:rPr>
          <w:lang w:val="ru-RU"/>
        </w:rPr>
        <w:t xml:space="preserve">Раздел </w:t>
      </w:r>
      <w:r w:rsidR="00AB7E57">
        <w:t>B</w:t>
      </w:r>
      <w:r w:rsidR="00AB7E57" w:rsidRPr="004117E3">
        <w:rPr>
          <w:lang w:val="ru-RU"/>
        </w:rPr>
        <w:t xml:space="preserve"> </w:t>
      </w:r>
      <w:r w:rsidRPr="004117E3">
        <w:rPr>
          <w:lang w:val="ru-RU"/>
        </w:rPr>
        <w:t>–</w:t>
      </w:r>
      <w:r w:rsidR="00AB7E57" w:rsidRPr="004117E3">
        <w:rPr>
          <w:lang w:val="ru-RU"/>
        </w:rPr>
        <w:t xml:space="preserve"> </w:t>
      </w:r>
      <w:r w:rsidR="0040355F" w:rsidRPr="0040355F">
        <w:rPr>
          <w:lang w:val="ru-RU"/>
        </w:rPr>
        <w:t>И</w:t>
      </w:r>
      <w:r w:rsidR="0040355F" w:rsidRPr="0040355F">
        <w:rPr>
          <w:rFonts w:eastAsia="Malgun Gothic"/>
          <w:szCs w:val="22"/>
          <w:lang w:val="ru-RU"/>
        </w:rPr>
        <w:t>дентификаторы</w:t>
      </w:r>
      <w:r w:rsidRPr="0040355F">
        <w:rPr>
          <w:lang w:val="ru-RU"/>
        </w:rPr>
        <w:t xml:space="preserve"> не</w:t>
      </w:r>
      <w:r>
        <w:rPr>
          <w:lang w:val="ru-RU"/>
        </w:rPr>
        <w:t xml:space="preserve"> используются</w:t>
      </w:r>
    </w:p>
    <w:p w14:paraId="63894777" w14:textId="02BE65B3" w:rsidR="000B3B9E" w:rsidRPr="000B3B9E" w:rsidRDefault="00061FE7" w:rsidP="00131925">
      <w:pPr>
        <w:pStyle w:val="BodyText"/>
        <w:keepLines/>
        <w:rPr>
          <w:lang w:val="ru-RU"/>
        </w:rPr>
      </w:pPr>
      <w:r w:rsidRPr="003C4B82">
        <w:fldChar w:fldCharType="begin"/>
      </w:r>
      <w:r w:rsidRPr="000B3B9E">
        <w:rPr>
          <w:lang w:val="ru-RU"/>
        </w:rPr>
        <w:instrText xml:space="preserve"> </w:instrText>
      </w:r>
      <w:r w:rsidRPr="00A35CB4">
        <w:instrText>AUTONUM</w:instrText>
      </w:r>
      <w:r w:rsidRPr="000B3B9E">
        <w:rPr>
          <w:lang w:val="ru-RU"/>
        </w:rPr>
        <w:instrText xml:space="preserve"> </w:instrText>
      </w:r>
      <w:r w:rsidRPr="003C4B82">
        <w:fldChar w:fldCharType="end"/>
      </w:r>
      <w:r w:rsidRPr="000B3B9E">
        <w:rPr>
          <w:lang w:val="ru-RU"/>
        </w:rPr>
        <w:tab/>
      </w:r>
      <w:r w:rsidR="000B3B9E">
        <w:rPr>
          <w:lang w:val="ru-RU"/>
        </w:rPr>
        <w:t>По вопросам</w:t>
      </w:r>
      <w:r w:rsidR="00FB257C" w:rsidRPr="000B3B9E">
        <w:rPr>
          <w:lang w:val="ru-RU"/>
        </w:rPr>
        <w:t xml:space="preserve"> </w:t>
      </w:r>
      <w:r w:rsidR="00FB257C">
        <w:rPr>
          <w:lang w:val="ru-RU"/>
        </w:rPr>
        <w:t>данно</w:t>
      </w:r>
      <w:r w:rsidR="000B3B9E">
        <w:rPr>
          <w:lang w:val="ru-RU"/>
        </w:rPr>
        <w:t>го ра</w:t>
      </w:r>
      <w:r w:rsidR="00044D91">
        <w:rPr>
          <w:lang w:val="ru-RU"/>
        </w:rPr>
        <w:t>з</w:t>
      </w:r>
      <w:r w:rsidR="000B3B9E">
        <w:rPr>
          <w:lang w:val="ru-RU"/>
        </w:rPr>
        <w:t>дела</w:t>
      </w:r>
      <w:r w:rsidR="00FB257C" w:rsidRPr="000B3B9E">
        <w:rPr>
          <w:lang w:val="ru-RU"/>
        </w:rPr>
        <w:t xml:space="preserve"> </w:t>
      </w:r>
      <w:r w:rsidR="00FB257C">
        <w:rPr>
          <w:lang w:val="ru-RU"/>
        </w:rPr>
        <w:t>было</w:t>
      </w:r>
      <w:r w:rsidR="00FB257C" w:rsidRPr="000B3B9E">
        <w:rPr>
          <w:lang w:val="ru-RU"/>
        </w:rPr>
        <w:t xml:space="preserve"> </w:t>
      </w:r>
      <w:r w:rsidR="000B3B9E">
        <w:rPr>
          <w:lang w:val="ru-RU"/>
        </w:rPr>
        <w:t>получено</w:t>
      </w:r>
      <w:r w:rsidR="000B3B9E" w:rsidRPr="000B3B9E">
        <w:rPr>
          <w:lang w:val="ru-RU"/>
        </w:rPr>
        <w:t xml:space="preserve"> </w:t>
      </w:r>
      <w:r w:rsidR="00FB257C">
        <w:rPr>
          <w:lang w:val="ru-RU"/>
        </w:rPr>
        <w:t>мало</w:t>
      </w:r>
      <w:r w:rsidR="00FB257C" w:rsidRPr="000B3B9E">
        <w:rPr>
          <w:lang w:val="ru-RU"/>
        </w:rPr>
        <w:t xml:space="preserve"> </w:t>
      </w:r>
      <w:r w:rsidR="000B3B9E">
        <w:rPr>
          <w:lang w:val="ru-RU"/>
        </w:rPr>
        <w:t xml:space="preserve">ответов, при этом </w:t>
      </w:r>
      <w:r w:rsidR="00044D91">
        <w:rPr>
          <w:lang w:val="ru-RU"/>
        </w:rPr>
        <w:t xml:space="preserve">на </w:t>
      </w:r>
      <w:r w:rsidR="000B3B9E">
        <w:rPr>
          <w:lang w:val="ru-RU"/>
        </w:rPr>
        <w:t>восьмо</w:t>
      </w:r>
      <w:r w:rsidR="00044D91">
        <w:rPr>
          <w:lang w:val="ru-RU"/>
        </w:rPr>
        <w:t>й</w:t>
      </w:r>
      <w:r w:rsidR="000B3B9E">
        <w:rPr>
          <w:lang w:val="ru-RU"/>
        </w:rPr>
        <w:t xml:space="preserve"> и девят</w:t>
      </w:r>
      <w:r w:rsidR="00044D91">
        <w:rPr>
          <w:lang w:val="ru-RU"/>
        </w:rPr>
        <w:t>ый</w:t>
      </w:r>
      <w:r w:rsidR="000B3B9E">
        <w:rPr>
          <w:lang w:val="ru-RU"/>
        </w:rPr>
        <w:t xml:space="preserve"> вопрос было получено всего </w:t>
      </w:r>
      <w:r w:rsidR="00044D91">
        <w:rPr>
          <w:lang w:val="ru-RU"/>
        </w:rPr>
        <w:t xml:space="preserve">по </w:t>
      </w:r>
      <w:r w:rsidR="000B3B9E">
        <w:rPr>
          <w:lang w:val="ru-RU"/>
        </w:rPr>
        <w:t xml:space="preserve">пять ответов. </w:t>
      </w:r>
      <w:r w:rsidR="00044D91">
        <w:rPr>
          <w:lang w:val="ru-RU"/>
        </w:rPr>
        <w:t>С</w:t>
      </w:r>
      <w:r w:rsidR="000B3B9E">
        <w:rPr>
          <w:lang w:val="ru-RU"/>
        </w:rPr>
        <w:t xml:space="preserve">корее всего </w:t>
      </w:r>
      <w:r w:rsidR="00044D91">
        <w:rPr>
          <w:lang w:val="ru-RU"/>
        </w:rPr>
        <w:t xml:space="preserve">это </w:t>
      </w:r>
      <w:r w:rsidR="000B3B9E">
        <w:rPr>
          <w:lang w:val="ru-RU"/>
        </w:rPr>
        <w:t xml:space="preserve">свидетельствует о том, что большинство ведомств, участвующих в обследовании, используют такие типы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0B3B9E">
        <w:rPr>
          <w:lang w:val="ru-RU"/>
        </w:rPr>
        <w:t>, которые уже были указаны в ответ</w:t>
      </w:r>
      <w:r w:rsidR="00044D91">
        <w:rPr>
          <w:lang w:val="ru-RU"/>
        </w:rPr>
        <w:t>ах</w:t>
      </w:r>
      <w:r w:rsidR="000B3B9E">
        <w:rPr>
          <w:lang w:val="ru-RU"/>
        </w:rPr>
        <w:t xml:space="preserve"> </w:t>
      </w:r>
      <w:r w:rsidR="00044D91">
        <w:rPr>
          <w:lang w:val="ru-RU"/>
        </w:rPr>
        <w:t xml:space="preserve">на вопросы </w:t>
      </w:r>
      <w:r w:rsidR="000B3B9E">
        <w:rPr>
          <w:lang w:val="ru-RU"/>
        </w:rPr>
        <w:t xml:space="preserve">в первом разделе. Вместе с тем, в этом нет полной уверенности, поскольку такой вопрос </w:t>
      </w:r>
      <w:r w:rsidR="00044D91">
        <w:rPr>
          <w:lang w:val="ru-RU"/>
        </w:rPr>
        <w:t xml:space="preserve">прямо </w:t>
      </w:r>
      <w:r w:rsidR="000B3B9E">
        <w:rPr>
          <w:lang w:val="ru-RU"/>
        </w:rPr>
        <w:t xml:space="preserve">не </w:t>
      </w:r>
      <w:r w:rsidR="00044D91">
        <w:rPr>
          <w:lang w:val="ru-RU"/>
        </w:rPr>
        <w:t xml:space="preserve">ставился </w:t>
      </w:r>
      <w:r w:rsidR="000B3B9E">
        <w:rPr>
          <w:lang w:val="ru-RU"/>
        </w:rPr>
        <w:t xml:space="preserve">в ходе обследования. </w:t>
      </w:r>
    </w:p>
    <w:p w14:paraId="67ADFB35" w14:textId="0A0C936D" w:rsidR="00DD3FDC" w:rsidRPr="00DD3FDC" w:rsidRDefault="00061FE7" w:rsidP="009406D9">
      <w:pPr>
        <w:pStyle w:val="BodyText"/>
        <w:rPr>
          <w:lang w:val="ru-RU"/>
        </w:rPr>
      </w:pPr>
      <w:r w:rsidRPr="003C4B82">
        <w:fldChar w:fldCharType="begin"/>
      </w:r>
      <w:r w:rsidRPr="000B3B9E">
        <w:rPr>
          <w:lang w:val="ru-RU"/>
        </w:rPr>
        <w:instrText xml:space="preserve"> </w:instrText>
      </w:r>
      <w:r w:rsidRPr="00BE7319">
        <w:instrText>AUTONUM</w:instrText>
      </w:r>
      <w:r w:rsidRPr="000B3B9E">
        <w:rPr>
          <w:lang w:val="ru-RU"/>
        </w:rPr>
        <w:instrText xml:space="preserve"> </w:instrText>
      </w:r>
      <w:r w:rsidRPr="003C4B82">
        <w:fldChar w:fldCharType="end"/>
      </w:r>
      <w:r w:rsidRPr="000B3B9E">
        <w:rPr>
          <w:lang w:val="ru-RU"/>
        </w:rPr>
        <w:tab/>
      </w:r>
      <w:r w:rsidR="000B3B9E">
        <w:rPr>
          <w:lang w:val="ru-RU"/>
        </w:rPr>
        <w:t xml:space="preserve">Из числа ведомств, которые не намерены использовать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626062">
        <w:rPr>
          <w:lang w:val="ru-RU"/>
        </w:rPr>
        <w:t xml:space="preserve">, три ведомства в качестве причины указали на отсутствие </w:t>
      </w:r>
      <w:r w:rsidR="008C29CD">
        <w:rPr>
          <w:lang w:val="ru-RU"/>
        </w:rPr>
        <w:t>в</w:t>
      </w:r>
      <w:r w:rsidR="00CF2FC8">
        <w:rPr>
          <w:lang w:val="ru-RU"/>
        </w:rPr>
        <w:t xml:space="preserve"> их ИТ-систем</w:t>
      </w:r>
      <w:r w:rsidR="008C29CD">
        <w:rPr>
          <w:lang w:val="ru-RU"/>
        </w:rPr>
        <w:t>ах</w:t>
      </w:r>
      <w:r w:rsidR="00CF2FC8">
        <w:rPr>
          <w:lang w:val="ru-RU"/>
        </w:rPr>
        <w:t xml:space="preserve"> функций поддержки использования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CF2FC8">
        <w:rPr>
          <w:lang w:val="ru-RU"/>
        </w:rPr>
        <w:t xml:space="preserve"> заявителей. </w:t>
      </w:r>
      <w:r w:rsidR="00EA7906">
        <w:rPr>
          <w:lang w:val="ru-RU"/>
        </w:rPr>
        <w:t xml:space="preserve">Одно ведомство (США) без каких-либо дальнейших пояснений заявило о том, что не требует от заявителей указания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EA7906">
        <w:rPr>
          <w:lang w:val="ru-RU"/>
        </w:rPr>
        <w:t>.</w:t>
      </w:r>
      <w:r w:rsidR="00DD3FDC">
        <w:rPr>
          <w:lang w:val="ru-RU"/>
        </w:rPr>
        <w:t xml:space="preserve"> В качестве альтернативного подхода к использованию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DD3FDC">
        <w:rPr>
          <w:lang w:val="ru-RU"/>
        </w:rPr>
        <w:t xml:space="preserve"> одно ведомство (</w:t>
      </w:r>
      <w:r w:rsidR="00DD3FDC">
        <w:t>CR</w:t>
      </w:r>
      <w:r w:rsidR="00DD3FDC">
        <w:rPr>
          <w:lang w:val="ru-RU"/>
        </w:rPr>
        <w:t xml:space="preserve">) </w:t>
      </w:r>
      <w:r w:rsidR="009406D9">
        <w:rPr>
          <w:lang w:val="ru-RU"/>
        </w:rPr>
        <w:t xml:space="preserve">сообщило об </w:t>
      </w:r>
      <w:r w:rsidR="00DD3FDC">
        <w:rPr>
          <w:lang w:val="ru-RU"/>
        </w:rPr>
        <w:t>использова</w:t>
      </w:r>
      <w:r w:rsidR="009406D9">
        <w:rPr>
          <w:lang w:val="ru-RU"/>
        </w:rPr>
        <w:t>нии</w:t>
      </w:r>
      <w:r w:rsidR="00DD3FDC">
        <w:rPr>
          <w:lang w:val="ru-RU"/>
        </w:rPr>
        <w:t xml:space="preserve"> результат</w:t>
      </w:r>
      <w:r w:rsidR="009406D9">
        <w:rPr>
          <w:lang w:val="ru-RU"/>
        </w:rPr>
        <w:t>ов</w:t>
      </w:r>
      <w:r w:rsidR="00DD3FDC">
        <w:rPr>
          <w:lang w:val="ru-RU"/>
        </w:rPr>
        <w:t xml:space="preserve"> поиска данных и их ручн</w:t>
      </w:r>
      <w:r w:rsidR="009406D9">
        <w:rPr>
          <w:lang w:val="ru-RU"/>
        </w:rPr>
        <w:t>ой</w:t>
      </w:r>
      <w:r w:rsidR="00DD3FDC">
        <w:rPr>
          <w:lang w:val="ru-RU"/>
        </w:rPr>
        <w:t xml:space="preserve"> корректировк</w:t>
      </w:r>
      <w:r w:rsidR="009406D9">
        <w:rPr>
          <w:lang w:val="ru-RU"/>
        </w:rPr>
        <w:t>и</w:t>
      </w:r>
      <w:r w:rsidR="00DD3FDC">
        <w:rPr>
          <w:lang w:val="ru-RU"/>
        </w:rPr>
        <w:t xml:space="preserve"> </w:t>
      </w:r>
      <w:r w:rsidR="009406D9">
        <w:rPr>
          <w:lang w:val="ru-RU"/>
        </w:rPr>
        <w:t xml:space="preserve">в целях исключения дублирования записей в отношении одного и того же владельца, а другое ведомство </w:t>
      </w:r>
      <w:r w:rsidR="009406D9" w:rsidRPr="009406D9">
        <w:rPr>
          <w:lang w:val="ru-RU"/>
        </w:rPr>
        <w:t>(</w:t>
      </w:r>
      <w:r w:rsidR="009406D9">
        <w:t>DO</w:t>
      </w:r>
      <w:r w:rsidR="009406D9" w:rsidRPr="009406D9">
        <w:rPr>
          <w:lang w:val="ru-RU"/>
        </w:rPr>
        <w:t>)</w:t>
      </w:r>
      <w:r w:rsidR="009406D9">
        <w:rPr>
          <w:lang w:val="ru-RU"/>
        </w:rPr>
        <w:t xml:space="preserve"> сообщило об использовании статистических отчетов в целях обнаружения и устранения проблем. </w:t>
      </w:r>
    </w:p>
    <w:p w14:paraId="73A3EDA6" w14:textId="541865ED" w:rsidR="00C63ADB" w:rsidRPr="00C63ADB" w:rsidRDefault="00061FE7" w:rsidP="004136CD">
      <w:pPr>
        <w:pStyle w:val="BodyText"/>
        <w:rPr>
          <w:lang w:val="ru-RU"/>
        </w:rPr>
      </w:pPr>
      <w:r w:rsidRPr="003C4B82">
        <w:fldChar w:fldCharType="begin"/>
      </w:r>
      <w:r w:rsidRPr="007757FD">
        <w:rPr>
          <w:lang w:val="ru-RU"/>
        </w:rPr>
        <w:instrText xml:space="preserve"> </w:instrText>
      </w:r>
      <w:r w:rsidRPr="005D3040">
        <w:instrText>AUTONUM</w:instrText>
      </w:r>
      <w:r w:rsidRPr="007757FD">
        <w:rPr>
          <w:lang w:val="ru-RU"/>
        </w:rPr>
        <w:instrText xml:space="preserve"> </w:instrText>
      </w:r>
      <w:r w:rsidRPr="003C4B82">
        <w:fldChar w:fldCharType="end"/>
      </w:r>
      <w:r w:rsidRPr="007757FD">
        <w:rPr>
          <w:lang w:val="ru-RU"/>
        </w:rPr>
        <w:tab/>
      </w:r>
      <w:r w:rsidR="007757FD">
        <w:rPr>
          <w:lang w:val="ru-RU"/>
        </w:rPr>
        <w:t>Ведомства</w:t>
      </w:r>
      <w:r w:rsidR="007757FD" w:rsidRPr="007757FD">
        <w:rPr>
          <w:lang w:val="ru-RU"/>
        </w:rPr>
        <w:t xml:space="preserve"> </w:t>
      </w:r>
      <w:r w:rsidR="004136CD">
        <w:rPr>
          <w:lang w:val="ru-RU"/>
        </w:rPr>
        <w:t xml:space="preserve">представили </w:t>
      </w:r>
      <w:r w:rsidR="007757FD">
        <w:rPr>
          <w:lang w:val="ru-RU"/>
        </w:rPr>
        <w:t>несколько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>ответов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>на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>вопрос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>о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>недостатках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>или</w:t>
      </w:r>
      <w:r w:rsidR="007757FD" w:rsidRPr="007757FD">
        <w:rPr>
          <w:lang w:val="ru-RU"/>
        </w:rPr>
        <w:t xml:space="preserve"> </w:t>
      </w:r>
      <w:r w:rsidR="007757FD">
        <w:rPr>
          <w:lang w:val="ru-RU"/>
        </w:rPr>
        <w:t xml:space="preserve">правовых сложностях, которые могут возникать при использовании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7757FD">
        <w:rPr>
          <w:lang w:val="ru-RU"/>
        </w:rPr>
        <w:t>.</w:t>
      </w:r>
      <w:r w:rsidRPr="007757FD">
        <w:rPr>
          <w:lang w:val="ru-RU"/>
        </w:rPr>
        <w:t xml:space="preserve">  </w:t>
      </w:r>
      <w:r w:rsidR="007757FD">
        <w:rPr>
          <w:lang w:val="ru-RU"/>
        </w:rPr>
        <w:t xml:space="preserve">Некоторые ведомства </w:t>
      </w:r>
      <w:r w:rsidR="007757FD" w:rsidRPr="007757FD">
        <w:rPr>
          <w:lang w:val="ru-RU"/>
        </w:rPr>
        <w:t>(</w:t>
      </w:r>
      <w:r w:rsidR="007757FD">
        <w:t>US</w:t>
      </w:r>
      <w:r w:rsidR="007757FD" w:rsidRPr="007757FD">
        <w:rPr>
          <w:lang w:val="ru-RU"/>
        </w:rPr>
        <w:t xml:space="preserve">, </w:t>
      </w:r>
      <w:r w:rsidR="007757FD">
        <w:t>CA</w:t>
      </w:r>
      <w:r w:rsidR="007757FD" w:rsidRPr="007757FD">
        <w:rPr>
          <w:lang w:val="ru-RU"/>
        </w:rPr>
        <w:t>)</w:t>
      </w:r>
      <w:r w:rsidR="007757FD">
        <w:rPr>
          <w:lang w:val="ru-RU"/>
        </w:rPr>
        <w:t>, в соответствии с законом, просят указывать только имя и адрес заявителя и обязаны прин</w:t>
      </w:r>
      <w:r w:rsidR="004136CD">
        <w:rPr>
          <w:lang w:val="ru-RU"/>
        </w:rPr>
        <w:t>имать</w:t>
      </w:r>
      <w:r w:rsidR="007757FD">
        <w:rPr>
          <w:lang w:val="ru-RU"/>
        </w:rPr>
        <w:t xml:space="preserve"> предоставленную информацию. </w:t>
      </w:r>
      <w:r w:rsidR="004136CD">
        <w:rPr>
          <w:lang w:val="ru-RU"/>
        </w:rPr>
        <w:t xml:space="preserve">В качестве еще одной возможной сложности были указаны правила </w:t>
      </w:r>
      <w:r w:rsidR="00C63ADB">
        <w:rPr>
          <w:lang w:val="ru-RU"/>
        </w:rPr>
        <w:t xml:space="preserve">обеспечения конфиденциальности при обработке </w:t>
      </w:r>
      <w:r w:rsidR="004136CD">
        <w:rPr>
          <w:lang w:val="ru-RU"/>
        </w:rPr>
        <w:t>персональных данных.</w:t>
      </w:r>
      <w:r w:rsidRPr="004136CD">
        <w:rPr>
          <w:lang w:val="ru-RU"/>
        </w:rPr>
        <w:t xml:space="preserve">  </w:t>
      </w:r>
      <w:r w:rsidR="004136CD">
        <w:rPr>
          <w:lang w:val="ru-RU"/>
        </w:rPr>
        <w:t>Други</w:t>
      </w:r>
      <w:r w:rsidR="00C63ADB">
        <w:rPr>
          <w:lang w:val="ru-RU"/>
        </w:rPr>
        <w:t xml:space="preserve">е </w:t>
      </w:r>
      <w:r w:rsidR="004136CD">
        <w:rPr>
          <w:lang w:val="ru-RU"/>
        </w:rPr>
        <w:t>сложност</w:t>
      </w:r>
      <w:r w:rsidR="00C63ADB">
        <w:rPr>
          <w:lang w:val="ru-RU"/>
        </w:rPr>
        <w:t xml:space="preserve">и, как было </w:t>
      </w:r>
      <w:r w:rsidR="00044D91">
        <w:rPr>
          <w:lang w:val="ru-RU"/>
        </w:rPr>
        <w:t>отмечено</w:t>
      </w:r>
      <w:r w:rsidR="00C63ADB">
        <w:rPr>
          <w:lang w:val="ru-RU"/>
        </w:rPr>
        <w:t>, могут</w:t>
      </w:r>
      <w:r w:rsidR="00C63ADB" w:rsidRPr="00C63ADB">
        <w:rPr>
          <w:lang w:val="ru-RU"/>
        </w:rPr>
        <w:t xml:space="preserve"> </w:t>
      </w:r>
      <w:r w:rsidR="00C63ADB">
        <w:rPr>
          <w:lang w:val="ru-RU"/>
        </w:rPr>
        <w:t>быть</w:t>
      </w:r>
      <w:r w:rsidR="00C63ADB" w:rsidRPr="00C63ADB">
        <w:rPr>
          <w:lang w:val="ru-RU"/>
        </w:rPr>
        <w:t xml:space="preserve"> </w:t>
      </w:r>
      <w:r w:rsidR="00C63ADB">
        <w:rPr>
          <w:lang w:val="ru-RU"/>
        </w:rPr>
        <w:t>связаны</w:t>
      </w:r>
      <w:r w:rsidR="00C63ADB" w:rsidRPr="00C63ADB">
        <w:rPr>
          <w:lang w:val="ru-RU"/>
        </w:rPr>
        <w:t xml:space="preserve"> </w:t>
      </w:r>
      <w:r w:rsidR="00C63ADB">
        <w:rPr>
          <w:lang w:val="ru-RU"/>
        </w:rPr>
        <w:t>с</w:t>
      </w:r>
      <w:r w:rsidR="00C63ADB" w:rsidRPr="00C63ADB">
        <w:rPr>
          <w:lang w:val="ru-RU"/>
        </w:rPr>
        <w:t xml:space="preserve"> </w:t>
      </w:r>
      <w:r w:rsidR="00C63ADB">
        <w:rPr>
          <w:lang w:val="ru-RU"/>
        </w:rPr>
        <w:t xml:space="preserve">обеспечением предоставления пользователями точной информации и присвоением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C63ADB">
        <w:rPr>
          <w:lang w:val="ru-RU"/>
        </w:rPr>
        <w:t xml:space="preserve"> иностранным заявителям. </w:t>
      </w:r>
    </w:p>
    <w:p w14:paraId="1462CDFE" w14:textId="3818CD7D" w:rsidR="00061FE7" w:rsidRPr="00566C11" w:rsidRDefault="00C63ADB" w:rsidP="00AB7E57">
      <w:pPr>
        <w:pStyle w:val="Heading3"/>
        <w:rPr>
          <w:lang w:val="ru-RU"/>
        </w:rPr>
      </w:pPr>
      <w:r>
        <w:rPr>
          <w:lang w:val="ru-RU"/>
        </w:rPr>
        <w:t>Раздел</w:t>
      </w:r>
      <w:r w:rsidRPr="00566C11">
        <w:rPr>
          <w:lang w:val="ru-RU"/>
        </w:rPr>
        <w:t xml:space="preserve"> </w:t>
      </w:r>
      <w:r w:rsidR="00AB7E57">
        <w:t>C</w:t>
      </w:r>
      <w:r w:rsidR="00AB7E57" w:rsidRPr="00566C11">
        <w:rPr>
          <w:lang w:val="ru-RU"/>
        </w:rPr>
        <w:t xml:space="preserve"> </w:t>
      </w:r>
      <w:r w:rsidRPr="00566C11">
        <w:rPr>
          <w:lang w:val="ru-RU"/>
        </w:rPr>
        <w:t>–</w:t>
      </w:r>
      <w:r w:rsidR="00AB7E57" w:rsidRPr="00566C11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566C11">
        <w:rPr>
          <w:lang w:val="ru-RU"/>
        </w:rPr>
        <w:t xml:space="preserve"> </w:t>
      </w:r>
      <w:r>
        <w:rPr>
          <w:lang w:val="ru-RU"/>
        </w:rPr>
        <w:t>по</w:t>
      </w:r>
      <w:r w:rsidRPr="00566C11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566C11">
        <w:rPr>
          <w:lang w:val="ru-RU"/>
        </w:rPr>
        <w:t xml:space="preserve"> </w:t>
      </w:r>
    </w:p>
    <w:p w14:paraId="2D85533B" w14:textId="68A108F1" w:rsidR="00061FE7" w:rsidRPr="00D774F9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D774F9">
        <w:rPr>
          <w:lang w:val="ru-RU"/>
        </w:rPr>
        <w:instrText xml:space="preserve"> </w:instrText>
      </w:r>
      <w:r w:rsidRPr="00BE7319">
        <w:instrText>AUTONUM</w:instrText>
      </w:r>
      <w:r w:rsidRPr="00D774F9">
        <w:rPr>
          <w:lang w:val="ru-RU"/>
        </w:rPr>
        <w:instrText xml:space="preserve"> </w:instrText>
      </w:r>
      <w:r w:rsidRPr="003C4B82">
        <w:fldChar w:fldCharType="end"/>
      </w:r>
      <w:r w:rsidRPr="00D774F9">
        <w:rPr>
          <w:lang w:val="ru-RU"/>
        </w:rPr>
        <w:tab/>
      </w:r>
      <w:r w:rsidR="00D774F9">
        <w:rPr>
          <w:lang w:val="ru-RU"/>
        </w:rPr>
        <w:t>На</w:t>
      </w:r>
      <w:r w:rsidR="00D774F9" w:rsidRPr="00D774F9">
        <w:rPr>
          <w:lang w:val="ru-RU"/>
        </w:rPr>
        <w:t xml:space="preserve"> </w:t>
      </w:r>
      <w:r w:rsidR="00D774F9">
        <w:rPr>
          <w:lang w:val="ru-RU"/>
        </w:rPr>
        <w:t>вопросы</w:t>
      </w:r>
      <w:r w:rsidR="00D774F9" w:rsidRPr="00D774F9">
        <w:rPr>
          <w:lang w:val="ru-RU"/>
        </w:rPr>
        <w:t xml:space="preserve"> </w:t>
      </w:r>
      <w:r w:rsidR="00C63ADB">
        <w:rPr>
          <w:lang w:val="ru-RU"/>
        </w:rPr>
        <w:t>это</w:t>
      </w:r>
      <w:r w:rsidR="00D774F9">
        <w:rPr>
          <w:lang w:val="ru-RU"/>
        </w:rPr>
        <w:t>го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раздел</w:t>
      </w:r>
      <w:r w:rsidR="00D774F9">
        <w:rPr>
          <w:lang w:val="ru-RU"/>
        </w:rPr>
        <w:t>а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было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получено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большое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число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ответов</w:t>
      </w:r>
      <w:r w:rsidR="00C63ADB" w:rsidRPr="00D774F9">
        <w:rPr>
          <w:lang w:val="ru-RU"/>
        </w:rPr>
        <w:t xml:space="preserve">, </w:t>
      </w:r>
      <w:r w:rsidR="00C63ADB">
        <w:rPr>
          <w:lang w:val="ru-RU"/>
        </w:rPr>
        <w:t>в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среднем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примерно</w:t>
      </w:r>
      <w:r w:rsidR="00C63ADB" w:rsidRPr="00D774F9">
        <w:rPr>
          <w:lang w:val="ru-RU"/>
        </w:rPr>
        <w:t xml:space="preserve"> 20 </w:t>
      </w:r>
      <w:r w:rsidR="00C63ADB">
        <w:rPr>
          <w:lang w:val="ru-RU"/>
        </w:rPr>
        <w:t>ответов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на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каждый</w:t>
      </w:r>
      <w:r w:rsidR="00C63ADB" w:rsidRPr="00D774F9">
        <w:rPr>
          <w:lang w:val="ru-RU"/>
        </w:rPr>
        <w:t xml:space="preserve"> </w:t>
      </w:r>
      <w:r w:rsidR="00C63ADB">
        <w:rPr>
          <w:lang w:val="ru-RU"/>
        </w:rPr>
        <w:t>вопрос</w:t>
      </w:r>
      <w:r w:rsidRPr="00D774F9">
        <w:rPr>
          <w:lang w:val="ru-RU"/>
        </w:rPr>
        <w:t>.</w:t>
      </w:r>
    </w:p>
    <w:p w14:paraId="5AD9B1A3" w14:textId="0281F6E4" w:rsidR="00FB284E" w:rsidRPr="00FB284E" w:rsidRDefault="00061FE7" w:rsidP="00FB284E">
      <w:pPr>
        <w:pStyle w:val="BodyText"/>
        <w:rPr>
          <w:lang w:val="ru-RU"/>
        </w:rPr>
      </w:pPr>
      <w:r w:rsidRPr="003C4B82">
        <w:fldChar w:fldCharType="begin"/>
      </w:r>
      <w:r w:rsidRPr="00D774F9">
        <w:rPr>
          <w:lang w:val="ru-RU"/>
        </w:rPr>
        <w:instrText xml:space="preserve"> </w:instrText>
      </w:r>
      <w:r w:rsidRPr="008510D0">
        <w:instrText>AUTONUM</w:instrText>
      </w:r>
      <w:r w:rsidRPr="00D774F9">
        <w:rPr>
          <w:lang w:val="ru-RU"/>
        </w:rPr>
        <w:instrText xml:space="preserve"> </w:instrText>
      </w:r>
      <w:r w:rsidRPr="003C4B82">
        <w:fldChar w:fldCharType="end"/>
      </w:r>
      <w:r w:rsidRPr="00D774F9">
        <w:rPr>
          <w:lang w:val="ru-RU"/>
        </w:rPr>
        <w:tab/>
      </w:r>
      <w:r w:rsidR="00D774F9">
        <w:rPr>
          <w:lang w:val="ru-RU"/>
        </w:rPr>
        <w:t xml:space="preserve">На вопрос о возможных вариантах дальнейших действий три четверти </w:t>
      </w:r>
      <w:r w:rsidR="00D774F9" w:rsidRPr="00D774F9">
        <w:rPr>
          <w:lang w:val="ru-RU"/>
        </w:rPr>
        <w:t>(75%)</w:t>
      </w:r>
      <w:r w:rsidR="00D774F9">
        <w:rPr>
          <w:lang w:val="ru-RU"/>
        </w:rPr>
        <w:t xml:space="preserve"> ВИС </w:t>
      </w:r>
      <w:r w:rsidR="00F30237">
        <w:rPr>
          <w:lang w:val="ru-RU"/>
        </w:rPr>
        <w:t>указали</w:t>
      </w:r>
      <w:r w:rsidR="00D774F9">
        <w:rPr>
          <w:lang w:val="ru-RU"/>
        </w:rPr>
        <w:t xml:space="preserve">, что использование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D774F9">
        <w:rPr>
          <w:lang w:val="ru-RU"/>
        </w:rPr>
        <w:t xml:space="preserve"> </w:t>
      </w:r>
      <w:r w:rsidR="00F30237">
        <w:rPr>
          <w:lang w:val="ru-RU"/>
        </w:rPr>
        <w:t>имеет высокий приоритет,</w:t>
      </w:r>
      <w:r w:rsidR="00D774F9">
        <w:rPr>
          <w:lang w:val="ru-RU"/>
        </w:rPr>
        <w:t xml:space="preserve"> </w:t>
      </w:r>
      <w:r w:rsidR="00F30237">
        <w:rPr>
          <w:lang w:val="ru-RU"/>
        </w:rPr>
        <w:t xml:space="preserve">и </w:t>
      </w:r>
      <w:r w:rsidR="00D774F9">
        <w:rPr>
          <w:lang w:val="ru-RU"/>
        </w:rPr>
        <w:t xml:space="preserve">только два ведомства </w:t>
      </w:r>
      <w:r w:rsidR="00D774F9" w:rsidRPr="00D774F9">
        <w:rPr>
          <w:lang w:val="ru-RU"/>
        </w:rPr>
        <w:t>(</w:t>
      </w:r>
      <w:r w:rsidR="00D774F9">
        <w:t>CR</w:t>
      </w:r>
      <w:r w:rsidR="00D774F9" w:rsidRPr="00D774F9">
        <w:rPr>
          <w:lang w:val="ru-RU"/>
        </w:rPr>
        <w:t xml:space="preserve">, </w:t>
      </w:r>
      <w:r w:rsidR="00D774F9">
        <w:t>US</w:t>
      </w:r>
      <w:r w:rsidR="00D774F9" w:rsidRPr="00D774F9">
        <w:rPr>
          <w:lang w:val="ru-RU"/>
        </w:rPr>
        <w:t>)</w:t>
      </w:r>
      <w:r w:rsidR="00D774F9">
        <w:rPr>
          <w:lang w:val="ru-RU"/>
        </w:rPr>
        <w:t xml:space="preserve"> отметили, что </w:t>
      </w:r>
      <w:r w:rsidR="00806F22">
        <w:rPr>
          <w:lang w:val="ru-RU"/>
        </w:rPr>
        <w:t xml:space="preserve">оно </w:t>
      </w:r>
      <w:r w:rsidR="00D774F9">
        <w:rPr>
          <w:lang w:val="ru-RU"/>
        </w:rPr>
        <w:t xml:space="preserve">имеет </w:t>
      </w:r>
      <w:r w:rsidR="00806F22">
        <w:rPr>
          <w:lang w:val="ru-RU"/>
        </w:rPr>
        <w:t>низкий приоритет</w:t>
      </w:r>
      <w:r w:rsidR="00D774F9">
        <w:rPr>
          <w:lang w:val="ru-RU"/>
        </w:rPr>
        <w:t xml:space="preserve">.  Этот факт свидетельствует о том, </w:t>
      </w:r>
      <w:r w:rsidR="00BB31A1">
        <w:rPr>
          <w:lang w:val="ru-RU"/>
        </w:rPr>
        <w:t xml:space="preserve">что </w:t>
      </w:r>
      <w:r w:rsidR="00566C11">
        <w:rPr>
          <w:lang w:val="ru-RU"/>
        </w:rPr>
        <w:t xml:space="preserve">предложение об </w:t>
      </w:r>
      <w:r w:rsidR="00806F22">
        <w:rPr>
          <w:lang w:val="ru-RU"/>
        </w:rPr>
        <w:t>изучени</w:t>
      </w:r>
      <w:r w:rsidR="00566C11">
        <w:rPr>
          <w:lang w:val="ru-RU"/>
        </w:rPr>
        <w:t>и</w:t>
      </w:r>
      <w:r w:rsidR="00806F22">
        <w:rPr>
          <w:lang w:val="ru-RU"/>
        </w:rPr>
        <w:t xml:space="preserve"> возможных вариантов использования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566C11">
        <w:rPr>
          <w:lang w:val="ru-RU"/>
        </w:rPr>
        <w:t xml:space="preserve"> пользуется значительной поддержкой среди ВИС</w:t>
      </w:r>
      <w:r w:rsidR="00806F22">
        <w:rPr>
          <w:lang w:val="ru-RU"/>
        </w:rPr>
        <w:t xml:space="preserve">. </w:t>
      </w:r>
      <w:r w:rsidR="00566C11">
        <w:rPr>
          <w:lang w:val="ru-RU"/>
        </w:rPr>
        <w:t xml:space="preserve">Остальные варианты ответов были даны менее чем половиной </w:t>
      </w:r>
      <w:r w:rsidR="00806F22">
        <w:rPr>
          <w:lang w:val="ru-RU"/>
        </w:rPr>
        <w:t xml:space="preserve">всех респондентов. </w:t>
      </w:r>
      <w:r w:rsidR="00566C11">
        <w:rPr>
          <w:lang w:val="ru-RU"/>
        </w:rPr>
        <w:t xml:space="preserve"> Приблизительно</w:t>
      </w:r>
      <w:r w:rsidR="00566C11" w:rsidRPr="00566C11">
        <w:rPr>
          <w:lang w:val="ru-RU"/>
        </w:rPr>
        <w:t xml:space="preserve"> </w:t>
      </w:r>
      <w:r w:rsidR="00566C11">
        <w:rPr>
          <w:lang w:val="ru-RU"/>
        </w:rPr>
        <w:t>половина</w:t>
      </w:r>
      <w:r w:rsidR="00566C11" w:rsidRPr="00566C11">
        <w:rPr>
          <w:lang w:val="ru-RU"/>
        </w:rPr>
        <w:t xml:space="preserve"> </w:t>
      </w:r>
      <w:r w:rsidR="00566C11">
        <w:rPr>
          <w:lang w:val="ru-RU"/>
        </w:rPr>
        <w:t>ведомств</w:t>
      </w:r>
      <w:r w:rsidR="00566C11" w:rsidRPr="00566C11">
        <w:rPr>
          <w:lang w:val="ru-RU"/>
        </w:rPr>
        <w:t xml:space="preserve"> </w:t>
      </w:r>
      <w:r w:rsidR="00566C11">
        <w:rPr>
          <w:lang w:val="ru-RU"/>
        </w:rPr>
        <w:t xml:space="preserve">считает, что вопрос нормализации имен или использования стандартизированных имен, указываемых заявителями, </w:t>
      </w:r>
      <w:r w:rsidR="00FB284E">
        <w:rPr>
          <w:lang w:val="ru-RU"/>
        </w:rPr>
        <w:t>имеет средний или высокий приоритет, в то время как другая половина придает им низкую приоритетность. Вариант</w:t>
      </w:r>
      <w:r w:rsidR="00FB284E" w:rsidRPr="00FB284E">
        <w:rPr>
          <w:lang w:val="ru-RU"/>
        </w:rPr>
        <w:t xml:space="preserve"> </w:t>
      </w:r>
      <w:r w:rsidR="00FB284E">
        <w:rPr>
          <w:lang w:val="ru-RU"/>
        </w:rPr>
        <w:t>использования</w:t>
      </w:r>
      <w:r w:rsidR="00FB284E" w:rsidRPr="00FB284E">
        <w:rPr>
          <w:lang w:val="ru-RU"/>
        </w:rPr>
        <w:t xml:space="preserve"> </w:t>
      </w:r>
      <w:r w:rsidR="00FB284E">
        <w:rPr>
          <w:lang w:val="ru-RU"/>
        </w:rPr>
        <w:t>словарей</w:t>
      </w:r>
      <w:r w:rsidR="00FB284E" w:rsidRPr="00FB284E">
        <w:rPr>
          <w:lang w:val="ru-RU"/>
        </w:rPr>
        <w:t xml:space="preserve"> </w:t>
      </w:r>
      <w:r w:rsidR="00FB284E">
        <w:rPr>
          <w:lang w:val="ru-RU"/>
        </w:rPr>
        <w:t>имен</w:t>
      </w:r>
      <w:r w:rsidR="00FB284E" w:rsidRPr="00FB284E">
        <w:rPr>
          <w:lang w:val="ru-RU"/>
        </w:rPr>
        <w:t xml:space="preserve"> </w:t>
      </w:r>
      <w:r w:rsidR="00FB284E">
        <w:rPr>
          <w:lang w:val="ru-RU"/>
        </w:rPr>
        <w:t>патентообладателей</w:t>
      </w:r>
      <w:r w:rsidR="00FB284E" w:rsidRPr="00FB284E">
        <w:rPr>
          <w:lang w:val="ru-RU"/>
        </w:rPr>
        <w:t xml:space="preserve"> </w:t>
      </w:r>
      <w:r w:rsidR="00BB31A1">
        <w:rPr>
          <w:lang w:val="ru-RU"/>
        </w:rPr>
        <w:t>поддержало наименьшее число респондентов</w:t>
      </w:r>
      <w:r w:rsidR="00FB284E">
        <w:rPr>
          <w:lang w:val="ru-RU"/>
        </w:rPr>
        <w:t xml:space="preserve">, при этом </w:t>
      </w:r>
      <w:r w:rsidR="00154E80">
        <w:rPr>
          <w:lang w:val="ru-RU"/>
        </w:rPr>
        <w:t xml:space="preserve">только </w:t>
      </w:r>
      <w:r w:rsidR="00FB284E">
        <w:rPr>
          <w:lang w:val="ru-RU"/>
        </w:rPr>
        <w:t xml:space="preserve">семь </w:t>
      </w:r>
      <w:r w:rsidR="00154E80">
        <w:rPr>
          <w:lang w:val="ru-RU"/>
        </w:rPr>
        <w:t xml:space="preserve">ведомств считают, что этот вариант имеет средний приоритет, </w:t>
      </w:r>
      <w:r w:rsidR="00BB31A1">
        <w:rPr>
          <w:lang w:val="ru-RU"/>
        </w:rPr>
        <w:t xml:space="preserve">и </w:t>
      </w:r>
      <w:r w:rsidR="00154E80">
        <w:rPr>
          <w:lang w:val="ru-RU"/>
        </w:rPr>
        <w:t>ни</w:t>
      </w:r>
      <w:r w:rsidR="00BB31A1">
        <w:rPr>
          <w:lang w:val="ru-RU"/>
        </w:rPr>
        <w:t xml:space="preserve">кто </w:t>
      </w:r>
      <w:r w:rsidR="00154E80">
        <w:rPr>
          <w:lang w:val="ru-RU"/>
        </w:rPr>
        <w:t xml:space="preserve">не </w:t>
      </w:r>
      <w:r w:rsidR="00A07A48">
        <w:rPr>
          <w:lang w:val="ru-RU"/>
        </w:rPr>
        <w:t xml:space="preserve">указал </w:t>
      </w:r>
      <w:r w:rsidR="00154E80">
        <w:rPr>
          <w:lang w:val="ru-RU"/>
        </w:rPr>
        <w:t xml:space="preserve">его как имеющий высокий приоритет. </w:t>
      </w:r>
    </w:p>
    <w:p w14:paraId="24497688" w14:textId="2BE685B3" w:rsidR="00154E80" w:rsidRPr="00110B34" w:rsidRDefault="00061FE7" w:rsidP="00AB7E57">
      <w:pPr>
        <w:pStyle w:val="BodyText"/>
        <w:keepLines/>
        <w:rPr>
          <w:lang w:val="ru-RU"/>
        </w:rPr>
      </w:pPr>
      <w:r w:rsidRPr="003C4B82">
        <w:fldChar w:fldCharType="begin"/>
      </w:r>
      <w:r w:rsidRPr="00154E80">
        <w:rPr>
          <w:lang w:val="ru-RU"/>
        </w:rPr>
        <w:instrText xml:space="preserve"> </w:instrText>
      </w:r>
      <w:r w:rsidRPr="003C4B82">
        <w:instrText>AUTONUM</w:instrText>
      </w:r>
      <w:r w:rsidRPr="00154E80">
        <w:rPr>
          <w:lang w:val="ru-RU"/>
        </w:rPr>
        <w:instrText xml:space="preserve"> </w:instrText>
      </w:r>
      <w:r w:rsidRPr="003C4B82">
        <w:fldChar w:fldCharType="end"/>
      </w:r>
      <w:r w:rsidRPr="00154E80">
        <w:rPr>
          <w:lang w:val="ru-RU"/>
        </w:rPr>
        <w:tab/>
      </w:r>
      <w:r w:rsidR="00154E80">
        <w:rPr>
          <w:lang w:val="ru-RU"/>
        </w:rPr>
        <w:t>В ответ</w:t>
      </w:r>
      <w:r w:rsidR="00BB31A1">
        <w:rPr>
          <w:lang w:val="ru-RU"/>
        </w:rPr>
        <w:t>е</w:t>
      </w:r>
      <w:r w:rsidR="00154E80">
        <w:rPr>
          <w:lang w:val="ru-RU"/>
        </w:rPr>
        <w:t xml:space="preserve"> на вопрос</w:t>
      </w:r>
      <w:r w:rsidR="00154E80" w:rsidRPr="00154E80">
        <w:rPr>
          <w:lang w:val="ru-RU"/>
        </w:rPr>
        <w:t xml:space="preserve"> </w:t>
      </w:r>
      <w:r w:rsidR="00154E80">
        <w:rPr>
          <w:lang w:val="ru-RU"/>
        </w:rPr>
        <w:t>о</w:t>
      </w:r>
      <w:r w:rsidR="00154E80" w:rsidRPr="00154E80">
        <w:rPr>
          <w:lang w:val="ru-RU"/>
        </w:rPr>
        <w:t xml:space="preserve"> </w:t>
      </w:r>
      <w:r w:rsidR="00154E80">
        <w:rPr>
          <w:lang w:val="ru-RU"/>
        </w:rPr>
        <w:t>желательном</w:t>
      </w:r>
      <w:r w:rsidR="00154E80" w:rsidRPr="00154E80">
        <w:rPr>
          <w:lang w:val="ru-RU"/>
        </w:rPr>
        <w:t xml:space="preserve"> </w:t>
      </w:r>
      <w:r w:rsidR="00154E80">
        <w:rPr>
          <w:lang w:val="ru-RU"/>
        </w:rPr>
        <w:t xml:space="preserve">результате работы Целевой группы по стандартизации имен чаще всего </w:t>
      </w:r>
      <w:r w:rsidR="00BB31A1">
        <w:rPr>
          <w:lang w:val="ru-RU"/>
        </w:rPr>
        <w:t xml:space="preserve">указывалась </w:t>
      </w:r>
      <w:r w:rsidR="00CB45B6">
        <w:rPr>
          <w:lang w:val="ru-RU"/>
        </w:rPr>
        <w:t>подготов</w:t>
      </w:r>
      <w:r w:rsidR="00BB31A1">
        <w:rPr>
          <w:lang w:val="ru-RU"/>
        </w:rPr>
        <w:t>ка</w:t>
      </w:r>
      <w:r w:rsidR="00CB45B6">
        <w:rPr>
          <w:lang w:val="ru-RU"/>
        </w:rPr>
        <w:t xml:space="preserve"> набор</w:t>
      </w:r>
      <w:r w:rsidR="00BB31A1">
        <w:rPr>
          <w:lang w:val="ru-RU"/>
        </w:rPr>
        <w:t>а</w:t>
      </w:r>
      <w:r w:rsidR="00CB45B6">
        <w:rPr>
          <w:lang w:val="ru-RU"/>
        </w:rPr>
        <w:t xml:space="preserve"> рекомендаций для ведомств или заявителей в отношении использования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CB45B6">
        <w:rPr>
          <w:lang w:val="ru-RU"/>
        </w:rPr>
        <w:t xml:space="preserve"> или стандартизации имен (45% ответов).  Другим предложенным вариантом было создание единой базы данных физических и юридических лиц (45% ответов) в основном для хранения глобальных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CB45B6">
        <w:rPr>
          <w:lang w:val="ru-RU"/>
        </w:rPr>
        <w:t xml:space="preserve">. </w:t>
      </w:r>
      <w:r w:rsidR="00BB31A1">
        <w:rPr>
          <w:lang w:val="ru-RU"/>
        </w:rPr>
        <w:t>Остальны</w:t>
      </w:r>
      <w:r w:rsidR="00A07A48">
        <w:rPr>
          <w:lang w:val="ru-RU"/>
        </w:rPr>
        <w:t>ми</w:t>
      </w:r>
      <w:r w:rsidR="00BB31A1">
        <w:rPr>
          <w:lang w:val="ru-RU"/>
        </w:rPr>
        <w:t xml:space="preserve"> </w:t>
      </w:r>
      <w:r w:rsidR="00CB45B6">
        <w:rPr>
          <w:lang w:val="ru-RU"/>
        </w:rPr>
        <w:t>предложения</w:t>
      </w:r>
      <w:r w:rsidR="00A07A48">
        <w:rPr>
          <w:lang w:val="ru-RU"/>
        </w:rPr>
        <w:t>ми</w:t>
      </w:r>
      <w:r w:rsidR="00CB45B6">
        <w:rPr>
          <w:lang w:val="ru-RU"/>
        </w:rPr>
        <w:t xml:space="preserve"> </w:t>
      </w:r>
      <w:r w:rsidR="00A07A48">
        <w:rPr>
          <w:lang w:val="ru-RU"/>
        </w:rPr>
        <w:t xml:space="preserve">были: </w:t>
      </w:r>
      <w:r w:rsidR="004D38DC">
        <w:rPr>
          <w:lang w:val="ru-RU"/>
        </w:rPr>
        <w:t>конкретизаци</w:t>
      </w:r>
      <w:r w:rsidR="00A07A48">
        <w:rPr>
          <w:lang w:val="ru-RU"/>
        </w:rPr>
        <w:t>я</w:t>
      </w:r>
      <w:r w:rsidR="004D38DC">
        <w:rPr>
          <w:lang w:val="ru-RU"/>
        </w:rPr>
        <w:t xml:space="preserve"> </w:t>
      </w:r>
      <w:r w:rsidR="00CB45B6">
        <w:rPr>
          <w:lang w:val="ru-RU"/>
        </w:rPr>
        <w:t xml:space="preserve">случаев, в которых заявителям могли </w:t>
      </w:r>
      <w:r w:rsidR="00110B34">
        <w:rPr>
          <w:lang w:val="ru-RU"/>
        </w:rPr>
        <w:t xml:space="preserve">бы потребоваться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ы</w:t>
      </w:r>
      <w:r w:rsidR="00110B34">
        <w:rPr>
          <w:lang w:val="ru-RU"/>
        </w:rPr>
        <w:t xml:space="preserve"> </w:t>
      </w:r>
      <w:r w:rsidR="00110B34" w:rsidRPr="00110B34">
        <w:rPr>
          <w:lang w:val="ru-RU"/>
        </w:rPr>
        <w:t>(</w:t>
      </w:r>
      <w:r w:rsidR="00110B34">
        <w:t>US</w:t>
      </w:r>
      <w:r w:rsidR="00110B34" w:rsidRPr="00110B34">
        <w:rPr>
          <w:lang w:val="ru-RU"/>
        </w:rPr>
        <w:t>)</w:t>
      </w:r>
      <w:r w:rsidR="00110B34">
        <w:rPr>
          <w:lang w:val="ru-RU"/>
        </w:rPr>
        <w:t>, внесени</w:t>
      </w:r>
      <w:r w:rsidR="00BB31A1">
        <w:rPr>
          <w:lang w:val="ru-RU"/>
        </w:rPr>
        <w:t>е</w:t>
      </w:r>
      <w:r w:rsidR="00110B34">
        <w:rPr>
          <w:lang w:val="ru-RU"/>
        </w:rPr>
        <w:t xml:space="preserve"> ясности </w:t>
      </w:r>
      <w:r w:rsidR="004D38DC">
        <w:rPr>
          <w:lang w:val="ru-RU"/>
        </w:rPr>
        <w:t>в вопрос о процедуре</w:t>
      </w:r>
      <w:r w:rsidR="00110B34">
        <w:rPr>
          <w:lang w:val="ru-RU"/>
        </w:rPr>
        <w:t xml:space="preserve"> пред</w:t>
      </w:r>
      <w:r w:rsidR="004D38DC">
        <w:rPr>
          <w:lang w:val="ru-RU"/>
        </w:rPr>
        <w:t>о</w:t>
      </w:r>
      <w:r w:rsidR="00110B34">
        <w:rPr>
          <w:lang w:val="ru-RU"/>
        </w:rPr>
        <w:t>ставл</w:t>
      </w:r>
      <w:r w:rsidR="004D38DC">
        <w:rPr>
          <w:lang w:val="ru-RU"/>
        </w:rPr>
        <w:t>ения</w:t>
      </w:r>
      <w:r w:rsidR="00110B34">
        <w:rPr>
          <w:lang w:val="ru-RU"/>
        </w:rPr>
        <w:t xml:space="preserve"> информаци</w:t>
      </w:r>
      <w:r w:rsidR="004D38DC">
        <w:rPr>
          <w:lang w:val="ru-RU"/>
        </w:rPr>
        <w:t>и</w:t>
      </w:r>
      <w:r w:rsidR="00110B34">
        <w:rPr>
          <w:lang w:val="ru-RU"/>
        </w:rPr>
        <w:t xml:space="preserve">, в частности, об адресах заявителей </w:t>
      </w:r>
      <w:r w:rsidR="00110B34" w:rsidRPr="00110B34">
        <w:rPr>
          <w:lang w:val="ru-RU"/>
        </w:rPr>
        <w:t>(</w:t>
      </w:r>
      <w:r w:rsidR="00110B34">
        <w:t>SE</w:t>
      </w:r>
      <w:r w:rsidR="00110B34" w:rsidRPr="00110B34">
        <w:rPr>
          <w:lang w:val="ru-RU"/>
        </w:rPr>
        <w:t>)</w:t>
      </w:r>
      <w:r w:rsidR="00110B34">
        <w:rPr>
          <w:lang w:val="ru-RU"/>
        </w:rPr>
        <w:t xml:space="preserve"> и обмен компьютерными алгоритмами стандартизации имен </w:t>
      </w:r>
      <w:r w:rsidR="00110B34" w:rsidRPr="00110B34">
        <w:rPr>
          <w:lang w:val="ru-RU"/>
        </w:rPr>
        <w:t>(</w:t>
      </w:r>
      <w:r w:rsidR="00110B34">
        <w:t>KR</w:t>
      </w:r>
      <w:r w:rsidR="00110B34" w:rsidRPr="00110B34">
        <w:rPr>
          <w:lang w:val="ru-RU"/>
        </w:rPr>
        <w:t>).</w:t>
      </w:r>
    </w:p>
    <w:p w14:paraId="311C5BAA" w14:textId="64CF9B09" w:rsidR="00A90401" w:rsidRPr="00E63F46" w:rsidRDefault="00061FE7" w:rsidP="00676638">
      <w:pPr>
        <w:pStyle w:val="BodyText"/>
        <w:keepLines/>
        <w:rPr>
          <w:lang w:val="ru-RU"/>
        </w:rPr>
      </w:pPr>
      <w:r w:rsidRPr="003C4B82">
        <w:fldChar w:fldCharType="begin"/>
      </w:r>
      <w:r w:rsidRPr="00A90401">
        <w:rPr>
          <w:lang w:val="ru-RU"/>
        </w:rPr>
        <w:instrText xml:space="preserve"> </w:instrText>
      </w:r>
      <w:r w:rsidRPr="003C4B82">
        <w:instrText>AUTONUM</w:instrText>
      </w:r>
      <w:r w:rsidRPr="00A90401">
        <w:rPr>
          <w:lang w:val="ru-RU"/>
        </w:rPr>
        <w:instrText xml:space="preserve"> </w:instrText>
      </w:r>
      <w:r w:rsidRPr="003C4B82">
        <w:fldChar w:fldCharType="end"/>
      </w:r>
      <w:r w:rsidRPr="00A90401">
        <w:rPr>
          <w:lang w:val="ru-RU"/>
        </w:rPr>
        <w:tab/>
      </w:r>
      <w:r w:rsidR="00A90401">
        <w:rPr>
          <w:lang w:val="ru-RU"/>
        </w:rPr>
        <w:t xml:space="preserve">Ни один из ответов на </w:t>
      </w:r>
      <w:r w:rsidR="00110B34">
        <w:rPr>
          <w:lang w:val="ru-RU"/>
        </w:rPr>
        <w:t>вопрос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о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направлении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развития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работы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по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стандартизации</w:t>
      </w:r>
      <w:r w:rsidR="00110B34" w:rsidRPr="00A90401">
        <w:rPr>
          <w:lang w:val="ru-RU"/>
        </w:rPr>
        <w:t xml:space="preserve"> </w:t>
      </w:r>
      <w:r w:rsidR="00110B34">
        <w:rPr>
          <w:lang w:val="ru-RU"/>
        </w:rPr>
        <w:t>имен</w:t>
      </w:r>
      <w:r w:rsidR="00A90401">
        <w:rPr>
          <w:lang w:val="ru-RU"/>
        </w:rPr>
        <w:t xml:space="preserve"> не получил явного большинства.  В шести из 17 ответов (35%) предпочтение было отдано развитию </w:t>
      </w:r>
      <w:r w:rsidR="00987737">
        <w:rPr>
          <w:lang w:val="ru-RU"/>
        </w:rPr>
        <w:t xml:space="preserve">как </w:t>
      </w:r>
      <w:r w:rsidR="00A90401">
        <w:rPr>
          <w:lang w:val="ru-RU"/>
        </w:rPr>
        <w:t>внутренних систем ВИС</w:t>
      </w:r>
      <w:r w:rsidR="00987737">
        <w:rPr>
          <w:lang w:val="ru-RU"/>
        </w:rPr>
        <w:t xml:space="preserve">, так и внешних баз данных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szCs w:val="22"/>
          <w:lang w:val="ru-RU"/>
        </w:rPr>
        <w:t>ов</w:t>
      </w:r>
      <w:r w:rsidR="00987737">
        <w:rPr>
          <w:lang w:val="ru-RU"/>
        </w:rPr>
        <w:t xml:space="preserve">. Четыре ведомства </w:t>
      </w:r>
      <w:r w:rsidR="00987737" w:rsidRPr="00987737">
        <w:rPr>
          <w:lang w:val="ru-RU"/>
        </w:rPr>
        <w:t>(</w:t>
      </w:r>
      <w:r w:rsidR="00987737">
        <w:t>AU</w:t>
      </w:r>
      <w:r w:rsidR="00987737" w:rsidRPr="00987737">
        <w:rPr>
          <w:lang w:val="ru-RU"/>
        </w:rPr>
        <w:t xml:space="preserve">, </w:t>
      </w:r>
      <w:r w:rsidR="00987737">
        <w:t>CA</w:t>
      </w:r>
      <w:r w:rsidR="00987737" w:rsidRPr="00987737">
        <w:rPr>
          <w:lang w:val="ru-RU"/>
        </w:rPr>
        <w:t xml:space="preserve">, </w:t>
      </w:r>
      <w:r w:rsidR="00987737">
        <w:t>CO</w:t>
      </w:r>
      <w:r w:rsidR="00987737" w:rsidRPr="00987737">
        <w:rPr>
          <w:lang w:val="ru-RU"/>
        </w:rPr>
        <w:t xml:space="preserve">, </w:t>
      </w:r>
      <w:r w:rsidR="00987737">
        <w:t>IT</w:t>
      </w:r>
      <w:r w:rsidR="00987737" w:rsidRPr="00987737">
        <w:rPr>
          <w:lang w:val="ru-RU"/>
        </w:rPr>
        <w:t>)</w:t>
      </w:r>
      <w:r w:rsidR="00987737">
        <w:rPr>
          <w:lang w:val="ru-RU"/>
        </w:rPr>
        <w:t xml:space="preserve"> высказались в пользу развития только внешних систем, в то время как три ведомства </w:t>
      </w:r>
      <w:r w:rsidR="00987737" w:rsidRPr="00987737">
        <w:rPr>
          <w:lang w:val="ru-RU"/>
        </w:rPr>
        <w:t>(</w:t>
      </w:r>
      <w:r w:rsidR="00987737">
        <w:t>ES</w:t>
      </w:r>
      <w:r w:rsidR="00987737" w:rsidRPr="00987737">
        <w:rPr>
          <w:lang w:val="ru-RU"/>
        </w:rPr>
        <w:t xml:space="preserve">, </w:t>
      </w:r>
      <w:r w:rsidR="00987737">
        <w:t>JP</w:t>
      </w:r>
      <w:r w:rsidR="00987737" w:rsidRPr="00987737">
        <w:rPr>
          <w:lang w:val="ru-RU"/>
        </w:rPr>
        <w:t xml:space="preserve">, </w:t>
      </w:r>
      <w:r w:rsidR="00987737">
        <w:t>NZ</w:t>
      </w:r>
      <w:r w:rsidR="00987737" w:rsidRPr="00987737">
        <w:rPr>
          <w:lang w:val="ru-RU"/>
        </w:rPr>
        <w:t xml:space="preserve">) </w:t>
      </w:r>
      <w:r w:rsidR="00987737">
        <w:rPr>
          <w:lang w:val="ru-RU"/>
        </w:rPr>
        <w:t xml:space="preserve">предпочли вариант развития внутренних систем ВИС.  Другие три ведомства </w:t>
      </w:r>
      <w:r w:rsidR="00987737" w:rsidRPr="00E63F46">
        <w:rPr>
          <w:lang w:val="ru-RU"/>
        </w:rPr>
        <w:t>(</w:t>
      </w:r>
      <w:r w:rsidR="00987737">
        <w:t>KR</w:t>
      </w:r>
      <w:r w:rsidR="00987737" w:rsidRPr="00E63F46">
        <w:rPr>
          <w:lang w:val="ru-RU"/>
        </w:rPr>
        <w:t xml:space="preserve">, </w:t>
      </w:r>
      <w:r w:rsidR="00987737">
        <w:t>DO</w:t>
      </w:r>
      <w:r w:rsidR="00987737" w:rsidRPr="00E63F46">
        <w:rPr>
          <w:lang w:val="ru-RU"/>
        </w:rPr>
        <w:t xml:space="preserve">, </w:t>
      </w:r>
      <w:r w:rsidR="00987737">
        <w:t>US</w:t>
      </w:r>
      <w:r w:rsidR="00987737" w:rsidRPr="00E63F46">
        <w:rPr>
          <w:lang w:val="ru-RU"/>
        </w:rPr>
        <w:t>)</w:t>
      </w:r>
      <w:r w:rsidR="00987737">
        <w:rPr>
          <w:lang w:val="ru-RU"/>
        </w:rPr>
        <w:t xml:space="preserve"> не выразили своих </w:t>
      </w:r>
      <w:r w:rsidR="00E63F46">
        <w:rPr>
          <w:lang w:val="ru-RU"/>
        </w:rPr>
        <w:t xml:space="preserve">предпочтений. Одно ВИС </w:t>
      </w:r>
      <w:r w:rsidR="00E63F46" w:rsidRPr="00E63F46">
        <w:rPr>
          <w:lang w:val="ru-RU"/>
        </w:rPr>
        <w:t>(</w:t>
      </w:r>
      <w:r w:rsidR="00E63F46">
        <w:t>KR</w:t>
      </w:r>
      <w:r w:rsidR="00E63F46" w:rsidRPr="00E63F46">
        <w:rPr>
          <w:lang w:val="ru-RU"/>
        </w:rPr>
        <w:t>)</w:t>
      </w:r>
      <w:r w:rsidR="00E63F46">
        <w:rPr>
          <w:lang w:val="ru-RU"/>
        </w:rPr>
        <w:t xml:space="preserve"> предложило решать проблему существования различных групп заявителей (национальных, иностранных, прошлых заявителей, будущих заявителей) в зависимости от приоритетов ВИС. </w:t>
      </w:r>
    </w:p>
    <w:p w14:paraId="53B86ACC" w14:textId="6C1DBC4E" w:rsidR="00E63F46" w:rsidRPr="004649A8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E63F46">
        <w:rPr>
          <w:lang w:val="ru-RU"/>
        </w:rPr>
        <w:instrText xml:space="preserve"> </w:instrText>
      </w:r>
      <w:r w:rsidRPr="003C4B82">
        <w:instrText>AUTONUM</w:instrText>
      </w:r>
      <w:r w:rsidRPr="00E63F46">
        <w:rPr>
          <w:lang w:val="ru-RU"/>
        </w:rPr>
        <w:instrText xml:space="preserve"> </w:instrText>
      </w:r>
      <w:r w:rsidRPr="003C4B82">
        <w:fldChar w:fldCharType="end"/>
      </w:r>
      <w:r w:rsidRPr="00E63F46">
        <w:rPr>
          <w:lang w:val="ru-RU"/>
        </w:rPr>
        <w:tab/>
      </w:r>
      <w:r w:rsidR="004D38DC">
        <w:rPr>
          <w:lang w:val="ru-RU"/>
        </w:rPr>
        <w:t>В ответах н</w:t>
      </w:r>
      <w:r w:rsidR="00E63F46">
        <w:rPr>
          <w:lang w:val="ru-RU"/>
        </w:rPr>
        <w:t>а вопрос</w:t>
      </w:r>
      <w:r w:rsidR="004D38DC">
        <w:rPr>
          <w:lang w:val="ru-RU"/>
        </w:rPr>
        <w:t>ы</w:t>
      </w:r>
      <w:r w:rsidR="00E63F46">
        <w:rPr>
          <w:lang w:val="ru-RU"/>
        </w:rPr>
        <w:t xml:space="preserve"> </w:t>
      </w:r>
      <w:r w:rsidR="00E63F46" w:rsidRPr="00E63F46">
        <w:rPr>
          <w:lang w:val="ru-RU"/>
        </w:rPr>
        <w:t>12 (</w:t>
      </w:r>
      <w:r w:rsidR="00E63F46">
        <w:t>a</w:t>
      </w:r>
      <w:r w:rsidR="00E63F46" w:rsidRPr="00E63F46">
        <w:rPr>
          <w:lang w:val="ru-RU"/>
        </w:rPr>
        <w:t xml:space="preserve">) </w:t>
      </w:r>
      <w:r w:rsidR="00E63F46">
        <w:rPr>
          <w:lang w:val="ru-RU"/>
        </w:rPr>
        <w:t>и</w:t>
      </w:r>
      <w:r w:rsidR="00E63F46" w:rsidRPr="00E63F46">
        <w:rPr>
          <w:lang w:val="ru-RU"/>
        </w:rPr>
        <w:t xml:space="preserve"> (</w:t>
      </w:r>
      <w:r w:rsidR="00E63F46">
        <w:t>b</w:t>
      </w:r>
      <w:r w:rsidR="00E63F46" w:rsidRPr="00E63F46">
        <w:rPr>
          <w:lang w:val="ru-RU"/>
        </w:rPr>
        <w:t>)</w:t>
      </w:r>
      <w:r w:rsidR="00772CAC">
        <w:rPr>
          <w:lang w:val="ru-RU"/>
        </w:rPr>
        <w:t xml:space="preserve"> о компьютерных алгоритмах, которые ведомства и</w:t>
      </w:r>
      <w:r w:rsidR="00E63F46">
        <w:rPr>
          <w:lang w:val="ru-RU"/>
        </w:rPr>
        <w:t>спользу</w:t>
      </w:r>
      <w:r w:rsidR="00772CAC">
        <w:rPr>
          <w:lang w:val="ru-RU"/>
        </w:rPr>
        <w:t>ю</w:t>
      </w:r>
      <w:r w:rsidR="00E63F46">
        <w:rPr>
          <w:lang w:val="ru-RU"/>
        </w:rPr>
        <w:t xml:space="preserve">т </w:t>
      </w:r>
      <w:r w:rsidR="00772CAC">
        <w:rPr>
          <w:lang w:val="ru-RU"/>
        </w:rPr>
        <w:t xml:space="preserve">или </w:t>
      </w:r>
      <w:r w:rsidR="00E63F46">
        <w:rPr>
          <w:lang w:val="ru-RU"/>
        </w:rPr>
        <w:t>намерен</w:t>
      </w:r>
      <w:r w:rsidR="00772CAC">
        <w:rPr>
          <w:lang w:val="ru-RU"/>
        </w:rPr>
        <w:t>ы</w:t>
      </w:r>
      <w:r w:rsidR="00E63F46">
        <w:rPr>
          <w:lang w:val="ru-RU"/>
        </w:rPr>
        <w:t xml:space="preserve"> использовать</w:t>
      </w:r>
      <w:r w:rsidR="00772CAC">
        <w:rPr>
          <w:lang w:val="ru-RU"/>
        </w:rPr>
        <w:t xml:space="preserve"> для </w:t>
      </w:r>
      <w:r w:rsidR="00E63F46">
        <w:rPr>
          <w:lang w:val="ru-RU"/>
        </w:rPr>
        <w:t>нормализации/стандартизации имен заявителей</w:t>
      </w:r>
      <w:r w:rsidR="00772CAC">
        <w:rPr>
          <w:lang w:val="ru-RU"/>
        </w:rPr>
        <w:t xml:space="preserve">, одна треть респондентов сообщила о таком использовании алгоритмов, другая треть </w:t>
      </w:r>
      <w:r w:rsidR="00A07A48">
        <w:rPr>
          <w:lang w:val="ru-RU"/>
        </w:rPr>
        <w:t>указала</w:t>
      </w:r>
      <w:r w:rsidR="00772CAC">
        <w:rPr>
          <w:lang w:val="ru-RU"/>
        </w:rPr>
        <w:t xml:space="preserve">, что не намерена использовать какие-либо алгоритмы, </w:t>
      </w:r>
      <w:r w:rsidR="00C031F1">
        <w:rPr>
          <w:lang w:val="ru-RU"/>
        </w:rPr>
        <w:t>и</w:t>
      </w:r>
      <w:r w:rsidR="00772CAC">
        <w:rPr>
          <w:lang w:val="ru-RU"/>
        </w:rPr>
        <w:t xml:space="preserve"> </w:t>
      </w:r>
      <w:r w:rsidR="00A07A48">
        <w:rPr>
          <w:lang w:val="ru-RU"/>
        </w:rPr>
        <w:t xml:space="preserve">остальная </w:t>
      </w:r>
      <w:r w:rsidR="00C031F1">
        <w:rPr>
          <w:lang w:val="ru-RU"/>
        </w:rPr>
        <w:t xml:space="preserve">треть </w:t>
      </w:r>
      <w:r w:rsidR="00772CAC">
        <w:rPr>
          <w:lang w:val="ru-RU"/>
        </w:rPr>
        <w:t>воздержал</w:t>
      </w:r>
      <w:r w:rsidR="00C031F1">
        <w:rPr>
          <w:lang w:val="ru-RU"/>
        </w:rPr>
        <w:t>а</w:t>
      </w:r>
      <w:r w:rsidR="00772CAC">
        <w:rPr>
          <w:lang w:val="ru-RU"/>
        </w:rPr>
        <w:t>сь от ответа.  Из тех ведомств, которые используют алгоритмы, четыре производят расчеты вручную после получения дополнительных данных (одно и</w:t>
      </w:r>
      <w:r w:rsidR="00AC4A21">
        <w:rPr>
          <w:lang w:val="ru-RU"/>
        </w:rPr>
        <w:t>з них получает подтверждение ре</w:t>
      </w:r>
      <w:r w:rsidR="00772CAC">
        <w:rPr>
          <w:lang w:val="ru-RU"/>
        </w:rPr>
        <w:t xml:space="preserve">зультатов от </w:t>
      </w:r>
      <w:r w:rsidR="00AC4A21">
        <w:rPr>
          <w:lang w:val="ru-RU"/>
        </w:rPr>
        <w:t xml:space="preserve">заявителя); два ведомства сообщили об использовании алгоритма нечеткого сопоставления имен; одно ведомство осуществляет нормализацию по почтовым адресам; </w:t>
      </w:r>
      <w:r w:rsidR="00C031F1">
        <w:rPr>
          <w:lang w:val="ru-RU"/>
        </w:rPr>
        <w:t xml:space="preserve">другое ведомство </w:t>
      </w:r>
      <w:r w:rsidR="00AC4A21">
        <w:rPr>
          <w:lang w:val="ru-RU"/>
        </w:rPr>
        <w:t>использует нормализацию имен (</w:t>
      </w:r>
      <w:r w:rsidR="00C031F1">
        <w:rPr>
          <w:lang w:val="ru-RU"/>
        </w:rPr>
        <w:t xml:space="preserve">путем </w:t>
      </w:r>
      <w:r w:rsidR="00AC4A21">
        <w:rPr>
          <w:lang w:val="ru-RU"/>
        </w:rPr>
        <w:t>замен</w:t>
      </w:r>
      <w:r w:rsidR="00C031F1">
        <w:rPr>
          <w:lang w:val="ru-RU"/>
        </w:rPr>
        <w:t>ы</w:t>
      </w:r>
      <w:r w:rsidR="00AC4A21">
        <w:rPr>
          <w:lang w:val="ru-RU"/>
        </w:rPr>
        <w:t xml:space="preserve"> пробел</w:t>
      </w:r>
      <w:r w:rsidR="00C031F1">
        <w:rPr>
          <w:lang w:val="ru-RU"/>
        </w:rPr>
        <w:t>ов</w:t>
      </w:r>
      <w:r w:rsidR="00AC4A21">
        <w:rPr>
          <w:lang w:val="ru-RU"/>
        </w:rPr>
        <w:t>, пунктуаци</w:t>
      </w:r>
      <w:r w:rsidR="00C031F1">
        <w:rPr>
          <w:lang w:val="ru-RU"/>
        </w:rPr>
        <w:t>и</w:t>
      </w:r>
      <w:r w:rsidR="00AC4A21">
        <w:rPr>
          <w:lang w:val="ru-RU"/>
        </w:rPr>
        <w:t xml:space="preserve"> и т.д.) и еще одно ведомство производит сверку с внешними базами данных </w:t>
      </w:r>
      <w:r w:rsidR="004649A8">
        <w:rPr>
          <w:lang w:val="ru-RU"/>
        </w:rPr>
        <w:t xml:space="preserve">для </w:t>
      </w:r>
      <w:r w:rsidR="00AC4A21">
        <w:rPr>
          <w:lang w:val="ru-RU"/>
        </w:rPr>
        <w:t>цел</w:t>
      </w:r>
      <w:r w:rsidR="004649A8">
        <w:rPr>
          <w:lang w:val="ru-RU"/>
        </w:rPr>
        <w:t>ей</w:t>
      </w:r>
      <w:r w:rsidR="00AC4A21">
        <w:rPr>
          <w:lang w:val="ru-RU"/>
        </w:rPr>
        <w:t xml:space="preserve"> вероятн</w:t>
      </w:r>
      <w:r w:rsidR="00483472">
        <w:rPr>
          <w:lang w:val="ru-RU"/>
        </w:rPr>
        <w:t>остн</w:t>
      </w:r>
      <w:r w:rsidR="004649A8">
        <w:rPr>
          <w:lang w:val="ru-RU"/>
        </w:rPr>
        <w:t>ого</w:t>
      </w:r>
      <w:r w:rsidR="00483472">
        <w:rPr>
          <w:lang w:val="ru-RU"/>
        </w:rPr>
        <w:t xml:space="preserve"> </w:t>
      </w:r>
      <w:r w:rsidR="00AC4A21">
        <w:rPr>
          <w:lang w:val="ru-RU"/>
        </w:rPr>
        <w:t>с</w:t>
      </w:r>
      <w:r w:rsidR="004649A8">
        <w:rPr>
          <w:lang w:val="ru-RU"/>
        </w:rPr>
        <w:t>опоставления</w:t>
      </w:r>
      <w:r w:rsidR="00AC4A21">
        <w:rPr>
          <w:lang w:val="ru-RU"/>
        </w:rPr>
        <w:t xml:space="preserve">. </w:t>
      </w:r>
    </w:p>
    <w:p w14:paraId="1C522F1D" w14:textId="79A25C37" w:rsidR="000C6CFD" w:rsidRPr="000C6CFD" w:rsidRDefault="00061FE7" w:rsidP="00AB7E57">
      <w:pPr>
        <w:pStyle w:val="BodyText"/>
        <w:rPr>
          <w:lang w:val="ru-RU"/>
        </w:rPr>
      </w:pPr>
      <w:r w:rsidRPr="003C4B82">
        <w:fldChar w:fldCharType="begin"/>
      </w:r>
      <w:r w:rsidRPr="000C6CFD">
        <w:rPr>
          <w:lang w:val="ru-RU"/>
        </w:rPr>
        <w:instrText xml:space="preserve"> </w:instrText>
      </w:r>
      <w:r w:rsidRPr="003C4B82">
        <w:instrText>AUTONUM</w:instrText>
      </w:r>
      <w:r w:rsidRPr="000C6CFD">
        <w:rPr>
          <w:lang w:val="ru-RU"/>
        </w:rPr>
        <w:instrText xml:space="preserve"> </w:instrText>
      </w:r>
      <w:r w:rsidRPr="003C4B82">
        <w:fldChar w:fldCharType="end"/>
      </w:r>
      <w:r w:rsidRPr="000C6CFD">
        <w:rPr>
          <w:lang w:val="ru-RU"/>
        </w:rPr>
        <w:tab/>
      </w:r>
      <w:r w:rsidR="00AC4A21">
        <w:rPr>
          <w:lang w:val="ru-RU"/>
        </w:rPr>
        <w:t>На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вопрос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о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том</w:t>
      </w:r>
      <w:r w:rsidR="00AC4A21" w:rsidRPr="000C6CFD">
        <w:rPr>
          <w:lang w:val="ru-RU"/>
        </w:rPr>
        <w:t xml:space="preserve">, </w:t>
      </w:r>
      <w:r w:rsidR="00AC4A21">
        <w:rPr>
          <w:lang w:val="ru-RU"/>
        </w:rPr>
        <w:t>должны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ли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мероприятия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по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стандартизации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обеспечить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унификацию</w:t>
      </w:r>
      <w:r w:rsidR="00AC4A21" w:rsidRPr="000C6CFD">
        <w:rPr>
          <w:lang w:val="ru-RU"/>
        </w:rPr>
        <w:t xml:space="preserve"> </w:t>
      </w:r>
      <w:r w:rsidR="00AC4A21">
        <w:rPr>
          <w:lang w:val="ru-RU"/>
        </w:rPr>
        <w:t>подходов</w:t>
      </w:r>
      <w:r w:rsidR="00AC4A21" w:rsidRPr="000C6CFD">
        <w:rPr>
          <w:lang w:val="ru-RU"/>
        </w:rPr>
        <w:t xml:space="preserve"> </w:t>
      </w:r>
      <w:r w:rsidR="000C6CFD">
        <w:rPr>
          <w:lang w:val="ru-RU"/>
        </w:rPr>
        <w:t xml:space="preserve">в интересах обмена информацией, 13 из 19 респондентов (70%) ответили, что это было бы идеальным решением. Другие респонденты не уверены в целесообразности такого подхода. Три ведомства </w:t>
      </w:r>
      <w:r w:rsidR="000C6CFD" w:rsidRPr="000C6CFD">
        <w:rPr>
          <w:lang w:val="ru-RU"/>
        </w:rPr>
        <w:t>(</w:t>
      </w:r>
      <w:r w:rsidR="000C6CFD">
        <w:t>CA</w:t>
      </w:r>
      <w:r w:rsidR="000C6CFD" w:rsidRPr="000C6CFD">
        <w:rPr>
          <w:lang w:val="ru-RU"/>
        </w:rPr>
        <w:t xml:space="preserve">, </w:t>
      </w:r>
      <w:r w:rsidR="000C6CFD">
        <w:t>GB</w:t>
      </w:r>
      <w:r w:rsidR="000C6CFD" w:rsidRPr="000C6CFD">
        <w:rPr>
          <w:lang w:val="ru-RU"/>
        </w:rPr>
        <w:t xml:space="preserve">, </w:t>
      </w:r>
      <w:r w:rsidR="000C6CFD">
        <w:t>KR</w:t>
      </w:r>
      <w:r w:rsidR="000C6CFD" w:rsidRPr="000C6CFD">
        <w:rPr>
          <w:lang w:val="ru-RU"/>
        </w:rPr>
        <w:t>)</w:t>
      </w:r>
      <w:r w:rsidR="000C6CFD">
        <w:rPr>
          <w:lang w:val="ru-RU"/>
        </w:rPr>
        <w:t xml:space="preserve"> </w:t>
      </w:r>
      <w:r w:rsidR="00270188">
        <w:rPr>
          <w:lang w:val="ru-RU"/>
        </w:rPr>
        <w:t>отметили</w:t>
      </w:r>
      <w:r w:rsidR="000C6CFD">
        <w:rPr>
          <w:lang w:val="ru-RU"/>
        </w:rPr>
        <w:t xml:space="preserve">, что стандартизация имен слишком вариативна и вместо этого следует </w:t>
      </w:r>
      <w:r w:rsidR="00E60C53">
        <w:rPr>
          <w:lang w:val="ru-RU"/>
        </w:rPr>
        <w:t xml:space="preserve">уделить основное </w:t>
      </w:r>
      <w:r w:rsidR="000C6CFD">
        <w:rPr>
          <w:lang w:val="ru-RU"/>
        </w:rPr>
        <w:t>внимани</w:t>
      </w:r>
      <w:r w:rsidR="00C031F1">
        <w:rPr>
          <w:lang w:val="ru-RU"/>
        </w:rPr>
        <w:t>е</w:t>
      </w:r>
      <w:r w:rsidR="000C6CFD">
        <w:rPr>
          <w:lang w:val="ru-RU"/>
        </w:rPr>
        <w:t xml:space="preserve"> вопрос</w:t>
      </w:r>
      <w:r w:rsidR="00E60C53">
        <w:rPr>
          <w:lang w:val="ru-RU"/>
        </w:rPr>
        <w:t>у</w:t>
      </w:r>
      <w:r w:rsidR="000C6CFD">
        <w:rPr>
          <w:lang w:val="ru-RU"/>
        </w:rPr>
        <w:t xml:space="preserve"> разработки и обмена </w:t>
      </w:r>
      <w:r w:rsidR="0040355F" w:rsidRPr="00953C9F">
        <w:rPr>
          <w:rFonts w:eastAsia="Malgun Gothic"/>
          <w:szCs w:val="22"/>
          <w:lang w:val="ru-RU"/>
        </w:rPr>
        <w:t>идентификатор</w:t>
      </w:r>
      <w:r w:rsidR="0040355F">
        <w:rPr>
          <w:rFonts w:eastAsia="Malgun Gothic"/>
          <w:szCs w:val="22"/>
          <w:lang w:val="ru-RU"/>
        </w:rPr>
        <w:t>ами</w:t>
      </w:r>
      <w:r w:rsidR="000C6CFD">
        <w:rPr>
          <w:lang w:val="ru-RU"/>
        </w:rPr>
        <w:t xml:space="preserve">. </w:t>
      </w:r>
    </w:p>
    <w:p w14:paraId="6BF61FE2" w14:textId="2431EF78" w:rsidR="00F23F38" w:rsidRPr="000C6CFD" w:rsidRDefault="00F23F38" w:rsidP="00F23F38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 w:rsidRPr="007C4727">
        <w:rPr>
          <w:i/>
        </w:rPr>
        <w:fldChar w:fldCharType="begin"/>
      </w:r>
      <w:r w:rsidRPr="000C6CFD">
        <w:rPr>
          <w:i/>
          <w:lang w:val="ru-RU"/>
        </w:rPr>
        <w:instrText xml:space="preserve"> </w:instrText>
      </w:r>
      <w:r w:rsidRPr="007C4727">
        <w:rPr>
          <w:i/>
        </w:rPr>
        <w:instrText>AUTONUM</w:instrText>
      </w:r>
      <w:r w:rsidRPr="000C6CFD">
        <w:rPr>
          <w:i/>
          <w:lang w:val="ru-RU"/>
        </w:rPr>
        <w:instrText xml:space="preserve">  </w:instrText>
      </w:r>
      <w:r w:rsidRPr="007C4727">
        <w:rPr>
          <w:i/>
        </w:rPr>
        <w:fldChar w:fldCharType="end"/>
      </w:r>
      <w:r w:rsidRPr="000C6CFD">
        <w:rPr>
          <w:i/>
          <w:lang w:val="ru-RU"/>
        </w:rPr>
        <w:tab/>
      </w:r>
      <w:r w:rsidR="000C6CFD">
        <w:rPr>
          <w:i/>
          <w:lang w:val="ru-RU"/>
        </w:rPr>
        <w:t>КСВ предлагается</w:t>
      </w:r>
      <w:r w:rsidRPr="000C6CFD">
        <w:rPr>
          <w:i/>
          <w:lang w:val="ru-RU"/>
        </w:rPr>
        <w:t xml:space="preserve">: </w:t>
      </w:r>
    </w:p>
    <w:p w14:paraId="5C321EC1" w14:textId="654F4911" w:rsidR="00F23F38" w:rsidRPr="000C6CFD" w:rsidRDefault="00F23F38" w:rsidP="00F23F38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0C6CFD">
        <w:rPr>
          <w:i/>
          <w:lang w:val="ru-RU"/>
        </w:rPr>
        <w:tab/>
        <w:t>(</w:t>
      </w:r>
      <w:r w:rsidRPr="007C4727">
        <w:rPr>
          <w:i/>
        </w:rPr>
        <w:t>a</w:t>
      </w:r>
      <w:r w:rsidRPr="000C6CFD">
        <w:rPr>
          <w:i/>
          <w:lang w:val="ru-RU"/>
        </w:rPr>
        <w:t>)</w:t>
      </w:r>
      <w:r w:rsidRPr="000C6CFD">
        <w:rPr>
          <w:i/>
          <w:lang w:val="ru-RU"/>
        </w:rPr>
        <w:tab/>
      </w:r>
      <w:r w:rsidR="000C6CFD">
        <w:rPr>
          <w:i/>
          <w:lang w:val="ru-RU"/>
        </w:rPr>
        <w:t>принять к сведению содержание настоящего документа</w:t>
      </w:r>
      <w:r w:rsidRPr="000C6CFD">
        <w:rPr>
          <w:i/>
          <w:lang w:val="ru-RU"/>
        </w:rPr>
        <w:t xml:space="preserve">; </w:t>
      </w:r>
    </w:p>
    <w:p w14:paraId="09D2C37C" w14:textId="6F7F5740" w:rsidR="00F23F38" w:rsidRPr="00266B89" w:rsidRDefault="00F23F38" w:rsidP="00AB7E57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 w:rsidRPr="000C6CFD">
        <w:rPr>
          <w:i/>
          <w:lang w:val="ru-RU"/>
        </w:rPr>
        <w:tab/>
      </w:r>
      <w:r w:rsidRPr="00266B89">
        <w:rPr>
          <w:i/>
          <w:lang w:val="ru-RU"/>
        </w:rPr>
        <w:t>(</w:t>
      </w:r>
      <w:r w:rsidRPr="007C4727">
        <w:rPr>
          <w:i/>
        </w:rPr>
        <w:t>b</w:t>
      </w:r>
      <w:r w:rsidRPr="00266B89">
        <w:rPr>
          <w:i/>
          <w:lang w:val="ru-RU"/>
        </w:rPr>
        <w:t>)</w:t>
      </w:r>
      <w:r w:rsidRPr="00266B89">
        <w:rPr>
          <w:i/>
          <w:lang w:val="ru-RU"/>
        </w:rPr>
        <w:tab/>
      </w:r>
      <w:r w:rsidR="000C6CFD">
        <w:rPr>
          <w:i/>
          <w:lang w:val="ru-RU"/>
        </w:rPr>
        <w:t>просить</w:t>
      </w:r>
      <w:r w:rsidR="000C6CFD" w:rsidRPr="00266B89">
        <w:rPr>
          <w:i/>
          <w:lang w:val="ru-RU"/>
        </w:rPr>
        <w:t xml:space="preserve"> </w:t>
      </w:r>
      <w:r w:rsidR="000C6CFD">
        <w:rPr>
          <w:i/>
          <w:lang w:val="ru-RU"/>
        </w:rPr>
        <w:t>Международное</w:t>
      </w:r>
      <w:r w:rsidR="000C6CFD" w:rsidRPr="00266B89">
        <w:rPr>
          <w:i/>
          <w:lang w:val="ru-RU"/>
        </w:rPr>
        <w:t xml:space="preserve"> </w:t>
      </w:r>
      <w:r w:rsidR="000C6CFD">
        <w:rPr>
          <w:i/>
          <w:lang w:val="ru-RU"/>
        </w:rPr>
        <w:t>бюро</w:t>
      </w:r>
      <w:r w:rsidR="000C6CFD" w:rsidRPr="00266B89">
        <w:rPr>
          <w:i/>
          <w:lang w:val="ru-RU"/>
        </w:rPr>
        <w:t xml:space="preserve"> </w:t>
      </w:r>
      <w:r w:rsidR="00414601">
        <w:rPr>
          <w:i/>
          <w:lang w:val="ru-RU"/>
        </w:rPr>
        <w:t>подготовить</w:t>
      </w:r>
      <w:r w:rsidR="00414601" w:rsidRPr="00266B89">
        <w:rPr>
          <w:i/>
          <w:lang w:val="ru-RU"/>
        </w:rPr>
        <w:t xml:space="preserve"> </w:t>
      </w:r>
      <w:r w:rsidR="00414601">
        <w:rPr>
          <w:i/>
          <w:lang w:val="ru-RU"/>
        </w:rPr>
        <w:t>и</w:t>
      </w:r>
      <w:r w:rsidR="00414601" w:rsidRPr="00266B89">
        <w:rPr>
          <w:i/>
          <w:lang w:val="ru-RU"/>
        </w:rPr>
        <w:t xml:space="preserve"> </w:t>
      </w:r>
      <w:r w:rsidR="00414601">
        <w:rPr>
          <w:i/>
          <w:lang w:val="ru-RU"/>
        </w:rPr>
        <w:t>опубликовать</w:t>
      </w:r>
      <w:r w:rsidR="00414601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отчет</w:t>
      </w:r>
      <w:r w:rsidR="00266B89" w:rsidRPr="00266B89">
        <w:rPr>
          <w:i/>
          <w:lang w:val="ru-RU"/>
        </w:rPr>
        <w:t xml:space="preserve">, </w:t>
      </w:r>
      <w:r w:rsidR="00266B89">
        <w:rPr>
          <w:i/>
          <w:lang w:val="ru-RU"/>
        </w:rPr>
        <w:t>а</w:t>
      </w:r>
      <w:r w:rsidR="00266B89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также</w:t>
      </w:r>
      <w:r w:rsidR="00266B89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индивидуальные</w:t>
      </w:r>
      <w:r w:rsidR="00266B89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и</w:t>
      </w:r>
      <w:r w:rsidR="00266B89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коллективные</w:t>
      </w:r>
      <w:r w:rsidR="00266B89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ответы</w:t>
      </w:r>
      <w:r w:rsidR="00266B89" w:rsidRPr="00266B89">
        <w:rPr>
          <w:i/>
          <w:lang w:val="ru-RU"/>
        </w:rPr>
        <w:t xml:space="preserve"> </w:t>
      </w:r>
      <w:r w:rsidR="00266B89">
        <w:rPr>
          <w:i/>
          <w:lang w:val="ru-RU"/>
        </w:rPr>
        <w:t>на веб- сайте ВОИС</w:t>
      </w:r>
      <w:r w:rsidR="002371C7" w:rsidRPr="00266B89">
        <w:rPr>
          <w:i/>
          <w:lang w:val="ru-RU"/>
        </w:rPr>
        <w:t>.</w:t>
      </w:r>
    </w:p>
    <w:p w14:paraId="75A218B4" w14:textId="4D12FDD2" w:rsidR="00F23F38" w:rsidRDefault="00F23F38" w:rsidP="00F23F38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14:paraId="6CA04B29" w14:textId="77777777" w:rsidR="00131925" w:rsidRPr="00266B89" w:rsidRDefault="00131925" w:rsidP="00F23F38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14:paraId="669A951E" w14:textId="41527E36" w:rsidR="00F23F38" w:rsidRPr="007C4727" w:rsidRDefault="00F23F38" w:rsidP="00F23F38">
      <w:pPr>
        <w:pStyle w:val="Endofdocument-Annex"/>
        <w:rPr>
          <w:lang w:val="en-GB"/>
        </w:rPr>
      </w:pPr>
      <w:r w:rsidRPr="007C4727">
        <w:rPr>
          <w:lang w:val="en-GB"/>
        </w:rPr>
        <w:t>[</w:t>
      </w:r>
      <w:r w:rsidR="00266B89">
        <w:rPr>
          <w:lang w:val="ru-RU"/>
        </w:rPr>
        <w:t>Конец документа</w:t>
      </w:r>
      <w:r w:rsidRPr="007C4727">
        <w:rPr>
          <w:lang w:val="en-GB"/>
        </w:rPr>
        <w:t>]</w:t>
      </w:r>
    </w:p>
    <w:sectPr w:rsidR="00F23F38" w:rsidRPr="007C4727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5A0B" w14:textId="77777777" w:rsidR="002A0FB8" w:rsidRDefault="002A0FB8">
      <w:r>
        <w:separator/>
      </w:r>
    </w:p>
  </w:endnote>
  <w:endnote w:type="continuationSeparator" w:id="0">
    <w:p w14:paraId="45B9CD71" w14:textId="77777777" w:rsidR="002A0FB8" w:rsidRDefault="002A0FB8" w:rsidP="003B38C1">
      <w:r>
        <w:separator/>
      </w:r>
    </w:p>
    <w:p w14:paraId="040B2F63" w14:textId="77777777" w:rsidR="002A0FB8" w:rsidRPr="003B38C1" w:rsidRDefault="002A0F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7C71E6" w14:textId="77777777" w:rsidR="002A0FB8" w:rsidRPr="003B38C1" w:rsidRDefault="002A0F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37D34" w14:textId="77777777" w:rsidR="002A0FB8" w:rsidRDefault="002A0FB8">
      <w:r>
        <w:separator/>
      </w:r>
    </w:p>
  </w:footnote>
  <w:footnote w:type="continuationSeparator" w:id="0">
    <w:p w14:paraId="544F0ADC" w14:textId="77777777" w:rsidR="002A0FB8" w:rsidRDefault="002A0FB8" w:rsidP="008B60B2">
      <w:r>
        <w:separator/>
      </w:r>
    </w:p>
    <w:p w14:paraId="77606BE4" w14:textId="77777777" w:rsidR="002A0FB8" w:rsidRPr="00ED77FB" w:rsidRDefault="002A0F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A1F989" w14:textId="77777777" w:rsidR="002A0FB8" w:rsidRPr="00ED77FB" w:rsidRDefault="002A0F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F5328" w14:textId="48E259B3" w:rsidR="00044D91" w:rsidRDefault="00044D91" w:rsidP="00477D6B">
    <w:pPr>
      <w:jc w:val="right"/>
    </w:pPr>
    <w:bookmarkStart w:id="6" w:name="Code2"/>
    <w:bookmarkEnd w:id="6"/>
    <w:r>
      <w:t>CWS/7/8</w:t>
    </w:r>
  </w:p>
  <w:p w14:paraId="1126134E" w14:textId="69BE8668" w:rsidR="00044D91" w:rsidRDefault="00044D9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C359C">
      <w:rPr>
        <w:noProof/>
      </w:rPr>
      <w:t>2</w:t>
    </w:r>
    <w:r>
      <w:fldChar w:fldCharType="end"/>
    </w:r>
  </w:p>
  <w:p w14:paraId="7CBF4EC8" w14:textId="77777777" w:rsidR="00044D91" w:rsidRDefault="00044D91" w:rsidP="00477D6B">
    <w:pPr>
      <w:jc w:val="right"/>
    </w:pPr>
  </w:p>
  <w:p w14:paraId="523E3861" w14:textId="77777777" w:rsidR="00044D91" w:rsidRDefault="00044D9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13725D"/>
    <w:multiLevelType w:val="hybridMultilevel"/>
    <w:tmpl w:val="6C6C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7CA2D68"/>
    <w:multiLevelType w:val="hybridMultilevel"/>
    <w:tmpl w:val="763EA26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861E4"/>
    <w:multiLevelType w:val="multilevel"/>
    <w:tmpl w:val="4AE6E7A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24877"/>
    <w:rsid w:val="00043CAA"/>
    <w:rsid w:val="00044D91"/>
    <w:rsid w:val="00060D52"/>
    <w:rsid w:val="00061FE7"/>
    <w:rsid w:val="00075432"/>
    <w:rsid w:val="00084C62"/>
    <w:rsid w:val="00090776"/>
    <w:rsid w:val="000968ED"/>
    <w:rsid w:val="000B1334"/>
    <w:rsid w:val="000B3B9E"/>
    <w:rsid w:val="000B7F08"/>
    <w:rsid w:val="000C6CFD"/>
    <w:rsid w:val="000E3F1D"/>
    <w:rsid w:val="000F5E56"/>
    <w:rsid w:val="00110B34"/>
    <w:rsid w:val="00131925"/>
    <w:rsid w:val="0013353E"/>
    <w:rsid w:val="001362EE"/>
    <w:rsid w:val="00154E80"/>
    <w:rsid w:val="001647D5"/>
    <w:rsid w:val="001832A6"/>
    <w:rsid w:val="0021217E"/>
    <w:rsid w:val="00220FA8"/>
    <w:rsid w:val="002371C7"/>
    <w:rsid w:val="00262EC4"/>
    <w:rsid w:val="002634C4"/>
    <w:rsid w:val="00266B89"/>
    <w:rsid w:val="00270188"/>
    <w:rsid w:val="002871D2"/>
    <w:rsid w:val="002928D3"/>
    <w:rsid w:val="002A0FB8"/>
    <w:rsid w:val="002C5DE0"/>
    <w:rsid w:val="002F1FE6"/>
    <w:rsid w:val="002F4E68"/>
    <w:rsid w:val="00312F7F"/>
    <w:rsid w:val="003452F4"/>
    <w:rsid w:val="00352048"/>
    <w:rsid w:val="00361450"/>
    <w:rsid w:val="003673CF"/>
    <w:rsid w:val="003845C1"/>
    <w:rsid w:val="00391CFF"/>
    <w:rsid w:val="00392FC8"/>
    <w:rsid w:val="003941BC"/>
    <w:rsid w:val="003A6F89"/>
    <w:rsid w:val="003B03C9"/>
    <w:rsid w:val="003B38C1"/>
    <w:rsid w:val="003B6FAC"/>
    <w:rsid w:val="0040355F"/>
    <w:rsid w:val="00407147"/>
    <w:rsid w:val="00410834"/>
    <w:rsid w:val="004117E3"/>
    <w:rsid w:val="004136CD"/>
    <w:rsid w:val="00414601"/>
    <w:rsid w:val="00423E3E"/>
    <w:rsid w:val="00427AF4"/>
    <w:rsid w:val="004316C0"/>
    <w:rsid w:val="00441EA4"/>
    <w:rsid w:val="00455CA7"/>
    <w:rsid w:val="004647DA"/>
    <w:rsid w:val="004649A8"/>
    <w:rsid w:val="00474062"/>
    <w:rsid w:val="00477D6B"/>
    <w:rsid w:val="00482F0F"/>
    <w:rsid w:val="00483472"/>
    <w:rsid w:val="00494C42"/>
    <w:rsid w:val="004B5048"/>
    <w:rsid w:val="004C2479"/>
    <w:rsid w:val="004D38DC"/>
    <w:rsid w:val="004E0268"/>
    <w:rsid w:val="005019FF"/>
    <w:rsid w:val="00503FE3"/>
    <w:rsid w:val="0053057A"/>
    <w:rsid w:val="0053297E"/>
    <w:rsid w:val="00533CC1"/>
    <w:rsid w:val="00540A4D"/>
    <w:rsid w:val="00545E7B"/>
    <w:rsid w:val="00560A29"/>
    <w:rsid w:val="00566C11"/>
    <w:rsid w:val="005A0113"/>
    <w:rsid w:val="005A7282"/>
    <w:rsid w:val="005C4A6E"/>
    <w:rsid w:val="005C6649"/>
    <w:rsid w:val="005E46FD"/>
    <w:rsid w:val="005F4ADC"/>
    <w:rsid w:val="005F5C1B"/>
    <w:rsid w:val="00605827"/>
    <w:rsid w:val="00626062"/>
    <w:rsid w:val="006318AA"/>
    <w:rsid w:val="00646050"/>
    <w:rsid w:val="006533FE"/>
    <w:rsid w:val="00657E3C"/>
    <w:rsid w:val="00667C08"/>
    <w:rsid w:val="006713CA"/>
    <w:rsid w:val="00676638"/>
    <w:rsid w:val="00676C5C"/>
    <w:rsid w:val="006B3D39"/>
    <w:rsid w:val="006E74E2"/>
    <w:rsid w:val="007042DA"/>
    <w:rsid w:val="00722E25"/>
    <w:rsid w:val="00724636"/>
    <w:rsid w:val="00725347"/>
    <w:rsid w:val="007418B6"/>
    <w:rsid w:val="007522EE"/>
    <w:rsid w:val="00772CAC"/>
    <w:rsid w:val="007757FD"/>
    <w:rsid w:val="00777D10"/>
    <w:rsid w:val="007816C9"/>
    <w:rsid w:val="007B2C10"/>
    <w:rsid w:val="007C00C1"/>
    <w:rsid w:val="007C6D5B"/>
    <w:rsid w:val="007D1613"/>
    <w:rsid w:val="007D6730"/>
    <w:rsid w:val="007E4C0E"/>
    <w:rsid w:val="007F46F8"/>
    <w:rsid w:val="00806E02"/>
    <w:rsid w:val="00806F22"/>
    <w:rsid w:val="008161AC"/>
    <w:rsid w:val="00892593"/>
    <w:rsid w:val="008A134B"/>
    <w:rsid w:val="008A238F"/>
    <w:rsid w:val="008A4874"/>
    <w:rsid w:val="008B2CC1"/>
    <w:rsid w:val="008B60B2"/>
    <w:rsid w:val="008C0ABC"/>
    <w:rsid w:val="008C29CD"/>
    <w:rsid w:val="0090731E"/>
    <w:rsid w:val="00916EE2"/>
    <w:rsid w:val="009406D9"/>
    <w:rsid w:val="00966A22"/>
    <w:rsid w:val="0096722F"/>
    <w:rsid w:val="00980843"/>
    <w:rsid w:val="00987737"/>
    <w:rsid w:val="009C7DB0"/>
    <w:rsid w:val="009E2791"/>
    <w:rsid w:val="009E3F6F"/>
    <w:rsid w:val="009E527A"/>
    <w:rsid w:val="009F499F"/>
    <w:rsid w:val="00A052A7"/>
    <w:rsid w:val="00A07A48"/>
    <w:rsid w:val="00A37342"/>
    <w:rsid w:val="00A42DAF"/>
    <w:rsid w:val="00A45BD8"/>
    <w:rsid w:val="00A61666"/>
    <w:rsid w:val="00A74049"/>
    <w:rsid w:val="00A869B7"/>
    <w:rsid w:val="00A90401"/>
    <w:rsid w:val="00AB7E57"/>
    <w:rsid w:val="00AC205C"/>
    <w:rsid w:val="00AC359C"/>
    <w:rsid w:val="00AC4A21"/>
    <w:rsid w:val="00AD73C4"/>
    <w:rsid w:val="00AF0A6B"/>
    <w:rsid w:val="00B01324"/>
    <w:rsid w:val="00B01DD2"/>
    <w:rsid w:val="00B05A69"/>
    <w:rsid w:val="00B119D6"/>
    <w:rsid w:val="00B512DF"/>
    <w:rsid w:val="00B9734B"/>
    <w:rsid w:val="00BA30E2"/>
    <w:rsid w:val="00BB31A1"/>
    <w:rsid w:val="00BC744A"/>
    <w:rsid w:val="00BF3732"/>
    <w:rsid w:val="00C0065B"/>
    <w:rsid w:val="00C031F1"/>
    <w:rsid w:val="00C11BFE"/>
    <w:rsid w:val="00C35B2B"/>
    <w:rsid w:val="00C379A5"/>
    <w:rsid w:val="00C5068F"/>
    <w:rsid w:val="00C63ADB"/>
    <w:rsid w:val="00C811A6"/>
    <w:rsid w:val="00C86D74"/>
    <w:rsid w:val="00CB45B6"/>
    <w:rsid w:val="00CC168E"/>
    <w:rsid w:val="00CC3BFB"/>
    <w:rsid w:val="00CD04F1"/>
    <w:rsid w:val="00CD59F2"/>
    <w:rsid w:val="00CF2FC8"/>
    <w:rsid w:val="00D3124F"/>
    <w:rsid w:val="00D4125C"/>
    <w:rsid w:val="00D45252"/>
    <w:rsid w:val="00D66119"/>
    <w:rsid w:val="00D71B4D"/>
    <w:rsid w:val="00D774F9"/>
    <w:rsid w:val="00D93D55"/>
    <w:rsid w:val="00DA5667"/>
    <w:rsid w:val="00DC2D50"/>
    <w:rsid w:val="00DC59CB"/>
    <w:rsid w:val="00DD3FDC"/>
    <w:rsid w:val="00DD743D"/>
    <w:rsid w:val="00E15015"/>
    <w:rsid w:val="00E24CA2"/>
    <w:rsid w:val="00E25D2E"/>
    <w:rsid w:val="00E303CB"/>
    <w:rsid w:val="00E335FE"/>
    <w:rsid w:val="00E44DF5"/>
    <w:rsid w:val="00E60C53"/>
    <w:rsid w:val="00E63F46"/>
    <w:rsid w:val="00E814B1"/>
    <w:rsid w:val="00EA3A36"/>
    <w:rsid w:val="00EA7906"/>
    <w:rsid w:val="00EA7D6E"/>
    <w:rsid w:val="00EC4E49"/>
    <w:rsid w:val="00ED77FB"/>
    <w:rsid w:val="00EE45FA"/>
    <w:rsid w:val="00F01D1A"/>
    <w:rsid w:val="00F2382B"/>
    <w:rsid w:val="00F23F38"/>
    <w:rsid w:val="00F30237"/>
    <w:rsid w:val="00F66152"/>
    <w:rsid w:val="00F67180"/>
    <w:rsid w:val="00FA4471"/>
    <w:rsid w:val="00FB0945"/>
    <w:rsid w:val="00FB257C"/>
    <w:rsid w:val="00FB284E"/>
    <w:rsid w:val="00FC06D8"/>
    <w:rsid w:val="00FC49FD"/>
    <w:rsid w:val="00F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3D21CF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23F38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3F38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45E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5E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5E7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45E7B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061FE7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061FE7"/>
    <w:rPr>
      <w:rFonts w:ascii="Arial" w:eastAsia="SimSun" w:hAnsi="Arial" w:cs="Arial"/>
      <w:sz w:val="22"/>
      <w:lang w:val="en-US" w:eastAsia="zh-CN"/>
    </w:rPr>
  </w:style>
  <w:style w:type="character" w:styleId="PageNumber">
    <w:name w:val="page number"/>
    <w:basedOn w:val="DefaultParagraphFont"/>
    <w:rsid w:val="00061FE7"/>
  </w:style>
  <w:style w:type="paragraph" w:styleId="ListParagraph">
    <w:name w:val="List Paragraph"/>
    <w:basedOn w:val="Normal"/>
    <w:qFormat/>
    <w:rsid w:val="00AB7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6</Pages>
  <Words>1931</Words>
  <Characters>13435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CWS/7/8 (in Russian)</vt:lpstr>
    </vt:vector>
  </TitlesOfParts>
  <Company>WIPO</Company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CWS/7/8 (in Russian)</dc:title>
  <dc:subject>РЕЗУЛЬТАТЫ ОБСЛЕДОВАНИЯ В ОБЛАСТИ ИСПОЛЬЗОВАНИЯ ВЕДОМСТВАМИ ИНТЕЛЛЕКТУАЛЬНОЙ СОБСТВЕННОСТИ ИДЕНТИФИКАТОРОВ ЗАЯВИТЕЛЕЙ</dc:subject>
  <dc:creator>WIPO</dc:creator>
  <cp:keywords>CWS, WIPO</cp:keywords>
  <cp:lastModifiedBy>DRAKE Sophie</cp:lastModifiedBy>
  <cp:revision>31</cp:revision>
  <cp:lastPrinted>2011-02-15T11:56:00Z</cp:lastPrinted>
  <dcterms:created xsi:type="dcterms:W3CDTF">2019-05-15T10:31:00Z</dcterms:created>
  <dcterms:modified xsi:type="dcterms:W3CDTF">2019-05-28T14:51:00Z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