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50F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450FD" w:rsidRDefault="001450F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50FD" w:rsidRDefault="00F9456E">
            <w:pPr>
              <w:rPr>
                <w:lang w:val="ru-RU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863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50FD" w:rsidRDefault="001072A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450F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450FD" w:rsidRDefault="001072A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CWS/7/10</w:t>
            </w:r>
          </w:p>
        </w:tc>
      </w:tr>
      <w:tr w:rsidR="001450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450FD" w:rsidRDefault="001072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1450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450FD" w:rsidRDefault="001072A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20 МАя 2019 г. </w:t>
            </w:r>
          </w:p>
        </w:tc>
      </w:tr>
    </w:tbl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072A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072A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1450FD" w:rsidRDefault="001072A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072A1">
      <w:pPr>
        <w:rPr>
          <w:caps/>
          <w:sz w:val="24"/>
          <w:lang w:val="ru-RU"/>
        </w:rPr>
      </w:pPr>
      <w:bookmarkStart w:id="0" w:name="_GoBack"/>
      <w:r>
        <w:rPr>
          <w:caps/>
          <w:sz w:val="24"/>
          <w:lang w:val="ru-RU"/>
        </w:rPr>
        <w:t xml:space="preserve">Отчет Целевой группы по цифровому преобразованию </w:t>
      </w:r>
      <w:r>
        <w:rPr>
          <w:caps/>
          <w:sz w:val="24"/>
          <w:lang w:val="ru-RU"/>
        </w:rPr>
        <w:br/>
        <w:t>о ходе выполнения задачи №</w:t>
      </w:r>
      <w:r>
        <w:rPr>
          <w:caps/>
          <w:sz w:val="24"/>
        </w:rPr>
        <w:t> </w:t>
      </w:r>
      <w:r w:rsidR="0058557C">
        <w:rPr>
          <w:caps/>
          <w:sz w:val="24"/>
          <w:lang w:val="ru-RU"/>
        </w:rPr>
        <w:t>62</w:t>
      </w:r>
    </w:p>
    <w:bookmarkEnd w:id="0"/>
    <w:p w:rsidR="001450FD" w:rsidRDefault="001450FD">
      <w:pPr>
        <w:rPr>
          <w:lang w:val="ru-RU"/>
        </w:rPr>
      </w:pPr>
    </w:p>
    <w:p w:rsidR="001450FD" w:rsidRDefault="001072A1">
      <w:pPr>
        <w:rPr>
          <w:i/>
          <w:lang w:val="ru-RU"/>
        </w:rPr>
      </w:pPr>
      <w:r>
        <w:rPr>
          <w:i/>
          <w:lang w:val="ru-RU"/>
        </w:rPr>
        <w:t>Документ подготовлен руководителем Целевой группы по цифровому преобразованию</w:t>
      </w: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450FD">
      <w:pPr>
        <w:rPr>
          <w:u w:val="single"/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450FD">
      <w:pPr>
        <w:rPr>
          <w:lang w:val="ru-RU"/>
        </w:rPr>
      </w:pPr>
    </w:p>
    <w:p w:rsidR="001450FD" w:rsidRDefault="001072A1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1450FD" w:rsidRDefault="001072A1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На шестой сессии Комитета по стандартам ВОИС (КСВ) была утверждена новая задача № 62, описание которой гласит: «пересмотреть стандарты ВОИС </w:t>
      </w:r>
      <w:r>
        <w:t>ST</w:t>
      </w:r>
      <w:r>
        <w:rPr>
          <w:lang w:val="ru-RU"/>
        </w:rPr>
        <w:t xml:space="preserve">.6, </w:t>
      </w:r>
      <w:r>
        <w:t>ST</w:t>
      </w:r>
      <w:r>
        <w:rPr>
          <w:lang w:val="ru-RU"/>
        </w:rPr>
        <w:t xml:space="preserve">.8, </w:t>
      </w:r>
      <w:r>
        <w:t>ST</w:t>
      </w:r>
      <w:r>
        <w:rPr>
          <w:lang w:val="ru-RU"/>
        </w:rPr>
        <w:t xml:space="preserve">.10, </w:t>
      </w:r>
      <w:r>
        <w:t>ST</w:t>
      </w:r>
      <w:r>
        <w:rPr>
          <w:lang w:val="ru-RU"/>
        </w:rPr>
        <w:t xml:space="preserve">.11, </w:t>
      </w:r>
      <w:r>
        <w:t>ST</w:t>
      </w:r>
      <w:r>
        <w:rPr>
          <w:lang w:val="ru-RU"/>
        </w:rPr>
        <w:t xml:space="preserve">.15, </w:t>
      </w:r>
      <w:r>
        <w:t>ST</w:t>
      </w:r>
      <w:r>
        <w:rPr>
          <w:lang w:val="ru-RU"/>
        </w:rPr>
        <w:t xml:space="preserve">.17, </w:t>
      </w:r>
      <w:r>
        <w:t>ST</w:t>
      </w:r>
      <w:r>
        <w:rPr>
          <w:lang w:val="ru-RU"/>
        </w:rPr>
        <w:t xml:space="preserve">.18, </w:t>
      </w:r>
      <w:r>
        <w:t>ST</w:t>
      </w:r>
      <w:r>
        <w:rPr>
          <w:lang w:val="ru-RU"/>
        </w:rPr>
        <w:t xml:space="preserve">.63 и </w:t>
      </w:r>
      <w:r>
        <w:t>ST</w:t>
      </w:r>
      <w:r>
        <w:rPr>
          <w:lang w:val="ru-RU"/>
        </w:rPr>
        <w:t>.81 с учетом необходимости публикации документов о ПС в электронном виде и предложить пересмотр этих стандартов при необходимости» (см. пункты 143 - 151 документа CWS/6/34). КСВ сформировал соответствующую целевую группу, получившую название «Целевой группы по цифровому преобразованию» и назначил ее руководителем Ведомство по патентам и товарным знакам США (ВПТЗ США).</w:t>
      </w:r>
    </w:p>
    <w:p w:rsidR="001450FD" w:rsidRDefault="001072A1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 ноябре 2018 г. Международное бюро разослало циркулярное письмо </w:t>
      </w:r>
      <w:r>
        <w:t>C</w:t>
      </w:r>
      <w:r>
        <w:rPr>
          <w:lang w:val="ru-RU"/>
        </w:rPr>
        <w:t>.</w:t>
      </w:r>
      <w:r>
        <w:t>CWS</w:t>
      </w:r>
      <w:r>
        <w:rPr>
          <w:lang w:val="ru-RU"/>
        </w:rPr>
        <w:t>.108 с предложением ВИС назначить представителей в Целевую группу по цифровому преобразованию.  Для участия в работе Целевой группы были назначены представители 13 ВИС.</w:t>
      </w:r>
    </w:p>
    <w:p w:rsidR="001450FD" w:rsidRDefault="001072A1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ОТЧЕТ О ХОДЕ РАБОТЫ</w:t>
      </w:r>
    </w:p>
    <w:p w:rsidR="001450FD" w:rsidRDefault="001072A1">
      <w:pPr>
        <w:pStyle w:val="ONUME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>Руководитель Целевой группы подготовил проект плана работы по согласованию с Международным бюро и разослал его для комментариев членам Целевой группы. Цель плана работы:</w:t>
      </w:r>
    </w:p>
    <w:p w:rsidR="001450FD" w:rsidRDefault="001072A1">
      <w:pPr>
        <w:pStyle w:val="NoSpacing"/>
        <w:spacing w:after="220"/>
        <w:ind w:left="56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Обновить существующие стандарты ВОИС и методы публикации информации в отношении прав ИС в условиях применения цифровых технологий. Для достижения этой цели Целевая группа:</w:t>
      </w:r>
    </w:p>
    <w:p w:rsidR="001450FD" w:rsidRDefault="001072A1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пересмотрит стандарты ВОИС с учетом необходимости электронной публикации документации по ИС</w:t>
      </w:r>
    </w:p>
    <w:p w:rsidR="001450FD" w:rsidRDefault="001072A1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проанализирует методы публикации заявок в целях оптимизации распространения информации цифровыми средствами</w:t>
      </w:r>
    </w:p>
    <w:p w:rsidR="001450FD" w:rsidRDefault="001072A1">
      <w:pPr>
        <w:pStyle w:val="NoSpacing"/>
        <w:numPr>
          <w:ilvl w:val="0"/>
          <w:numId w:val="16"/>
        </w:numPr>
        <w:spacing w:after="220" w:line="360" w:lineRule="auto"/>
        <w:ind w:left="99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предложит, при необходимости, пересмотренные редакции таких стандартов</w:t>
      </w:r>
    </w:p>
    <w:p w:rsidR="001450FD" w:rsidRDefault="001072A1">
      <w:pPr>
        <w:pStyle w:val="ONUME"/>
        <w:keepNext/>
        <w:keepLines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Проект плана работы предусматривает следующие шаги: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предоставление ведомствами ИС информации о существующих методах электронной публикации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обсуждение сложностей существующих процедур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обмен планами электронной публикации на будущее и их обсуждение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согласование определения и критериев электронных публикаций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обсуждение типов файлов: файл</w:t>
      </w:r>
      <w:r w:rsidR="00F9456E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изоб</w:t>
      </w:r>
      <w:r w:rsidR="00F9456E">
        <w:rPr>
          <w:rFonts w:ascii="Arial" w:hAnsi="Arial" w:cs="Arial"/>
          <w:lang w:val="ru-RU"/>
        </w:rPr>
        <w:t>ражений, библиографические файлов, полнотекстовых файлов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согласование критериев пересмотра стандартов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определение приоритетов и порядка пересмотра стандартов в описании задачи</w:t>
      </w:r>
    </w:p>
    <w:p w:rsidR="001450FD" w:rsidRDefault="001072A1">
      <w:pPr>
        <w:pStyle w:val="NoSpacing"/>
        <w:keepNext/>
        <w:keepLines/>
        <w:numPr>
          <w:ilvl w:val="0"/>
          <w:numId w:val="16"/>
        </w:numPr>
        <w:spacing w:after="220"/>
        <w:ind w:left="99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необходимых случаях </w:t>
      </w:r>
      <w:r>
        <w:rPr>
          <w:rFonts w:ascii="Arial" w:eastAsia="+mn-ea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нача</w:t>
      </w:r>
      <w:r w:rsidR="00F9456E">
        <w:rPr>
          <w:rFonts w:ascii="Arial" w:hAnsi="Arial" w:cs="Arial"/>
          <w:lang w:val="ru-RU"/>
        </w:rPr>
        <w:t xml:space="preserve">ло </w:t>
      </w:r>
      <w:r>
        <w:rPr>
          <w:rFonts w:ascii="Arial" w:hAnsi="Arial" w:cs="Arial"/>
          <w:lang w:val="ru-RU"/>
        </w:rPr>
        <w:t>пересмотр</w:t>
      </w:r>
      <w:r w:rsidR="00F9456E">
        <w:rPr>
          <w:rFonts w:ascii="Arial" w:hAnsi="Arial" w:cs="Arial"/>
          <w:lang w:val="ru-RU"/>
        </w:rPr>
        <w:t>а и предложение</w:t>
      </w:r>
      <w:r>
        <w:rPr>
          <w:rFonts w:ascii="Arial" w:hAnsi="Arial" w:cs="Arial"/>
          <w:lang w:val="ru-RU"/>
        </w:rPr>
        <w:t xml:space="preserve"> уточнени</w:t>
      </w:r>
      <w:r w:rsidR="00F9456E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 </w:t>
      </w:r>
      <w:r w:rsidR="00F9456E">
        <w:rPr>
          <w:rFonts w:ascii="Arial" w:hAnsi="Arial" w:cs="Arial"/>
          <w:lang w:val="ru-RU"/>
        </w:rPr>
        <w:t>к существующим стандартам</w:t>
      </w:r>
      <w:r>
        <w:rPr>
          <w:rFonts w:ascii="Arial" w:hAnsi="Arial" w:cs="Arial"/>
          <w:lang w:val="ru-RU"/>
        </w:rPr>
        <w:t>.</w:t>
      </w:r>
    </w:p>
    <w:p w:rsidR="001450FD" w:rsidRDefault="001072A1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Обсуждение дополнительных вопросов в период между публикацией настоящего документа и седьмой сессией КСВ планируется вести в вики-форуме Целевой группы.  Руководитель Целевой группы представит дополнительную информацию о ходе работ в</w:t>
      </w:r>
      <w:r>
        <w:t> </w:t>
      </w:r>
      <w:r>
        <w:rPr>
          <w:lang w:val="ru-RU"/>
        </w:rPr>
        <w:t xml:space="preserve">рамках отчета о выполнении </w:t>
      </w:r>
      <w:r>
        <w:rPr>
          <w:snapToGrid w:val="0"/>
          <w:lang w:val="ru-RU"/>
        </w:rPr>
        <w:t>данн</w:t>
      </w:r>
      <w:r>
        <w:rPr>
          <w:lang w:val="ru-RU"/>
        </w:rPr>
        <w:t>ой задачи.</w:t>
      </w:r>
    </w:p>
    <w:p w:rsidR="001450FD" w:rsidRDefault="001072A1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ПЛАН РАБОТЫ</w:t>
      </w:r>
    </w:p>
    <w:p w:rsidR="001450FD" w:rsidRDefault="001072A1">
      <w:pPr>
        <w:pStyle w:val="ONUME"/>
        <w:spacing w:after="1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График для предлагаемого плана работы на 2019-2020 гг. выглядит следующим образом:</w:t>
      </w:r>
    </w:p>
    <w:tbl>
      <w:tblPr>
        <w:tblW w:w="9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321"/>
        <w:gridCol w:w="2239"/>
      </w:tblGrid>
      <w:tr w:rsidR="001450FD" w:rsidTr="00BB0DA8">
        <w:trPr>
          <w:cantSplit/>
          <w:tblHeader/>
          <w:jc w:val="center"/>
        </w:trPr>
        <w:tc>
          <w:tcPr>
            <w:tcW w:w="1522" w:type="dxa"/>
            <w:shd w:val="clear" w:color="auto" w:fill="D9D9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450FD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321" w:type="dxa"/>
            <w:shd w:val="clear" w:color="auto" w:fill="D9D9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Cs w:val="22"/>
                <w:lang w:val="ru-RU" w:eastAsia="en-US"/>
              </w:rPr>
              <w:t>Мероприятия</w:t>
            </w:r>
          </w:p>
        </w:tc>
        <w:tc>
          <w:tcPr>
            <w:tcW w:w="2239" w:type="dxa"/>
            <w:shd w:val="clear" w:color="auto" w:fill="D9D9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Cs w:val="22"/>
                <w:lang w:eastAsia="en-US"/>
              </w:rPr>
              <w:t>Примерные</w:t>
            </w:r>
            <w:proofErr w:type="spellEnd"/>
            <w:r>
              <w:rPr>
                <w:rFonts w:eastAsia="Times New Roman"/>
                <w:b/>
                <w:b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2"/>
                <w:lang w:eastAsia="en-US"/>
              </w:rPr>
              <w:t>сроки</w:t>
            </w:r>
            <w:proofErr w:type="spellEnd"/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Предоставление ведомствами ИС информации о существующих методах электронной публикации 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и </w:t>
            </w:r>
            <w:r>
              <w:rPr>
                <w:lang w:val="ru-RU"/>
              </w:rPr>
              <w:t>сложностях существующих процедур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недель</w:t>
            </w:r>
            <w:proofErr w:type="spellEnd"/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2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>Обмен планами электронной публикации на будущее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недел</w:t>
            </w:r>
            <w:proofErr w:type="spellEnd"/>
            <w:r>
              <w:rPr>
                <w:rFonts w:eastAsia="Times New Roman"/>
                <w:szCs w:val="22"/>
                <w:lang w:val="ru-RU" w:eastAsia="en-US"/>
              </w:rPr>
              <w:t>и</w:t>
            </w:r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3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Согласование определения и критериев электронных публикаций 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и </w:t>
            </w:r>
            <w:r>
              <w:rPr>
                <w:lang w:val="ru-RU"/>
              </w:rPr>
              <w:t xml:space="preserve">обсуждение типов файлов: файлы изображений, 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библиографические </w:t>
            </w:r>
            <w:r>
              <w:rPr>
                <w:lang w:val="ru-RU"/>
              </w:rPr>
              <w:t xml:space="preserve">файлы, полнотекстовые файлы, </w:t>
            </w:r>
            <w:r>
              <w:rPr>
                <w:rFonts w:eastAsia="Times New Roman"/>
                <w:szCs w:val="22"/>
                <w:lang w:eastAsia="en-US"/>
              </w:rPr>
              <w:t>XML</w:t>
            </w:r>
            <w:r>
              <w:rPr>
                <w:rFonts w:eastAsia="Times New Roman"/>
                <w:szCs w:val="22"/>
                <w:lang w:val="ru-RU" w:eastAsia="en-US"/>
              </w:rPr>
              <w:t>, визуальное отображение данных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iCs/>
                <w:color w:val="000000"/>
                <w:szCs w:val="22"/>
              </w:rPr>
              <w:t xml:space="preserve">4 </w:t>
            </w:r>
            <w:proofErr w:type="spellStart"/>
            <w:r>
              <w:rPr>
                <w:iCs/>
                <w:color w:val="000000"/>
                <w:szCs w:val="22"/>
              </w:rPr>
              <w:t>недели</w:t>
            </w:r>
            <w:proofErr w:type="spellEnd"/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lastRenderedPageBreak/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4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>Согласование критериев пересмотра стандартов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 и желательных результатов </w:t>
            </w:r>
            <w:r>
              <w:rPr>
                <w:lang w:val="ru-RU"/>
              </w:rPr>
              <w:t>пересмотра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недели</w:t>
            </w:r>
            <w:proofErr w:type="spellEnd"/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5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Определение приоритетов и порядка пересмотра стандартов в описании задачи 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недели</w:t>
            </w:r>
            <w:proofErr w:type="spellEnd"/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6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 w:rsidP="00F9456E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Начало пересмотра и </w:t>
            </w:r>
            <w:r w:rsidR="00F9456E">
              <w:rPr>
                <w:lang w:val="ru-RU"/>
              </w:rPr>
              <w:t xml:space="preserve">предложение уточнений к существующим стандартам </w:t>
            </w:r>
            <w:r>
              <w:rPr>
                <w:rFonts w:eastAsia="Times New Roman"/>
                <w:szCs w:val="22"/>
                <w:lang w:val="ru-RU" w:eastAsia="en-US"/>
              </w:rPr>
              <w:t>публикации на основе согласованных рекомендаций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недел</w:t>
            </w:r>
            <w:proofErr w:type="spellEnd"/>
            <w:r>
              <w:rPr>
                <w:rFonts w:eastAsia="Times New Roman"/>
                <w:szCs w:val="22"/>
                <w:lang w:val="ru-RU" w:eastAsia="en-US"/>
              </w:rPr>
              <w:t>и</w:t>
            </w:r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i/>
                <w:szCs w:val="22"/>
                <w:lang w:eastAsia="en-US"/>
              </w:rPr>
              <w:t>N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- Проведение детального анализа каждого стандарта в порядке приоритетности</w:t>
            </w:r>
          </w:p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- разработка рекомендаций на основе детального анализа и обсуждения с членами Целевой группы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при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необходимости</w:t>
            </w:r>
            <w:proofErr w:type="spellEnd"/>
          </w:p>
        </w:tc>
      </w:tr>
      <w:tr w:rsidR="001450FD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раунд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i/>
                <w:szCs w:val="22"/>
                <w:lang w:eastAsia="en-US"/>
              </w:rPr>
              <w:t>N+1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 xml:space="preserve">- при необходимости: подготовка предложения по изменению существующих стандартов к сессии </w:t>
            </w:r>
            <w:r w:rsidR="006D01A1">
              <w:rPr>
                <w:rFonts w:eastAsia="Times New Roman"/>
                <w:szCs w:val="22"/>
                <w:lang w:val="ru-RU" w:eastAsia="en-US"/>
              </w:rPr>
              <w:t>«</w:t>
            </w:r>
            <w:r w:rsidR="006D01A1">
              <w:rPr>
                <w:rFonts w:eastAsia="Times New Roman"/>
                <w:szCs w:val="22"/>
                <w:lang w:eastAsia="en-US"/>
              </w:rPr>
              <w:t>x</w:t>
            </w:r>
            <w:r w:rsidR="006D01A1" w:rsidRPr="006D01A1">
              <w:rPr>
                <w:rFonts w:eastAsia="Times New Roman"/>
                <w:szCs w:val="22"/>
                <w:lang w:val="ru-RU" w:eastAsia="en-US"/>
              </w:rPr>
              <w:t>»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 КСВ </w:t>
            </w:r>
          </w:p>
          <w:p w:rsidR="001450FD" w:rsidRDefault="001072A1" w:rsidP="006D01A1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 xml:space="preserve">- при необходимости: подготовка предложения о новых стандартах электронной публикации к сессии </w:t>
            </w:r>
            <w:r w:rsidR="006D01A1">
              <w:rPr>
                <w:rFonts w:eastAsia="Times New Roman"/>
                <w:szCs w:val="22"/>
                <w:lang w:val="ru-RU" w:eastAsia="en-US"/>
              </w:rPr>
              <w:t>«</w:t>
            </w:r>
            <w:r w:rsidR="006D01A1">
              <w:rPr>
                <w:rFonts w:eastAsia="Times New Roman"/>
                <w:szCs w:val="22"/>
                <w:lang w:eastAsia="en-US"/>
              </w:rPr>
              <w:t>x</w:t>
            </w:r>
            <w:r w:rsidR="006D01A1" w:rsidRPr="006D01A1">
              <w:rPr>
                <w:rFonts w:eastAsia="Times New Roman"/>
                <w:szCs w:val="22"/>
                <w:lang w:val="ru-RU" w:eastAsia="en-US"/>
              </w:rPr>
              <w:t>»</w:t>
            </w:r>
            <w:r>
              <w:rPr>
                <w:rFonts w:eastAsia="Times New Roman"/>
                <w:szCs w:val="22"/>
                <w:lang w:val="ru-RU" w:eastAsia="en-US"/>
              </w:rPr>
              <w:t xml:space="preserve"> КСВ 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450FD" w:rsidRDefault="001072A1">
            <w:pPr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при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необходимости</w:t>
            </w:r>
            <w:proofErr w:type="spellEnd"/>
          </w:p>
        </w:tc>
      </w:tr>
    </w:tbl>
    <w:p w:rsidR="001450FD" w:rsidRDefault="001450FD">
      <w:pPr>
        <w:spacing w:after="60"/>
        <w:rPr>
          <w:iCs/>
          <w:color w:val="000000"/>
          <w:szCs w:val="22"/>
        </w:rPr>
      </w:pPr>
    </w:p>
    <w:p w:rsidR="001450FD" w:rsidRDefault="001072A1">
      <w:pPr>
        <w:spacing w:after="220"/>
        <w:rPr>
          <w:iCs/>
          <w:color w:val="000000"/>
          <w:szCs w:val="22"/>
          <w:lang w:val="ru-RU"/>
        </w:rPr>
      </w:pPr>
      <w:r>
        <w:rPr>
          <w:iCs/>
          <w:color w:val="000000"/>
          <w:szCs w:val="22"/>
          <w:lang w:val="ru-RU"/>
        </w:rPr>
        <w:t xml:space="preserve">Повторить раунды </w:t>
      </w:r>
      <w:r>
        <w:rPr>
          <w:iCs/>
          <w:color w:val="000000"/>
          <w:szCs w:val="22"/>
        </w:rPr>
        <w:t>N</w:t>
      </w:r>
      <w:r>
        <w:rPr>
          <w:iCs/>
          <w:color w:val="000000"/>
          <w:szCs w:val="22"/>
          <w:lang w:val="ru-RU"/>
        </w:rPr>
        <w:t xml:space="preserve">, </w:t>
      </w:r>
      <w:r>
        <w:rPr>
          <w:iCs/>
          <w:color w:val="000000"/>
          <w:szCs w:val="22"/>
        </w:rPr>
        <w:t>N</w:t>
      </w:r>
      <w:r>
        <w:rPr>
          <w:iCs/>
          <w:color w:val="000000"/>
          <w:szCs w:val="22"/>
          <w:lang w:val="ru-RU"/>
        </w:rPr>
        <w:t>+1 необходимое количество раз при работе с</w:t>
      </w:r>
      <w:r w:rsidR="006D01A1">
        <w:rPr>
          <w:iCs/>
          <w:color w:val="000000"/>
          <w:szCs w:val="22"/>
          <w:lang w:val="ru-RU"/>
        </w:rPr>
        <w:t>о</w:t>
      </w:r>
      <w:r>
        <w:rPr>
          <w:iCs/>
          <w:color w:val="000000"/>
          <w:szCs w:val="22"/>
          <w:lang w:val="ru-RU"/>
        </w:rPr>
        <w:t xml:space="preserve"> стандартами</w:t>
      </w:r>
      <w:r w:rsidR="006D01A1">
        <w:rPr>
          <w:iCs/>
          <w:color w:val="000000"/>
          <w:szCs w:val="22"/>
          <w:lang w:val="ru-RU"/>
        </w:rPr>
        <w:t xml:space="preserve">, для </w:t>
      </w:r>
      <w:r w:rsidR="006D01A1" w:rsidRPr="006D01A1">
        <w:rPr>
          <w:iCs/>
          <w:color w:val="000000"/>
          <w:szCs w:val="22"/>
          <w:lang w:val="ru-RU"/>
        </w:rPr>
        <w:t>котор</w:t>
      </w:r>
      <w:r w:rsidR="006D01A1">
        <w:rPr>
          <w:iCs/>
          <w:color w:val="000000"/>
          <w:szCs w:val="22"/>
          <w:lang w:val="ru-RU"/>
        </w:rPr>
        <w:t xml:space="preserve">ых будет выявлена </w:t>
      </w:r>
      <w:r w:rsidR="006D01A1" w:rsidRPr="006D01A1">
        <w:rPr>
          <w:iCs/>
          <w:color w:val="000000"/>
          <w:szCs w:val="22"/>
          <w:lang w:val="ru-RU"/>
        </w:rPr>
        <w:t>необходим</w:t>
      </w:r>
      <w:r w:rsidR="006D01A1">
        <w:rPr>
          <w:iCs/>
          <w:color w:val="000000"/>
          <w:szCs w:val="22"/>
          <w:lang w:val="ru-RU"/>
        </w:rPr>
        <w:t>ость обновления</w:t>
      </w:r>
      <w:r>
        <w:rPr>
          <w:iCs/>
          <w:color w:val="000000"/>
          <w:szCs w:val="22"/>
          <w:lang w:val="ru-RU"/>
        </w:rPr>
        <w:t>.</w:t>
      </w:r>
    </w:p>
    <w:p w:rsidR="001450FD" w:rsidRDefault="001072A1">
      <w:pPr>
        <w:pStyle w:val="ONUME"/>
        <w:ind w:left="5533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1450FD" w:rsidRDefault="001072A1">
      <w:pPr>
        <w:pStyle w:val="BodyText"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a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принять к сведению содержание настоящего документа;</w:t>
      </w:r>
    </w:p>
    <w:p w:rsidR="001450FD" w:rsidRDefault="001072A1">
      <w:pPr>
        <w:pStyle w:val="BodyText"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принять к сведению план работы Целевой группы по цифровому преобразованию и рекомендовать ВИС принимать участие в обсуждениях в рамках Целевой группы.</w:t>
      </w:r>
    </w:p>
    <w:p w:rsidR="001450FD" w:rsidRDefault="001450FD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</w:p>
    <w:p w:rsidR="001450FD" w:rsidRDefault="001450FD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:rsidR="001072A1" w:rsidRDefault="001072A1">
      <w:pPr>
        <w:pStyle w:val="Endofdocument-Annex"/>
        <w:rPr>
          <w:lang w:val="ru-RU"/>
        </w:rPr>
      </w:pPr>
      <w:r>
        <w:rPr>
          <w:lang w:val="ru-RU"/>
        </w:rPr>
        <w:t>[Конец документа]</w:t>
      </w:r>
    </w:p>
    <w:sectPr w:rsidR="001072A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A1" w:rsidRDefault="001072A1">
      <w:r>
        <w:separator/>
      </w:r>
    </w:p>
  </w:endnote>
  <w:endnote w:type="continuationSeparator" w:id="0">
    <w:p w:rsidR="001072A1" w:rsidRDefault="001072A1">
      <w:r>
        <w:separator/>
      </w:r>
    </w:p>
    <w:p w:rsidR="001072A1" w:rsidRDefault="001072A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72A1" w:rsidRDefault="001072A1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A1" w:rsidRDefault="001072A1">
      <w:r>
        <w:separator/>
      </w:r>
    </w:p>
  </w:footnote>
  <w:footnote w:type="continuationSeparator" w:id="0">
    <w:p w:rsidR="001072A1" w:rsidRDefault="001072A1">
      <w:r>
        <w:separator/>
      </w:r>
    </w:p>
    <w:p w:rsidR="001072A1" w:rsidRDefault="001072A1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1072A1" w:rsidRDefault="001072A1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FD" w:rsidRDefault="001072A1">
    <w:pPr>
      <w:jc w:val="right"/>
    </w:pPr>
    <w:bookmarkStart w:id="1" w:name="Code2"/>
    <w:bookmarkEnd w:id="1"/>
    <w:r>
      <w:t>CWS/7/</w:t>
    </w:r>
    <w:r w:rsidR="00792C01">
      <w:t>10</w:t>
    </w:r>
  </w:p>
  <w:p w:rsidR="001450FD" w:rsidRDefault="00792C01">
    <w:pPr>
      <w:jc w:val="right"/>
    </w:pPr>
    <w:r>
      <w:rPr>
        <w:lang w:val="ru-RU"/>
      </w:rPr>
      <w:t xml:space="preserve">стр. </w:t>
    </w:r>
    <w:r w:rsidR="001072A1">
      <w:fldChar w:fldCharType="begin"/>
    </w:r>
    <w:r w:rsidR="001072A1">
      <w:instrText xml:space="preserve"> PAGE  \* MERGEFORMAT </w:instrText>
    </w:r>
    <w:r w:rsidR="001072A1">
      <w:fldChar w:fldCharType="separate"/>
    </w:r>
    <w:r w:rsidR="0058557C">
      <w:rPr>
        <w:noProof/>
      </w:rPr>
      <w:t>3</w:t>
    </w:r>
    <w:r w:rsidR="001072A1">
      <w:fldChar w:fldCharType="end"/>
    </w:r>
  </w:p>
  <w:p w:rsidR="001450FD" w:rsidRDefault="001450FD">
    <w:pPr>
      <w:jc w:val="right"/>
    </w:pPr>
  </w:p>
  <w:p w:rsidR="001450FD" w:rsidRDefault="001450F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EDF4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6ED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83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3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C8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8F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00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49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46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4D6C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2A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2C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C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F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A7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9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23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6A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491AB4"/>
    <w:multiLevelType w:val="hybridMultilevel"/>
    <w:tmpl w:val="F942EF68"/>
    <w:lvl w:ilvl="0" w:tplc="E1D8A5F4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5616" w:hanging="360"/>
      </w:pPr>
    </w:lvl>
    <w:lvl w:ilvl="2" w:tplc="04090005" w:tentative="1">
      <w:start w:val="1"/>
      <w:numFmt w:val="lowerRoman"/>
      <w:lvlText w:val="%3."/>
      <w:lvlJc w:val="right"/>
      <w:pPr>
        <w:ind w:left="6336" w:hanging="180"/>
      </w:pPr>
    </w:lvl>
    <w:lvl w:ilvl="3" w:tplc="04090001" w:tentative="1">
      <w:start w:val="1"/>
      <w:numFmt w:val="decimal"/>
      <w:lvlText w:val="%4."/>
      <w:lvlJc w:val="left"/>
      <w:pPr>
        <w:ind w:left="7056" w:hanging="360"/>
      </w:pPr>
    </w:lvl>
    <w:lvl w:ilvl="4" w:tplc="04090003" w:tentative="1">
      <w:start w:val="1"/>
      <w:numFmt w:val="lowerLetter"/>
      <w:lvlText w:val="%5."/>
      <w:lvlJc w:val="left"/>
      <w:pPr>
        <w:ind w:left="7776" w:hanging="360"/>
      </w:pPr>
    </w:lvl>
    <w:lvl w:ilvl="5" w:tplc="04090005" w:tentative="1">
      <w:start w:val="1"/>
      <w:numFmt w:val="lowerRoman"/>
      <w:lvlText w:val="%6."/>
      <w:lvlJc w:val="right"/>
      <w:pPr>
        <w:ind w:left="8496" w:hanging="180"/>
      </w:pPr>
    </w:lvl>
    <w:lvl w:ilvl="6" w:tplc="04090001" w:tentative="1">
      <w:start w:val="1"/>
      <w:numFmt w:val="decimal"/>
      <w:lvlText w:val="%7."/>
      <w:lvlJc w:val="left"/>
      <w:pPr>
        <w:ind w:left="9216" w:hanging="360"/>
      </w:pPr>
    </w:lvl>
    <w:lvl w:ilvl="7" w:tplc="04090003" w:tentative="1">
      <w:start w:val="1"/>
      <w:numFmt w:val="lowerLetter"/>
      <w:lvlText w:val="%8."/>
      <w:lvlJc w:val="left"/>
      <w:pPr>
        <w:ind w:left="9936" w:hanging="360"/>
      </w:pPr>
    </w:lvl>
    <w:lvl w:ilvl="8" w:tplc="04090005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4920CF8"/>
    <w:multiLevelType w:val="hybridMultilevel"/>
    <w:tmpl w:val="540240AC"/>
    <w:lvl w:ilvl="0" w:tplc="E4228D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ACD4C570" w:tentative="1">
      <w:start w:val="1"/>
      <w:numFmt w:val="lowerLetter"/>
      <w:lvlText w:val="%2."/>
      <w:lvlJc w:val="left"/>
      <w:pPr>
        <w:ind w:left="1800" w:hanging="360"/>
      </w:pPr>
    </w:lvl>
    <w:lvl w:ilvl="2" w:tplc="F2147968" w:tentative="1">
      <w:start w:val="1"/>
      <w:numFmt w:val="lowerRoman"/>
      <w:lvlText w:val="%3."/>
      <w:lvlJc w:val="right"/>
      <w:pPr>
        <w:ind w:left="2520" w:hanging="180"/>
      </w:pPr>
    </w:lvl>
    <w:lvl w:ilvl="3" w:tplc="0158F82C" w:tentative="1">
      <w:start w:val="1"/>
      <w:numFmt w:val="decimal"/>
      <w:lvlText w:val="%4."/>
      <w:lvlJc w:val="left"/>
      <w:pPr>
        <w:ind w:left="3240" w:hanging="360"/>
      </w:pPr>
    </w:lvl>
    <w:lvl w:ilvl="4" w:tplc="6ADE55CA" w:tentative="1">
      <w:start w:val="1"/>
      <w:numFmt w:val="lowerLetter"/>
      <w:lvlText w:val="%5."/>
      <w:lvlJc w:val="left"/>
      <w:pPr>
        <w:ind w:left="3960" w:hanging="360"/>
      </w:pPr>
    </w:lvl>
    <w:lvl w:ilvl="5" w:tplc="A0AA3C10" w:tentative="1">
      <w:start w:val="1"/>
      <w:numFmt w:val="lowerRoman"/>
      <w:lvlText w:val="%6."/>
      <w:lvlJc w:val="right"/>
      <w:pPr>
        <w:ind w:left="4680" w:hanging="180"/>
      </w:pPr>
    </w:lvl>
    <w:lvl w:ilvl="6" w:tplc="918AD59C" w:tentative="1">
      <w:start w:val="1"/>
      <w:numFmt w:val="decimal"/>
      <w:lvlText w:val="%7."/>
      <w:lvlJc w:val="left"/>
      <w:pPr>
        <w:ind w:left="5400" w:hanging="360"/>
      </w:pPr>
    </w:lvl>
    <w:lvl w:ilvl="7" w:tplc="38BA8022" w:tentative="1">
      <w:start w:val="1"/>
      <w:numFmt w:val="lowerLetter"/>
      <w:lvlText w:val="%8."/>
      <w:lvlJc w:val="left"/>
      <w:pPr>
        <w:ind w:left="6120" w:hanging="360"/>
      </w:pPr>
    </w:lvl>
    <w:lvl w:ilvl="8" w:tplc="13589C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92E95"/>
    <w:multiLevelType w:val="hybridMultilevel"/>
    <w:tmpl w:val="B2EC7BA8"/>
    <w:lvl w:ilvl="0" w:tplc="1CAA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5F96"/>
    <w:multiLevelType w:val="hybridMultilevel"/>
    <w:tmpl w:val="8DFA548C"/>
    <w:lvl w:ilvl="0" w:tplc="90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273E"/>
    <w:multiLevelType w:val="hybridMultilevel"/>
    <w:tmpl w:val="79460802"/>
    <w:lvl w:ilvl="0" w:tplc="040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5160370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160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AD6277"/>
    <w:multiLevelType w:val="hybridMultilevel"/>
    <w:tmpl w:val="64CED25A"/>
    <w:lvl w:ilvl="0" w:tplc="41F60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64D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2D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1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D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A1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CF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96E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F24ED"/>
    <w:multiLevelType w:val="hybridMultilevel"/>
    <w:tmpl w:val="5582D2AE"/>
    <w:lvl w:ilvl="0" w:tplc="5B600E1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7C0680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1D05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0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4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E9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B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8C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8F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5CD"/>
    <w:multiLevelType w:val="hybridMultilevel"/>
    <w:tmpl w:val="D9E00FA4"/>
    <w:lvl w:ilvl="0" w:tplc="636457FE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7CA777CB"/>
    <w:multiLevelType w:val="hybridMultilevel"/>
    <w:tmpl w:val="EF6496FA"/>
    <w:lvl w:ilvl="0" w:tplc="9C9A45D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F274097"/>
    <w:multiLevelType w:val="hybridMultilevel"/>
    <w:tmpl w:val="326E0DB6"/>
    <w:lvl w:ilvl="0" w:tplc="021677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2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8"/>
  </w:num>
  <w:num w:numId="16">
    <w:abstractNumId w:val="17"/>
  </w:num>
  <w:num w:numId="17">
    <w:abstractNumId w:val="16"/>
  </w:num>
  <w:num w:numId="18">
    <w:abstractNumId w:val="7"/>
  </w:num>
  <w:num w:numId="19">
    <w:abstractNumId w:val="9"/>
  </w:num>
  <w:num w:numId="2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01"/>
    <w:rsid w:val="001072A1"/>
    <w:rsid w:val="001450FD"/>
    <w:rsid w:val="0058557C"/>
    <w:rsid w:val="006D01A1"/>
    <w:rsid w:val="00792C01"/>
    <w:rsid w:val="00BB0DA8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FBF3C5"/>
  <w15:chartTrackingRefBased/>
  <w15:docId w15:val="{433B038C-6503-42E3-9D08-28C36CB1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569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CWS/7/10 (in Russian)</vt:lpstr>
      <vt:lpstr>CWS/7/5 (in English)</vt:lpstr>
    </vt:vector>
  </TitlesOfParts>
  <Company>WIPO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CWS/7/10 (in Russian)</dc:title>
  <dc:subject>ОТЧЕТ ЦЕЛЕВОЙ ГРУППЫ ПО ЦИФРОВОМУ ПРЕОБРАЗОВАНИЮ </dc:subject>
  <dc:creator>WIPO</dc:creator>
  <cp:keywords>CWS, WIPO</cp:keywords>
  <cp:lastModifiedBy>DRAKE Sophie</cp:lastModifiedBy>
  <cp:revision>5</cp:revision>
  <cp:lastPrinted>2011-02-15T11:56:00Z</cp:lastPrinted>
  <dcterms:created xsi:type="dcterms:W3CDTF">2019-05-22T09:07:00Z</dcterms:created>
  <dcterms:modified xsi:type="dcterms:W3CDTF">2019-05-27T07:35:00Z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