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1AD" w:rsidRPr="00C25E04" w14:paraId="7CF3CE3D" w14:textId="77777777" w:rsidTr="00575A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6966F82" w14:textId="77777777" w:rsidR="005611AD" w:rsidRPr="00C25E04" w:rsidRDefault="005611AD" w:rsidP="00575AF9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409DDF" w14:textId="77777777" w:rsidR="005611AD" w:rsidRPr="00C25E04" w:rsidRDefault="005611AD" w:rsidP="00575AF9">
            <w:pPr>
              <w:rPr>
                <w:lang w:val="fr-FR"/>
              </w:rPr>
            </w:pPr>
            <w:r w:rsidRPr="00C25E04">
              <w:rPr>
                <w:noProof/>
                <w:lang w:val="de-DE" w:eastAsia="de-DE"/>
              </w:rPr>
              <w:drawing>
                <wp:inline distT="0" distB="0" distL="0" distR="0" wp14:anchorId="1FFFA473" wp14:editId="2D54849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F5776F" w14:textId="77777777" w:rsidR="005611AD" w:rsidRPr="00C25E04" w:rsidRDefault="005611AD" w:rsidP="00575AF9">
            <w:pPr>
              <w:jc w:val="right"/>
              <w:rPr>
                <w:lang w:val="fr-FR"/>
              </w:rPr>
            </w:pPr>
            <w:r w:rsidRPr="00C25E0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611AD" w:rsidRPr="00C25E04" w14:paraId="0679A520" w14:textId="77777777" w:rsidTr="00575AF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03BF02C" w14:textId="77777777" w:rsidR="005611AD" w:rsidRPr="00C25E04" w:rsidRDefault="005611AD" w:rsidP="00575AF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25E04">
              <w:rPr>
                <w:rFonts w:ascii="Arial Black" w:hAnsi="Arial Black"/>
                <w:caps/>
                <w:sz w:val="15"/>
                <w:lang w:val="fr-FR"/>
              </w:rPr>
              <w:t>CWS/7/</w:t>
            </w:r>
            <w:bookmarkStart w:id="1" w:name="Code"/>
            <w:bookmarkEnd w:id="1"/>
            <w:r w:rsidRPr="00C25E04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  <w:tr w:rsidR="005611AD" w:rsidRPr="00C25E04" w14:paraId="075495BC" w14:textId="77777777" w:rsidTr="00575A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3C067A3" w14:textId="2A6E2FC6" w:rsidR="005611AD" w:rsidRPr="00C25E04" w:rsidRDefault="005611AD" w:rsidP="00575AF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25E0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D3DF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25E0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C25E04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611AD" w:rsidRPr="00C25E04" w14:paraId="69425531" w14:textId="77777777" w:rsidTr="00575A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30105A4" w14:textId="03263407" w:rsidR="005611AD" w:rsidRPr="00C25E04" w:rsidRDefault="005611AD" w:rsidP="00575AF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25E0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D3DF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25E0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C25E04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C25E04" w:rsidRPr="00C25E04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C25E0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25E04" w:rsidRPr="00C25E04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C25E0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25E04" w:rsidRPr="00C25E04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C25E04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14:paraId="7C1E976C" w14:textId="77777777" w:rsidR="00E31947" w:rsidRPr="00C25E04" w:rsidRDefault="00E31947" w:rsidP="005611AD">
      <w:pPr>
        <w:rPr>
          <w:lang w:val="fr-FR"/>
        </w:rPr>
      </w:pPr>
    </w:p>
    <w:p w14:paraId="3CA40BDC" w14:textId="77777777" w:rsidR="00E31947" w:rsidRPr="00C25E04" w:rsidRDefault="00E31947" w:rsidP="005611AD">
      <w:pPr>
        <w:rPr>
          <w:lang w:val="fr-FR"/>
        </w:rPr>
      </w:pPr>
    </w:p>
    <w:p w14:paraId="7C67DA0C" w14:textId="77777777" w:rsidR="00E31947" w:rsidRPr="00C25E04" w:rsidRDefault="00E31947" w:rsidP="005611AD">
      <w:pPr>
        <w:rPr>
          <w:lang w:val="fr-FR"/>
        </w:rPr>
      </w:pPr>
    </w:p>
    <w:p w14:paraId="37250A7A" w14:textId="77777777" w:rsidR="00E31947" w:rsidRPr="00C25E04" w:rsidRDefault="00E31947" w:rsidP="005611AD">
      <w:pPr>
        <w:rPr>
          <w:lang w:val="fr-FR"/>
        </w:rPr>
      </w:pPr>
    </w:p>
    <w:p w14:paraId="230FB793" w14:textId="77777777" w:rsidR="00E31947" w:rsidRPr="00C25E04" w:rsidRDefault="00E31947" w:rsidP="005611AD">
      <w:pPr>
        <w:rPr>
          <w:lang w:val="fr-FR"/>
        </w:rPr>
      </w:pPr>
    </w:p>
    <w:p w14:paraId="4A69586F" w14:textId="0CCADCDE" w:rsidR="00E31947" w:rsidRPr="00C25E04" w:rsidRDefault="008D3DFF" w:rsidP="005611A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Comité des normes de l’OMPI</w:t>
      </w:r>
      <w:r w:rsidR="005611AD" w:rsidRPr="00C25E04">
        <w:rPr>
          <w:b/>
          <w:sz w:val="28"/>
          <w:szCs w:val="28"/>
          <w:lang w:val="fr-FR"/>
        </w:rPr>
        <w:t xml:space="preserve"> (CWS)</w:t>
      </w:r>
    </w:p>
    <w:p w14:paraId="46727656" w14:textId="77777777" w:rsidR="00E31947" w:rsidRPr="00C25E04" w:rsidRDefault="00E31947" w:rsidP="005611AD">
      <w:pPr>
        <w:rPr>
          <w:lang w:val="fr-FR"/>
        </w:rPr>
      </w:pPr>
    </w:p>
    <w:p w14:paraId="30329D2E" w14:textId="77777777" w:rsidR="00E31947" w:rsidRPr="00C25E04" w:rsidRDefault="00E31947" w:rsidP="005611AD">
      <w:pPr>
        <w:rPr>
          <w:lang w:val="fr-FR"/>
        </w:rPr>
      </w:pPr>
    </w:p>
    <w:p w14:paraId="376D664D" w14:textId="3FBFAB72" w:rsidR="00E31947" w:rsidRPr="00C25E04" w:rsidRDefault="005611AD" w:rsidP="005611AD">
      <w:pPr>
        <w:rPr>
          <w:b/>
          <w:sz w:val="24"/>
          <w:szCs w:val="24"/>
          <w:lang w:val="fr-FR"/>
        </w:rPr>
      </w:pPr>
      <w:r w:rsidRPr="00C25E04">
        <w:rPr>
          <w:b/>
          <w:sz w:val="24"/>
          <w:szCs w:val="24"/>
          <w:lang w:val="fr-FR"/>
        </w:rPr>
        <w:t>Sept</w:t>
      </w:r>
      <w:r w:rsidR="002A616C">
        <w:rPr>
          <w:b/>
          <w:sz w:val="24"/>
          <w:szCs w:val="24"/>
          <w:lang w:val="fr-FR"/>
        </w:rPr>
        <w:t>ième session</w:t>
      </w:r>
    </w:p>
    <w:p w14:paraId="74C1EC2C" w14:textId="1F6AE1D3" w:rsidR="00E31947" w:rsidRPr="00C25E04" w:rsidRDefault="005611AD" w:rsidP="005611AD">
      <w:pPr>
        <w:rPr>
          <w:b/>
          <w:sz w:val="24"/>
          <w:szCs w:val="24"/>
          <w:lang w:val="fr-FR"/>
        </w:rPr>
      </w:pPr>
      <w:r w:rsidRPr="00C25E04">
        <w:rPr>
          <w:b/>
          <w:sz w:val="24"/>
          <w:szCs w:val="24"/>
          <w:lang w:val="fr-FR"/>
        </w:rPr>
        <w:t>Genève,</w:t>
      </w:r>
      <w:r w:rsidR="002A616C">
        <w:rPr>
          <w:b/>
          <w:sz w:val="24"/>
          <w:szCs w:val="24"/>
          <w:lang w:val="fr-FR"/>
        </w:rPr>
        <w:t xml:space="preserve"> 1</w:t>
      </w:r>
      <w:r w:rsidR="002A616C" w:rsidRPr="002A616C">
        <w:rPr>
          <w:b/>
          <w:sz w:val="24"/>
          <w:szCs w:val="24"/>
          <w:vertAlign w:val="superscript"/>
          <w:lang w:val="fr-FR"/>
        </w:rPr>
        <w:t>er</w:t>
      </w:r>
      <w:r w:rsidR="002A616C">
        <w:rPr>
          <w:b/>
          <w:sz w:val="24"/>
          <w:szCs w:val="24"/>
          <w:lang w:val="fr-FR"/>
        </w:rPr>
        <w:t> </w:t>
      </w:r>
      <w:r w:rsidRPr="00C25E04">
        <w:rPr>
          <w:b/>
          <w:sz w:val="24"/>
          <w:szCs w:val="24"/>
          <w:lang w:val="fr-FR"/>
        </w:rPr>
        <w:t xml:space="preserve">– </w:t>
      </w:r>
      <w:r w:rsidR="00C25E04" w:rsidRPr="00C25E04">
        <w:rPr>
          <w:b/>
          <w:sz w:val="24"/>
          <w:szCs w:val="24"/>
          <w:lang w:val="fr-FR"/>
        </w:rPr>
        <w:t>5</w:t>
      </w:r>
      <w:r w:rsidR="00C25E04">
        <w:rPr>
          <w:b/>
          <w:sz w:val="24"/>
          <w:szCs w:val="24"/>
          <w:lang w:val="fr-FR"/>
        </w:rPr>
        <w:t> </w:t>
      </w:r>
      <w:r w:rsidR="00C25E04" w:rsidRPr="00C25E04">
        <w:rPr>
          <w:b/>
          <w:sz w:val="24"/>
          <w:szCs w:val="24"/>
          <w:lang w:val="fr-FR"/>
        </w:rPr>
        <w:t>juillet</w:t>
      </w:r>
      <w:r w:rsidR="00C25E04">
        <w:rPr>
          <w:b/>
          <w:sz w:val="24"/>
          <w:szCs w:val="24"/>
          <w:lang w:val="fr-FR"/>
        </w:rPr>
        <w:t> </w:t>
      </w:r>
      <w:r w:rsidR="00C25E04" w:rsidRPr="00C25E04">
        <w:rPr>
          <w:b/>
          <w:sz w:val="24"/>
          <w:szCs w:val="24"/>
          <w:lang w:val="fr-FR"/>
        </w:rPr>
        <w:t>20</w:t>
      </w:r>
      <w:r w:rsidRPr="00C25E04">
        <w:rPr>
          <w:b/>
          <w:sz w:val="24"/>
          <w:szCs w:val="24"/>
          <w:lang w:val="fr-FR"/>
        </w:rPr>
        <w:t>19</w:t>
      </w:r>
    </w:p>
    <w:p w14:paraId="4E8E44E7" w14:textId="77777777" w:rsidR="00E31947" w:rsidRPr="00C25E04" w:rsidRDefault="00E31947" w:rsidP="005611AD">
      <w:pPr>
        <w:rPr>
          <w:lang w:val="fr-FR"/>
        </w:rPr>
      </w:pPr>
    </w:p>
    <w:p w14:paraId="42F62191" w14:textId="77777777" w:rsidR="00E31947" w:rsidRPr="00C25E04" w:rsidRDefault="00E31947" w:rsidP="005611AD">
      <w:pPr>
        <w:rPr>
          <w:lang w:val="fr-FR"/>
        </w:rPr>
      </w:pPr>
    </w:p>
    <w:p w14:paraId="777294BC" w14:textId="77777777" w:rsidR="00E31947" w:rsidRPr="00C25E04" w:rsidRDefault="00E31947" w:rsidP="005611AD">
      <w:pPr>
        <w:rPr>
          <w:lang w:val="fr-FR"/>
        </w:rPr>
      </w:pPr>
    </w:p>
    <w:p w14:paraId="5F870AE3" w14:textId="0FA3C3C1" w:rsidR="00E31947" w:rsidRPr="00C25E04" w:rsidRDefault="00FD59DD" w:rsidP="00FD59DD">
      <w:pPr>
        <w:rPr>
          <w:caps/>
          <w:sz w:val="24"/>
          <w:lang w:val="fr-FR"/>
        </w:rPr>
      </w:pPr>
      <w:bookmarkStart w:id="4" w:name="_GoBack"/>
      <w:r w:rsidRPr="005C4FCA">
        <w:rPr>
          <w:caps/>
          <w:sz w:val="24"/>
          <w:lang w:val="fr-FR"/>
        </w:rPr>
        <w:t>Résultats de l</w:t>
      </w:r>
      <w:r w:rsidR="002A616C">
        <w:rPr>
          <w:caps/>
          <w:sz w:val="24"/>
          <w:lang w:val="fr-FR"/>
        </w:rPr>
        <w:t>’</w:t>
      </w:r>
      <w:r w:rsidRPr="005C4FCA">
        <w:rPr>
          <w:caps/>
          <w:sz w:val="24"/>
          <w:lang w:val="fr-FR"/>
        </w:rPr>
        <w:t>enquête sur l</w:t>
      </w:r>
      <w:r w:rsidR="002A616C">
        <w:rPr>
          <w:caps/>
          <w:sz w:val="24"/>
          <w:lang w:val="fr-FR"/>
        </w:rPr>
        <w:t>’</w:t>
      </w:r>
      <w:r w:rsidRPr="005C4FCA">
        <w:rPr>
          <w:caps/>
          <w:sz w:val="24"/>
          <w:lang w:val="fr-FR"/>
        </w:rPr>
        <w:t>utilisation d</w:t>
      </w:r>
      <w:r w:rsidR="002A616C">
        <w:rPr>
          <w:caps/>
          <w:sz w:val="24"/>
          <w:lang w:val="fr-FR"/>
        </w:rPr>
        <w:t>’</w:t>
      </w:r>
      <w:r w:rsidRPr="005C4FCA">
        <w:rPr>
          <w:caps/>
          <w:sz w:val="24"/>
          <w:lang w:val="fr-FR"/>
        </w:rPr>
        <w:t>identifiants pour les déposants par les offices de propriété intellectuelle</w:t>
      </w:r>
    </w:p>
    <w:bookmarkEnd w:id="4"/>
    <w:p w14:paraId="5AB98BC5" w14:textId="77777777" w:rsidR="00E31947" w:rsidRPr="00C25E04" w:rsidRDefault="00E31947" w:rsidP="008B2CC1">
      <w:pPr>
        <w:rPr>
          <w:lang w:val="fr-FR"/>
        </w:rPr>
      </w:pPr>
    </w:p>
    <w:p w14:paraId="30EDA1B0" w14:textId="77777777" w:rsidR="00E31947" w:rsidRPr="00C25E04" w:rsidRDefault="00FD59DD" w:rsidP="00FD59DD">
      <w:pPr>
        <w:rPr>
          <w:i/>
          <w:lang w:val="fr-FR"/>
        </w:rPr>
      </w:pPr>
      <w:bookmarkStart w:id="5" w:name="Prepared"/>
      <w:bookmarkEnd w:id="5"/>
      <w:r w:rsidRPr="005C4FCA">
        <w:rPr>
          <w:i/>
          <w:lang w:val="fr-FR"/>
        </w:rPr>
        <w:t>Document établi par le Bureau international</w:t>
      </w:r>
    </w:p>
    <w:p w14:paraId="3FCA5615" w14:textId="77777777" w:rsidR="00E31947" w:rsidRPr="00C25E04" w:rsidRDefault="00E31947">
      <w:pPr>
        <w:rPr>
          <w:lang w:val="fr-FR"/>
        </w:rPr>
      </w:pPr>
    </w:p>
    <w:p w14:paraId="5055482F" w14:textId="77777777" w:rsidR="00E31947" w:rsidRPr="00C25E04" w:rsidRDefault="00E31947" w:rsidP="0053057A">
      <w:pPr>
        <w:rPr>
          <w:u w:val="single"/>
          <w:lang w:val="fr-FR"/>
        </w:rPr>
      </w:pPr>
    </w:p>
    <w:p w14:paraId="72BF03C5" w14:textId="77777777" w:rsidR="00E31947" w:rsidRPr="00C25E04" w:rsidRDefault="00E31947" w:rsidP="0053057A">
      <w:pPr>
        <w:rPr>
          <w:lang w:val="fr-FR"/>
        </w:rPr>
      </w:pPr>
    </w:p>
    <w:p w14:paraId="25008E76" w14:textId="1CB3513C" w:rsidR="00E31947" w:rsidRDefault="00E31947" w:rsidP="0053057A">
      <w:pPr>
        <w:rPr>
          <w:lang w:val="fr-FR"/>
        </w:rPr>
      </w:pPr>
    </w:p>
    <w:p w14:paraId="26401B0D" w14:textId="77777777" w:rsidR="00E273F8" w:rsidRPr="00C25E04" w:rsidRDefault="00E273F8" w:rsidP="0053057A">
      <w:pPr>
        <w:rPr>
          <w:lang w:val="fr-FR"/>
        </w:rPr>
      </w:pPr>
    </w:p>
    <w:p w14:paraId="607F136E" w14:textId="2908DD1A" w:rsidR="00E31947" w:rsidRPr="00C25E04" w:rsidRDefault="00E273F8" w:rsidP="00E273F8">
      <w:pPr>
        <w:pStyle w:val="Heading2"/>
        <w:spacing w:before="0"/>
        <w:rPr>
          <w:lang w:val="fr-FR"/>
        </w:rPr>
      </w:pPr>
      <w:r w:rsidRPr="005C4FCA">
        <w:rPr>
          <w:caps w:val="0"/>
          <w:lang w:val="fr-FR"/>
        </w:rPr>
        <w:t>INTRODUCTION</w:t>
      </w:r>
    </w:p>
    <w:p w14:paraId="36EAF4C4" w14:textId="42CE5FB5" w:rsidR="00C25E04" w:rsidRDefault="00FD59DD" w:rsidP="006F04F9">
      <w:pPr>
        <w:pStyle w:val="ONUMFS"/>
        <w:rPr>
          <w:lang w:val="fr-FR"/>
        </w:rPr>
      </w:pPr>
      <w:r w:rsidRPr="005C4FCA">
        <w:rPr>
          <w:lang w:val="fr-FR"/>
        </w:rPr>
        <w:t>À sa six</w:t>
      </w:r>
      <w:r w:rsidR="002A616C">
        <w:rPr>
          <w:lang w:val="fr-FR"/>
        </w:rPr>
        <w:t>ième session</w:t>
      </w:r>
      <w:r w:rsidR="002D7DDF" w:rsidRPr="005C4FCA">
        <w:rPr>
          <w:lang w:val="fr-FR"/>
        </w:rPr>
        <w:t xml:space="preserve"> tenue</w:t>
      </w:r>
      <w:r w:rsidRPr="005C4FCA">
        <w:rPr>
          <w:lang w:val="fr-FR"/>
        </w:rPr>
        <w:t xml:space="preserve"> </w:t>
      </w:r>
      <w:r w:rsidR="00C25E04" w:rsidRPr="005C4FCA">
        <w:rPr>
          <w:lang w:val="fr-FR"/>
        </w:rPr>
        <w:t>en 2018</w:t>
      </w:r>
      <w:r w:rsidRPr="005C4FCA">
        <w:rPr>
          <w:lang w:val="fr-FR"/>
        </w:rPr>
        <w:t xml:space="preserve">, le </w:t>
      </w:r>
      <w:r w:rsidR="008D3DFF">
        <w:rPr>
          <w:lang w:val="fr-FR"/>
        </w:rPr>
        <w:t>Comité des normes de l’OMPI</w:t>
      </w:r>
      <w:r w:rsidRPr="005C4FCA">
        <w:rPr>
          <w:lang w:val="fr-FR"/>
        </w:rPr>
        <w:t xml:space="preserve"> (CWS) a approuvé le questionnaire sur l</w:t>
      </w:r>
      <w:r w:rsidR="002A616C">
        <w:rPr>
          <w:lang w:val="fr-FR"/>
        </w:rPr>
        <w:t>’</w:t>
      </w:r>
      <w:r w:rsidRPr="005C4FCA">
        <w:rPr>
          <w:lang w:val="fr-FR"/>
        </w:rPr>
        <w:t>utilisation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identifiants pour les déposants par les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de propriété intellectuelle</w:t>
      </w:r>
      <w:r w:rsidR="008D3DFF">
        <w:rPr>
          <w:lang w:val="fr-FR"/>
        </w:rPr>
        <w:t xml:space="preserve">.  </w:t>
      </w:r>
      <w:r w:rsidR="00C25E04" w:rsidRPr="005C4FCA">
        <w:rPr>
          <w:lang w:val="fr-FR"/>
        </w:rPr>
        <w:t>Le</w:t>
      </w:r>
      <w:r w:rsidR="00C25E04">
        <w:rPr>
          <w:lang w:val="fr-FR"/>
        </w:rPr>
        <w:t> </w:t>
      </w:r>
      <w:r w:rsidR="00C25E04" w:rsidRPr="005C4FCA">
        <w:rPr>
          <w:lang w:val="fr-FR"/>
        </w:rPr>
        <w:t>CWS</w:t>
      </w:r>
      <w:r w:rsidRPr="005C4FCA">
        <w:rPr>
          <w:lang w:val="fr-FR"/>
        </w:rPr>
        <w:t xml:space="preserve"> a prié le Secrétariat de diffuser une circulaire invitant les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de propriété intellectuelle à participer à l</w:t>
      </w:r>
      <w:r w:rsidR="002A616C">
        <w:rPr>
          <w:lang w:val="fr-FR"/>
        </w:rPr>
        <w:t>’</w:t>
      </w:r>
      <w:r w:rsidRPr="005C4FCA">
        <w:rPr>
          <w:lang w:val="fr-FR"/>
        </w:rPr>
        <w:t>enquête sur les identifiants</w:t>
      </w:r>
      <w:r w:rsidR="00F23F38" w:rsidRPr="00C25E04">
        <w:rPr>
          <w:lang w:val="fr-FR"/>
        </w:rPr>
        <w:t xml:space="preserve"> </w:t>
      </w:r>
      <w:r w:rsidRPr="005C4FCA">
        <w:rPr>
          <w:lang w:val="fr-FR"/>
        </w:rPr>
        <w:t>(</w:t>
      </w:r>
      <w:r w:rsidRPr="00C25E04">
        <w:rPr>
          <w:color w:val="000000"/>
          <w:lang w:val="fr-FR"/>
        </w:rPr>
        <w:t>v</w:t>
      </w:r>
      <w:r w:rsidRPr="005C4FCA">
        <w:rPr>
          <w:lang w:val="fr-FR"/>
        </w:rPr>
        <w:t xml:space="preserve">oir les </w:t>
      </w:r>
      <w:r w:rsidR="00C25E04" w:rsidRPr="005C4FCA">
        <w:rPr>
          <w:lang w:val="fr-FR"/>
        </w:rPr>
        <w:t>paragraphes 1</w:t>
      </w:r>
      <w:r w:rsidRPr="005C4FCA">
        <w:rPr>
          <w:lang w:val="fr-FR"/>
        </w:rPr>
        <w:t xml:space="preserve">69 et 170 du </w:t>
      </w:r>
      <w:r w:rsidR="002A616C" w:rsidRPr="005C4FCA">
        <w:rPr>
          <w:lang w:val="fr-FR"/>
        </w:rPr>
        <w:t>document</w:t>
      </w:r>
      <w:r w:rsidR="002A616C">
        <w:rPr>
          <w:lang w:val="fr-FR"/>
        </w:rPr>
        <w:t xml:space="preserve"> </w:t>
      </w:r>
      <w:r w:rsidR="002A616C" w:rsidRPr="005C4FCA">
        <w:rPr>
          <w:lang w:val="fr-FR"/>
        </w:rPr>
        <w:t>CW</w:t>
      </w:r>
      <w:r w:rsidRPr="005C4FCA">
        <w:rPr>
          <w:lang w:val="fr-FR"/>
        </w:rPr>
        <w:t>S/6/34)</w:t>
      </w:r>
      <w:r w:rsidRPr="00C25E04">
        <w:rPr>
          <w:color w:val="000000"/>
          <w:lang w:val="fr-FR"/>
        </w:rPr>
        <w:t>.</w:t>
      </w:r>
    </w:p>
    <w:p w14:paraId="622009FB" w14:textId="6B6F43C0" w:rsidR="00E31947" w:rsidRPr="00C25E04" w:rsidRDefault="00FD59DD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En </w:t>
      </w:r>
      <w:r w:rsidR="00C25E04" w:rsidRPr="005C4FCA">
        <w:rPr>
          <w:lang w:val="fr-FR"/>
        </w:rPr>
        <w:t>novembre 20</w:t>
      </w:r>
      <w:r w:rsidRPr="005C4FCA">
        <w:rPr>
          <w:lang w:val="fr-FR"/>
        </w:rPr>
        <w:t xml:space="preserve">18, le Secrétariat a </w:t>
      </w:r>
      <w:r w:rsidR="002D7DDF">
        <w:rPr>
          <w:color w:val="000000"/>
          <w:lang w:val="fr-FR"/>
        </w:rPr>
        <w:t>diffusé</w:t>
      </w:r>
      <w:r w:rsidR="002D7DDF" w:rsidRPr="00C25E04">
        <w:rPr>
          <w:color w:val="000000"/>
          <w:lang w:val="fr-FR"/>
        </w:rPr>
        <w:t xml:space="preserve"> </w:t>
      </w:r>
      <w:r w:rsidRPr="005C4FCA">
        <w:rPr>
          <w:lang w:val="fr-FR"/>
        </w:rPr>
        <w:t>la circulaire</w:t>
      </w:r>
      <w:r w:rsidR="001134FC" w:rsidRPr="005C4FCA">
        <w:rPr>
          <w:lang w:val="fr-FR"/>
        </w:rPr>
        <w:t> </w:t>
      </w:r>
      <w:r w:rsidRPr="005C4FCA">
        <w:rPr>
          <w:lang w:val="fr-FR"/>
        </w:rPr>
        <w:t>C.CWS</w:t>
      </w:r>
      <w:r w:rsidRPr="00C25E04">
        <w:rPr>
          <w:color w:val="000000"/>
          <w:lang w:val="fr-FR"/>
        </w:rPr>
        <w:t>.</w:t>
      </w:r>
      <w:r w:rsidRPr="005C4FCA">
        <w:rPr>
          <w:lang w:val="fr-FR"/>
        </w:rPr>
        <w:t xml:space="preserve">110 </w:t>
      </w:r>
      <w:r w:rsidRPr="00C25E04">
        <w:rPr>
          <w:color w:val="000000"/>
          <w:lang w:val="fr-FR"/>
        </w:rPr>
        <w:t xml:space="preserve">afin de demander </w:t>
      </w:r>
      <w:r w:rsidRPr="005C4FCA">
        <w:rPr>
          <w:lang w:val="fr-FR"/>
        </w:rPr>
        <w:t xml:space="preserve">aux offices de propriété </w:t>
      </w:r>
      <w:r w:rsidRPr="00C25E04">
        <w:rPr>
          <w:color w:val="000000"/>
          <w:lang w:val="fr-FR"/>
        </w:rPr>
        <w:t xml:space="preserve">intellectuelle de </w:t>
      </w:r>
      <w:r w:rsidRPr="005C4FCA">
        <w:rPr>
          <w:lang w:val="fr-FR"/>
        </w:rPr>
        <w:t>désigner des représentants pour participer à l</w:t>
      </w:r>
      <w:r w:rsidR="002A616C">
        <w:rPr>
          <w:lang w:val="fr-FR"/>
        </w:rPr>
        <w:t>’</w:t>
      </w:r>
      <w:r w:rsidRPr="005C4FCA">
        <w:rPr>
          <w:lang w:val="fr-FR"/>
        </w:rPr>
        <w:t>enquête.</w:t>
      </w:r>
    </w:p>
    <w:p w14:paraId="65E120EE" w14:textId="26EA343A" w:rsidR="00E31947" w:rsidRPr="00C25E04" w:rsidRDefault="008C1823" w:rsidP="00FD59DD">
      <w:pPr>
        <w:pStyle w:val="Heading2"/>
        <w:rPr>
          <w:lang w:val="fr-FR"/>
        </w:rPr>
      </w:pPr>
      <w:r w:rsidRPr="005C4FCA">
        <w:rPr>
          <w:caps w:val="0"/>
          <w:lang w:val="fr-FR"/>
        </w:rPr>
        <w:t>RESULTATS DE L</w:t>
      </w:r>
      <w:r>
        <w:rPr>
          <w:caps w:val="0"/>
          <w:lang w:val="fr-FR"/>
        </w:rPr>
        <w:t>’</w:t>
      </w:r>
      <w:r w:rsidRPr="005C4FCA">
        <w:rPr>
          <w:caps w:val="0"/>
          <w:lang w:val="fr-FR"/>
        </w:rPr>
        <w:t>ENQUETE</w:t>
      </w:r>
    </w:p>
    <w:p w14:paraId="475B4578" w14:textId="21A5206E" w:rsidR="00E31947" w:rsidRPr="00C25E04" w:rsidRDefault="00627DCE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La présente enquête a été menée de </w:t>
      </w:r>
      <w:r w:rsidR="00C25E04" w:rsidRPr="005C4FCA">
        <w:rPr>
          <w:lang w:val="fr-FR"/>
        </w:rPr>
        <w:t>décembre 20</w:t>
      </w:r>
      <w:r w:rsidRPr="005C4FCA">
        <w:rPr>
          <w:lang w:val="fr-FR"/>
        </w:rPr>
        <w:t xml:space="preserve">18 à </w:t>
      </w:r>
      <w:r w:rsidR="00C25E04" w:rsidRPr="005C4FCA">
        <w:rPr>
          <w:lang w:val="fr-FR"/>
        </w:rPr>
        <w:t>mars 20</w:t>
      </w:r>
      <w:r w:rsidRPr="005C4FCA">
        <w:rPr>
          <w:lang w:val="fr-FR"/>
        </w:rPr>
        <w:t xml:space="preserve">19, au moyen du </w:t>
      </w:r>
      <w:proofErr w:type="gramStart"/>
      <w:r w:rsidRPr="005C4FCA">
        <w:rPr>
          <w:lang w:val="fr-FR"/>
        </w:rPr>
        <w:t>questionnaire</w:t>
      </w:r>
      <w:proofErr w:type="gramEnd"/>
      <w:r w:rsidRPr="005C4FCA">
        <w:rPr>
          <w:lang w:val="fr-FR"/>
        </w:rPr>
        <w:t xml:space="preserve"> approuvé par</w:t>
      </w:r>
      <w:r w:rsidR="00C25E04" w:rsidRPr="005C4FCA">
        <w:rPr>
          <w:lang w:val="fr-FR"/>
        </w:rPr>
        <w:t xml:space="preserve"> le CWS</w:t>
      </w:r>
      <w:r w:rsidR="008D3DFF">
        <w:rPr>
          <w:lang w:val="fr-FR"/>
        </w:rPr>
        <w:t xml:space="preserve">.  </w:t>
      </w:r>
      <w:r w:rsidR="00C25E04" w:rsidRPr="005C4FCA">
        <w:rPr>
          <w:lang w:val="fr-FR"/>
        </w:rPr>
        <w:t>Trente</w:t>
      </w:r>
      <w:r w:rsidR="002A616C">
        <w:rPr>
          <w:lang w:val="fr-FR"/>
        </w:rPr>
        <w:t>-</w:t>
      </w:r>
      <w:r w:rsidR="00C25E04" w:rsidRPr="005C4FCA">
        <w:rPr>
          <w:lang w:val="fr-FR"/>
        </w:rPr>
        <w:t>neuf</w:t>
      </w:r>
      <w:r w:rsidRPr="005C4FCA">
        <w:rPr>
          <w:lang w:val="fr-FR"/>
        </w:rPr>
        <w:t xml:space="preserve">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ont répondu à la circulaire pour demander un lien vers l</w:t>
      </w:r>
      <w:r w:rsidR="002A616C">
        <w:rPr>
          <w:lang w:val="fr-FR"/>
        </w:rPr>
        <w:t>’</w:t>
      </w:r>
      <w:r w:rsidRPr="005C4FCA">
        <w:rPr>
          <w:lang w:val="fr-FR"/>
        </w:rPr>
        <w:t>enquête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>Vingt</w:t>
      </w:r>
      <w:r w:rsidR="002A616C">
        <w:rPr>
          <w:lang w:val="fr-FR"/>
        </w:rPr>
        <w:t>-</w:t>
      </w:r>
      <w:r w:rsidR="00353717" w:rsidRPr="005C4FCA">
        <w:rPr>
          <w:lang w:val="fr-FR"/>
        </w:rPr>
        <w:t>trois o</w:t>
      </w:r>
      <w:r w:rsidRPr="005C4FCA">
        <w:rPr>
          <w:lang w:val="fr-FR"/>
        </w:rPr>
        <w:t xml:space="preserve">ffices ont </w:t>
      </w:r>
      <w:r w:rsidRPr="00C25E04">
        <w:rPr>
          <w:color w:val="000000"/>
          <w:lang w:val="fr-FR"/>
        </w:rPr>
        <w:t>répondu</w:t>
      </w:r>
      <w:r w:rsidRPr="005C4FCA">
        <w:rPr>
          <w:lang w:val="fr-FR"/>
        </w:rPr>
        <w:t xml:space="preserve"> à l</w:t>
      </w:r>
      <w:r w:rsidR="002A616C">
        <w:rPr>
          <w:lang w:val="fr-FR"/>
        </w:rPr>
        <w:t>’</w:t>
      </w:r>
      <w:r w:rsidRPr="005C4FCA">
        <w:rPr>
          <w:lang w:val="fr-FR"/>
        </w:rPr>
        <w:t>enquête</w:t>
      </w:r>
      <w:r w:rsidR="008D3DFF">
        <w:rPr>
          <w:lang w:val="fr-FR"/>
        </w:rPr>
        <w:t xml:space="preserve">.  </w:t>
      </w:r>
      <w:r w:rsidRPr="00C25E04">
        <w:rPr>
          <w:color w:val="000000"/>
          <w:lang w:val="fr-FR"/>
        </w:rPr>
        <w:t>Le Bureau international de l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OMPI a analysé les réponses et établi le rapport suivant pour examen par</w:t>
      </w:r>
      <w:r w:rsidR="00C25E04" w:rsidRPr="00C25E04">
        <w:rPr>
          <w:color w:val="000000"/>
          <w:lang w:val="fr-FR"/>
        </w:rPr>
        <w:t xml:space="preserve"> le</w:t>
      </w:r>
      <w:r w:rsidR="00C25E04">
        <w:rPr>
          <w:color w:val="000000"/>
          <w:lang w:val="fr-FR"/>
        </w:rPr>
        <w:t> </w:t>
      </w:r>
      <w:r w:rsidR="00C25E04" w:rsidRPr="00C25E04">
        <w:rPr>
          <w:color w:val="000000"/>
          <w:lang w:val="fr-FR"/>
        </w:rPr>
        <w:t>CWS</w:t>
      </w:r>
      <w:r w:rsidR="008D3DFF">
        <w:rPr>
          <w:color w:val="000000"/>
          <w:lang w:val="fr-FR"/>
        </w:rPr>
        <w:t xml:space="preserve">.  </w:t>
      </w:r>
      <w:r w:rsidRPr="00C25E04">
        <w:rPr>
          <w:color w:val="000000"/>
          <w:lang w:val="fr-FR"/>
        </w:rPr>
        <w:t>Les réponses individuelles ou collectives peuvent être consultées dans leur intégralité à l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adresse [</w:t>
      </w:r>
      <w:hyperlink r:id="rId8" w:history="1">
        <w:r w:rsidR="008D3DFF" w:rsidRPr="00E273F8">
          <w:rPr>
            <w:rStyle w:val="Hyperlink"/>
          </w:rPr>
          <w:t>https:</w:t>
        </w:r>
        <w:r w:rsidRPr="00E273F8">
          <w:rPr>
            <w:rStyle w:val="Hyperlink"/>
          </w:rPr>
          <w:t>//www.wipo.int/edocs/mdocs/classifications/en/cws_7/cws_7_8</w:t>
        </w:r>
        <w:r w:rsidR="002A616C" w:rsidRPr="00E273F8">
          <w:rPr>
            <w:rStyle w:val="Hyperlink"/>
          </w:rPr>
          <w:t>-</w:t>
        </w:r>
        <w:r w:rsidRPr="00E273F8">
          <w:rPr>
            <w:rStyle w:val="Hyperlink"/>
          </w:rPr>
          <w:t>related1.zip</w:t>
        </w:r>
      </w:hyperlink>
      <w:r w:rsidRPr="00C25E04">
        <w:rPr>
          <w:color w:val="000000"/>
          <w:lang w:val="fr-FR"/>
        </w:rPr>
        <w:t>].</w:t>
      </w:r>
    </w:p>
    <w:p w14:paraId="6A4CFBBB" w14:textId="0CDFF39E" w:rsidR="00E31947" w:rsidRPr="00C25E04" w:rsidRDefault="00627DCE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Le questionnaire </w:t>
      </w:r>
      <w:r w:rsidR="001660E8" w:rsidRPr="005C4FCA">
        <w:rPr>
          <w:lang w:val="fr-FR"/>
        </w:rPr>
        <w:t>contenait</w:t>
      </w:r>
      <w:r w:rsidRPr="005C4FCA">
        <w:rPr>
          <w:lang w:val="fr-FR"/>
        </w:rPr>
        <w:t xml:space="preserve"> </w:t>
      </w:r>
      <w:r w:rsidRPr="00C25E04">
        <w:rPr>
          <w:color w:val="000000"/>
          <w:lang w:val="fr-FR"/>
        </w:rPr>
        <w:t xml:space="preserve">des </w:t>
      </w:r>
      <w:r w:rsidRPr="005C4FCA">
        <w:rPr>
          <w:lang w:val="fr-FR"/>
        </w:rPr>
        <w:t>questions relatives à l</w:t>
      </w:r>
      <w:r w:rsidR="002A616C">
        <w:rPr>
          <w:lang w:val="fr-FR"/>
        </w:rPr>
        <w:t>’</w:t>
      </w:r>
      <w:r w:rsidRPr="005C4FCA">
        <w:rPr>
          <w:lang w:val="fr-FR"/>
        </w:rPr>
        <w:t>utilisation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identifiants pour les noms des déposants par les offices de propriété </w:t>
      </w:r>
      <w:r w:rsidRPr="00C25E04">
        <w:rPr>
          <w:color w:val="000000"/>
          <w:lang w:val="fr-FR"/>
        </w:rPr>
        <w:t>intellectuelle</w:t>
      </w:r>
      <w:r w:rsidR="008D3DFF">
        <w:rPr>
          <w:lang w:val="fr-FR"/>
        </w:rPr>
        <w:t xml:space="preserve">.  </w:t>
      </w:r>
      <w:r w:rsidR="00C84627" w:rsidRPr="00C25E04">
        <w:rPr>
          <w:color w:val="000000"/>
          <w:lang w:val="fr-FR"/>
        </w:rPr>
        <w:t xml:space="preserve">Il </w:t>
      </w:r>
      <w:r w:rsidR="00482B72">
        <w:rPr>
          <w:color w:val="000000"/>
          <w:lang w:val="fr-FR"/>
        </w:rPr>
        <w:t>contenait</w:t>
      </w:r>
      <w:r w:rsidR="00C84627" w:rsidRPr="005C4FCA">
        <w:rPr>
          <w:lang w:val="fr-FR"/>
        </w:rPr>
        <w:t xml:space="preserve"> notamment de</w:t>
      </w:r>
      <w:r w:rsidR="00C84627" w:rsidRPr="00C25E04">
        <w:rPr>
          <w:color w:val="000000"/>
          <w:lang w:val="fr-FR"/>
        </w:rPr>
        <w:t>s</w:t>
      </w:r>
      <w:r w:rsidR="00C84627" w:rsidRPr="005C4FCA">
        <w:rPr>
          <w:lang w:val="fr-FR"/>
        </w:rPr>
        <w:t xml:space="preserve"> questions sur les avantages et les inconvénients </w:t>
      </w:r>
      <w:r w:rsidR="000B70CF">
        <w:rPr>
          <w:color w:val="000000"/>
          <w:lang w:val="fr-FR"/>
        </w:rPr>
        <w:t>liés à</w:t>
      </w:r>
      <w:r w:rsidR="00C84627" w:rsidRPr="00C25E04">
        <w:rPr>
          <w:color w:val="000000"/>
          <w:lang w:val="fr-FR"/>
        </w:rPr>
        <w:t xml:space="preserve"> l</w:t>
      </w:r>
      <w:r w:rsidR="002A616C">
        <w:rPr>
          <w:color w:val="000000"/>
          <w:lang w:val="fr-FR"/>
        </w:rPr>
        <w:t>’</w:t>
      </w:r>
      <w:r w:rsidR="00C84627" w:rsidRPr="00C25E04">
        <w:rPr>
          <w:color w:val="000000"/>
          <w:lang w:val="fr-FR"/>
        </w:rPr>
        <w:t>utilisation d</w:t>
      </w:r>
      <w:r w:rsidR="002A616C">
        <w:rPr>
          <w:color w:val="000000"/>
          <w:lang w:val="fr-FR"/>
        </w:rPr>
        <w:t>’</w:t>
      </w:r>
      <w:r w:rsidR="00C84627" w:rsidRPr="00C25E04">
        <w:rPr>
          <w:color w:val="000000"/>
          <w:lang w:val="fr-FR"/>
        </w:rPr>
        <w:t>identifiants</w:t>
      </w:r>
      <w:r w:rsidR="00C84627" w:rsidRPr="005C4FCA">
        <w:rPr>
          <w:lang w:val="fr-FR"/>
        </w:rPr>
        <w:t xml:space="preserve"> </w:t>
      </w:r>
      <w:r w:rsidR="00C84627" w:rsidRPr="00C25E04">
        <w:rPr>
          <w:color w:val="000000"/>
          <w:lang w:val="fr-FR"/>
        </w:rPr>
        <w:t>pour les déposants</w:t>
      </w:r>
      <w:r w:rsidR="00C84627" w:rsidRPr="005C4FCA">
        <w:rPr>
          <w:lang w:val="fr-FR"/>
        </w:rPr>
        <w:t xml:space="preserve">, sur la manière dont les offices de propriété </w:t>
      </w:r>
      <w:r w:rsidR="00C84627" w:rsidRPr="00C25E04">
        <w:rPr>
          <w:color w:val="000000"/>
          <w:lang w:val="fr-FR"/>
        </w:rPr>
        <w:t>intellectuelle attribuent les identifiants</w:t>
      </w:r>
      <w:r w:rsidR="00C84627" w:rsidRPr="005C4FCA">
        <w:rPr>
          <w:lang w:val="fr-FR"/>
        </w:rPr>
        <w:t xml:space="preserve"> et sur les </w:t>
      </w:r>
      <w:r w:rsidR="00C84627" w:rsidRPr="00C25E04">
        <w:rPr>
          <w:color w:val="000000"/>
          <w:lang w:val="fr-FR"/>
        </w:rPr>
        <w:t xml:space="preserve">projets </w:t>
      </w:r>
      <w:r w:rsidR="00C84627" w:rsidRPr="005C4FCA">
        <w:rPr>
          <w:lang w:val="fr-FR"/>
        </w:rPr>
        <w:t xml:space="preserve">des offices de propriété </w:t>
      </w:r>
      <w:r w:rsidR="00C84627" w:rsidRPr="00C25E04">
        <w:rPr>
          <w:color w:val="000000"/>
          <w:lang w:val="fr-FR"/>
        </w:rPr>
        <w:t>intellectuelle</w:t>
      </w:r>
      <w:r w:rsidR="00C84627" w:rsidRPr="005C4FCA">
        <w:rPr>
          <w:lang w:val="fr-FR"/>
        </w:rPr>
        <w:t xml:space="preserve"> </w:t>
      </w:r>
      <w:r w:rsidR="00C84627" w:rsidRPr="00C25E04">
        <w:rPr>
          <w:color w:val="000000"/>
          <w:lang w:val="fr-FR"/>
        </w:rPr>
        <w:t>concernant l</w:t>
      </w:r>
      <w:r w:rsidR="002A616C">
        <w:rPr>
          <w:color w:val="000000"/>
          <w:lang w:val="fr-FR"/>
        </w:rPr>
        <w:t>’</w:t>
      </w:r>
      <w:r w:rsidR="00C84627" w:rsidRPr="00C25E04">
        <w:rPr>
          <w:color w:val="000000"/>
          <w:lang w:val="fr-FR"/>
        </w:rPr>
        <w:t>utilisation d</w:t>
      </w:r>
      <w:r w:rsidR="002A616C">
        <w:rPr>
          <w:color w:val="000000"/>
          <w:lang w:val="fr-FR"/>
        </w:rPr>
        <w:t>’</w:t>
      </w:r>
      <w:r w:rsidR="00C84627" w:rsidRPr="00C25E04">
        <w:rPr>
          <w:color w:val="000000"/>
          <w:lang w:val="fr-FR"/>
        </w:rPr>
        <w:t>identifiants.</w:t>
      </w:r>
    </w:p>
    <w:p w14:paraId="1CF71B6C" w14:textId="72B887F2" w:rsidR="00E31947" w:rsidRPr="00C25E04" w:rsidRDefault="00C84627" w:rsidP="006F04F9">
      <w:pPr>
        <w:pStyle w:val="ONUMFS"/>
        <w:rPr>
          <w:rStyle w:val="BodyTextChar"/>
          <w:lang w:val="fr-FR"/>
        </w:rPr>
      </w:pPr>
      <w:r w:rsidRPr="005C4FCA">
        <w:rPr>
          <w:lang w:val="fr-FR"/>
        </w:rPr>
        <w:lastRenderedPageBreak/>
        <w:t xml:space="preserve">Les </w:t>
      </w:r>
      <w:r w:rsidRPr="00C25E04">
        <w:rPr>
          <w:color w:val="000000"/>
          <w:lang w:val="fr-FR"/>
        </w:rPr>
        <w:t xml:space="preserve">offices des </w:t>
      </w:r>
      <w:r w:rsidRPr="005C4FCA">
        <w:rPr>
          <w:lang w:val="fr-FR"/>
        </w:rPr>
        <w:t>23</w:t>
      </w:r>
      <w:r w:rsidR="001134FC" w:rsidRPr="005C4FCA">
        <w:rPr>
          <w:lang w:val="fr-FR"/>
        </w:rPr>
        <w:t> </w:t>
      </w:r>
      <w:r w:rsidRPr="00C25E04">
        <w:rPr>
          <w:color w:val="000000"/>
          <w:lang w:val="fr-FR"/>
        </w:rPr>
        <w:t xml:space="preserve">États </w:t>
      </w:r>
      <w:r w:rsidRPr="005C4FCA">
        <w:rPr>
          <w:lang w:val="fr-FR"/>
        </w:rPr>
        <w:t>ci</w:t>
      </w:r>
      <w:r w:rsidR="002A616C">
        <w:rPr>
          <w:lang w:val="fr-FR"/>
        </w:rPr>
        <w:t>-</w:t>
      </w:r>
      <w:r w:rsidRPr="005C4FCA">
        <w:rPr>
          <w:lang w:val="fr-FR"/>
        </w:rPr>
        <w:t>après ont participé à l</w:t>
      </w:r>
      <w:r w:rsidR="002A616C">
        <w:rPr>
          <w:lang w:val="fr-FR"/>
        </w:rPr>
        <w:t>’</w:t>
      </w:r>
      <w:r w:rsidRPr="005C4FCA">
        <w:rPr>
          <w:lang w:val="fr-FR"/>
        </w:rPr>
        <w:t>enquête</w:t>
      </w:r>
      <w:r w:rsidR="008D3DFF">
        <w:rPr>
          <w:lang w:val="fr-FR"/>
        </w:rPr>
        <w:t> :</w:t>
      </w:r>
    </w:p>
    <w:tbl>
      <w:tblPr>
        <w:tblW w:w="3795" w:type="dxa"/>
        <w:tblInd w:w="93" w:type="dxa"/>
        <w:tblLook w:val="0000" w:firstRow="0" w:lastRow="0" w:firstColumn="0" w:lastColumn="0" w:noHBand="0" w:noVBand="0"/>
      </w:tblPr>
      <w:tblGrid>
        <w:gridCol w:w="960"/>
        <w:gridCol w:w="2835"/>
      </w:tblGrid>
      <w:tr w:rsidR="008A238F" w:rsidRPr="00C25E04" w14:paraId="331AD897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84BCB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AU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09B83" w14:textId="0BFD123B" w:rsidR="008A238F" w:rsidRPr="00C25E04" w:rsidRDefault="00C84627" w:rsidP="00C84627">
            <w:pPr>
              <w:keepNext/>
              <w:keepLines/>
              <w:spacing w:line="360" w:lineRule="auto"/>
              <w:rPr>
                <w:lang w:val="fr-FR"/>
              </w:rPr>
            </w:pPr>
            <w:r w:rsidRPr="005C4FCA">
              <w:rPr>
                <w:lang w:val="fr-FR"/>
              </w:rPr>
              <w:t>Australie</w:t>
            </w:r>
          </w:p>
        </w:tc>
      </w:tr>
      <w:tr w:rsidR="008A238F" w:rsidRPr="00C25E04" w14:paraId="33DA5613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3F731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EE093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Canada</w:t>
            </w:r>
          </w:p>
        </w:tc>
      </w:tr>
      <w:tr w:rsidR="008A238F" w:rsidRPr="00C25E04" w14:paraId="1F620A2F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D53E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CH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8A28" w14:textId="2080AEEA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Suisse</w:t>
            </w:r>
          </w:p>
        </w:tc>
      </w:tr>
      <w:tr w:rsidR="008A238F" w:rsidRPr="00C25E04" w14:paraId="06E4723E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64E6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CN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48B64" w14:textId="699AB2BA" w:rsidR="008A238F" w:rsidRPr="00C25E04" w:rsidRDefault="008A238F" w:rsidP="00C84627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Chin</w:t>
            </w:r>
            <w:r w:rsidR="00C84627" w:rsidRPr="00C25E04">
              <w:rPr>
                <w:lang w:val="fr-FR"/>
              </w:rPr>
              <w:t>e</w:t>
            </w:r>
          </w:p>
        </w:tc>
      </w:tr>
      <w:tr w:rsidR="008A238F" w:rsidRPr="00C25E04" w14:paraId="11470C1E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F721E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CO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9A836" w14:textId="2DC578A4" w:rsidR="008A238F" w:rsidRPr="00C25E04" w:rsidRDefault="008A238F" w:rsidP="00C84627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Colombi</w:t>
            </w:r>
            <w:r w:rsidR="00C84627" w:rsidRPr="00C25E04">
              <w:rPr>
                <w:lang w:val="fr-FR"/>
              </w:rPr>
              <w:t>e</w:t>
            </w:r>
          </w:p>
        </w:tc>
      </w:tr>
      <w:tr w:rsidR="008A238F" w:rsidRPr="00C25E04" w14:paraId="6C1C8586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8EF9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CR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1C982" w14:textId="1AF84BCE" w:rsidR="008A238F" w:rsidRPr="00C25E04" w:rsidRDefault="008D3DFF" w:rsidP="008A238F">
            <w:pPr>
              <w:keepNext/>
              <w:keepLines/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Costa Rica</w:t>
            </w:r>
          </w:p>
        </w:tc>
      </w:tr>
      <w:tr w:rsidR="008A238F" w:rsidRPr="00C25E04" w14:paraId="084A454D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B44EA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CZ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F99C1" w14:textId="252A6092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République tchèque</w:t>
            </w:r>
          </w:p>
        </w:tc>
      </w:tr>
      <w:tr w:rsidR="008A238F" w:rsidRPr="00C25E04" w14:paraId="44A517C4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59B1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A900C" w14:textId="5EFB6143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Allemagne</w:t>
            </w:r>
          </w:p>
        </w:tc>
      </w:tr>
      <w:tr w:rsidR="008A238F" w:rsidRPr="00C25E04" w14:paraId="23533D70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9A44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DO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3D0EF" w14:textId="5F477BEF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République dominicaine</w:t>
            </w:r>
          </w:p>
        </w:tc>
      </w:tr>
      <w:tr w:rsidR="008A238F" w:rsidRPr="00C25E04" w14:paraId="58C7C86C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B8A5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EE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06C4F" w14:textId="6E12A563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Estonie</w:t>
            </w:r>
          </w:p>
        </w:tc>
      </w:tr>
      <w:tr w:rsidR="008A238F" w:rsidRPr="00C25E04" w14:paraId="7AEFA88F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BA25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C7ED" w14:textId="51A51D08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Espagne</w:t>
            </w:r>
          </w:p>
        </w:tc>
      </w:tr>
      <w:tr w:rsidR="008A238F" w:rsidRPr="00C25E04" w14:paraId="662C5724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7181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GB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94FEE" w14:textId="189A230F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Royaume</w:t>
            </w:r>
            <w:r w:rsidR="002A616C">
              <w:rPr>
                <w:lang w:val="fr-FR"/>
              </w:rPr>
              <w:t>-</w:t>
            </w:r>
            <w:r w:rsidRPr="00C25E04">
              <w:rPr>
                <w:lang w:val="fr-FR"/>
              </w:rPr>
              <w:t>Uni</w:t>
            </w:r>
          </w:p>
        </w:tc>
      </w:tr>
      <w:tr w:rsidR="008A238F" w:rsidRPr="00C25E04" w14:paraId="0A669E49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FFAE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HR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89CDE" w14:textId="276D8A23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Croatie</w:t>
            </w:r>
          </w:p>
        </w:tc>
      </w:tr>
      <w:tr w:rsidR="008A238F" w:rsidRPr="00C25E04" w14:paraId="7F870068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FB63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IT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2C687" w14:textId="62CACBF3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Italie</w:t>
            </w:r>
          </w:p>
        </w:tc>
      </w:tr>
      <w:tr w:rsidR="008A238F" w:rsidRPr="00C25E04" w14:paraId="59836344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8E0A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JP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10400" w14:textId="1E5F0595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Japon</w:t>
            </w:r>
          </w:p>
        </w:tc>
      </w:tr>
      <w:tr w:rsidR="008A238F" w:rsidRPr="00C25E04" w14:paraId="044ABCAF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1DDE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KR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A9249" w14:textId="59C99FAE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République de Corée</w:t>
            </w:r>
          </w:p>
        </w:tc>
      </w:tr>
      <w:tr w:rsidR="008A238F" w:rsidRPr="00C25E04" w14:paraId="272C4153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47F6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MD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67FA9" w14:textId="1D994534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République de Moldova</w:t>
            </w:r>
          </w:p>
        </w:tc>
      </w:tr>
      <w:tr w:rsidR="008A238F" w:rsidRPr="00C25E04" w14:paraId="19DB546D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2D934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NZ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387BE" w14:textId="633585F2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Nouvelle</w:t>
            </w:r>
            <w:r w:rsidR="002A616C">
              <w:rPr>
                <w:lang w:val="fr-FR"/>
              </w:rPr>
              <w:t>-</w:t>
            </w:r>
            <w:r w:rsidRPr="00C25E04">
              <w:rPr>
                <w:lang w:val="fr-FR"/>
              </w:rPr>
              <w:t>Zélande</w:t>
            </w:r>
          </w:p>
        </w:tc>
      </w:tr>
      <w:tr w:rsidR="008A238F" w:rsidRPr="00C25E04" w14:paraId="52623F5E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8941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RU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4A2C" w14:textId="7FC9D7C5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Fédération de Russie</w:t>
            </w:r>
          </w:p>
        </w:tc>
      </w:tr>
      <w:tr w:rsidR="008A238F" w:rsidRPr="00C25E04" w14:paraId="3A1D2F5E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DAA2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13864" w14:textId="77595485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Suède</w:t>
            </w:r>
          </w:p>
        </w:tc>
      </w:tr>
      <w:tr w:rsidR="008A238F" w:rsidRPr="00C25E04" w14:paraId="0B06BDB0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EF73A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SK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29E3" w14:textId="42EF0DC8" w:rsidR="008A238F" w:rsidRPr="00C25E04" w:rsidRDefault="00C84627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Slovaquie</w:t>
            </w:r>
          </w:p>
        </w:tc>
      </w:tr>
      <w:tr w:rsidR="008A238F" w:rsidRPr="00C25E04" w14:paraId="7FD27CEA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7C2B6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UA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57550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lang w:val="fr-FR"/>
              </w:rPr>
            </w:pPr>
            <w:r w:rsidRPr="00C25E04">
              <w:rPr>
                <w:lang w:val="fr-FR"/>
              </w:rPr>
              <w:t>Ukraine</w:t>
            </w:r>
          </w:p>
        </w:tc>
      </w:tr>
      <w:tr w:rsidR="008A238F" w:rsidRPr="00C25E04" w14:paraId="3CE6790A" w14:textId="77777777" w:rsidTr="008A23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0AC7" w14:textId="77777777" w:rsidR="008A238F" w:rsidRPr="00C25E04" w:rsidRDefault="008A238F" w:rsidP="008A238F">
            <w:pPr>
              <w:keepNext/>
              <w:keepLines/>
              <w:spacing w:line="360" w:lineRule="auto"/>
              <w:rPr>
                <w:color w:val="000000"/>
                <w:lang w:val="fr-FR"/>
              </w:rPr>
            </w:pPr>
            <w:r w:rsidRPr="00C25E04">
              <w:rPr>
                <w:color w:val="000000"/>
                <w:lang w:val="fr-FR"/>
              </w:rPr>
              <w:t>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D522D" w14:textId="40809BF8" w:rsidR="008A238F" w:rsidRPr="00C25E04" w:rsidRDefault="008D3DFF" w:rsidP="008A238F">
            <w:pPr>
              <w:keepNext/>
              <w:keepLines/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États-Unis d’Amérique</w:t>
            </w:r>
          </w:p>
        </w:tc>
      </w:tr>
    </w:tbl>
    <w:p w14:paraId="4EE3ADE3" w14:textId="77777777" w:rsidR="00E31947" w:rsidRPr="00C25E04" w:rsidRDefault="00E31947" w:rsidP="00061FE7">
      <w:pPr>
        <w:spacing w:line="360" w:lineRule="auto"/>
        <w:rPr>
          <w:lang w:val="fr-FR"/>
        </w:rPr>
      </w:pPr>
    </w:p>
    <w:p w14:paraId="0D915A5A" w14:textId="68159441" w:rsidR="00E31947" w:rsidRPr="00C25E04" w:rsidRDefault="00D40292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Le présent rapport </w:t>
      </w:r>
      <w:r w:rsidRPr="00C25E04">
        <w:rPr>
          <w:lang w:val="fr-FR"/>
        </w:rPr>
        <w:t xml:space="preserve">présente </w:t>
      </w:r>
      <w:r w:rsidRPr="005C4FCA">
        <w:rPr>
          <w:lang w:val="fr-FR"/>
        </w:rPr>
        <w:t>un résumé des réponses au questionnaire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Dans </w:t>
      </w:r>
      <w:r w:rsidR="00A83DD4" w:rsidRPr="005C4FCA">
        <w:rPr>
          <w:lang w:val="fr-FR"/>
        </w:rPr>
        <w:t>ce</w:t>
      </w:r>
      <w:r w:rsidRPr="005C4FCA">
        <w:rPr>
          <w:lang w:val="fr-FR"/>
        </w:rPr>
        <w:t xml:space="preserve"> rapport, </w:t>
      </w:r>
      <w:r w:rsidR="00C122B6" w:rsidRPr="00C25E04">
        <w:rPr>
          <w:lang w:val="fr-FR"/>
        </w:rPr>
        <w:t>pour plus de clarté ou de concision, ou à des fins de traduction ou d</w:t>
      </w:r>
      <w:r w:rsidR="002A616C">
        <w:rPr>
          <w:lang w:val="fr-FR"/>
        </w:rPr>
        <w:t>’</w:t>
      </w:r>
      <w:r w:rsidR="00C122B6" w:rsidRPr="00C25E04">
        <w:rPr>
          <w:lang w:val="fr-FR"/>
        </w:rPr>
        <w:t>harmonisation</w:t>
      </w:r>
      <w:r w:rsidR="00C122B6">
        <w:rPr>
          <w:lang w:val="fr-FR"/>
        </w:rPr>
        <w:t>,</w:t>
      </w:r>
      <w:r w:rsidR="00C122B6" w:rsidRPr="005C4FCA">
        <w:rPr>
          <w:lang w:val="fr-FR"/>
        </w:rPr>
        <w:t xml:space="preserve"> </w:t>
      </w:r>
      <w:r w:rsidRPr="005C4FCA">
        <w:rPr>
          <w:lang w:val="fr-FR"/>
        </w:rPr>
        <w:t>certaines observations</w:t>
      </w:r>
      <w:r w:rsidRPr="00C25E04">
        <w:rPr>
          <w:lang w:val="fr-FR"/>
        </w:rPr>
        <w:t xml:space="preserve"> ont été reformulées à partir des réponses originales des offices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Tout écart </w:t>
      </w:r>
      <w:r w:rsidRPr="00C25E04">
        <w:rPr>
          <w:lang w:val="fr-FR"/>
        </w:rPr>
        <w:t>par rapport au sens de l</w:t>
      </w:r>
      <w:r w:rsidR="002A616C">
        <w:rPr>
          <w:lang w:val="fr-FR"/>
        </w:rPr>
        <w:t>’</w:t>
      </w:r>
      <w:r w:rsidRPr="00C25E04">
        <w:rPr>
          <w:lang w:val="fr-FR"/>
        </w:rPr>
        <w:t>observation originale n</w:t>
      </w:r>
      <w:r w:rsidR="002A616C">
        <w:rPr>
          <w:lang w:val="fr-FR"/>
        </w:rPr>
        <w:t>’</w:t>
      </w:r>
      <w:r w:rsidRPr="00C25E04">
        <w:rPr>
          <w:lang w:val="fr-FR"/>
        </w:rPr>
        <w:t>est pas intentionnel</w:t>
      </w:r>
      <w:r w:rsidR="008D3DFF">
        <w:rPr>
          <w:lang w:val="fr-FR"/>
        </w:rPr>
        <w:t xml:space="preserve">.  </w:t>
      </w:r>
      <w:r w:rsidRPr="00C25E04">
        <w:rPr>
          <w:lang w:val="fr-FR"/>
        </w:rPr>
        <w:t>Le questionnaire comport</w:t>
      </w:r>
      <w:r w:rsidR="00A67225">
        <w:rPr>
          <w:lang w:val="fr-FR"/>
        </w:rPr>
        <w:t>ait</w:t>
      </w:r>
      <w:r w:rsidR="008D3DFF">
        <w:rPr>
          <w:lang w:val="fr-FR"/>
        </w:rPr>
        <w:t xml:space="preserve"> trois </w:t>
      </w:r>
      <w:r w:rsidRPr="00C25E04">
        <w:rPr>
          <w:lang w:val="fr-FR"/>
        </w:rPr>
        <w:t>parties</w:t>
      </w:r>
      <w:r w:rsidR="008D3DFF">
        <w:rPr>
          <w:lang w:val="fr-FR"/>
        </w:rPr>
        <w:t xml:space="preserve">.  </w:t>
      </w:r>
      <w:r w:rsidRPr="00C25E04">
        <w:rPr>
          <w:lang w:val="fr-FR"/>
        </w:rPr>
        <w:t>On trouvera ci</w:t>
      </w:r>
      <w:r w:rsidR="002A616C">
        <w:rPr>
          <w:lang w:val="fr-FR"/>
        </w:rPr>
        <w:t>-</w:t>
      </w:r>
      <w:r w:rsidRPr="00C25E04">
        <w:rPr>
          <w:lang w:val="fr-FR"/>
        </w:rPr>
        <w:t xml:space="preserve">après un résumé de chacune </w:t>
      </w:r>
      <w:r w:rsidR="00A67225">
        <w:rPr>
          <w:lang w:val="fr-FR"/>
        </w:rPr>
        <w:t>des</w:t>
      </w:r>
      <w:r w:rsidRPr="00C25E04">
        <w:rPr>
          <w:lang w:val="fr-FR"/>
        </w:rPr>
        <w:t xml:space="preserve"> parties.</w:t>
      </w:r>
    </w:p>
    <w:p w14:paraId="746DB676" w14:textId="6B6A4F5E" w:rsidR="00E31947" w:rsidRPr="00C25E04" w:rsidRDefault="00D40292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Vingt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</w:t>
      </w:r>
      <w:r w:rsidRPr="00C25E04">
        <w:rPr>
          <w:color w:val="000000"/>
          <w:lang w:val="fr-FR"/>
        </w:rPr>
        <w:t>ont</w:t>
      </w:r>
      <w:r w:rsidRPr="005C4FCA">
        <w:rPr>
          <w:lang w:val="fr-FR"/>
        </w:rPr>
        <w:t xml:space="preserve"> répondu aux questions </w:t>
      </w:r>
      <w:r w:rsidRPr="00C25E04">
        <w:rPr>
          <w:color w:val="000000"/>
          <w:lang w:val="fr-FR"/>
        </w:rPr>
        <w:t>figurant dans</w:t>
      </w:r>
      <w:r w:rsidRPr="005C4FCA">
        <w:rPr>
          <w:lang w:val="fr-FR"/>
        </w:rPr>
        <w:t xml:space="preserve"> la partie A</w:t>
      </w:r>
      <w:r w:rsidR="002D7DDF" w:rsidRPr="005C4FCA">
        <w:rPr>
          <w:lang w:val="fr-FR"/>
        </w:rPr>
        <w:t>,</w:t>
      </w:r>
      <w:r w:rsidRPr="005C4FCA">
        <w:rPr>
          <w:lang w:val="fr-FR"/>
        </w:rPr>
        <w:t xml:space="preserve"> </w:t>
      </w:r>
      <w:r w:rsidRPr="00C25E04">
        <w:rPr>
          <w:color w:val="000000"/>
          <w:lang w:val="fr-FR"/>
        </w:rPr>
        <w:t>qui s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adressait aux offices utilisant ou prévoyant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utiliser des identifiants</w:t>
      </w:r>
      <w:r w:rsidR="008D3DFF">
        <w:rPr>
          <w:lang w:val="fr-FR"/>
        </w:rPr>
        <w:t>.  Quatre </w:t>
      </w:r>
      <w:r w:rsidRPr="005C4FCA">
        <w:rPr>
          <w:lang w:val="fr-FR"/>
        </w:rPr>
        <w:t xml:space="preserve">offices (CA, CR, DO, US) ont répondu aux questions figurant dans la partie B </w:t>
      </w:r>
      <w:r w:rsidRPr="00C25E04">
        <w:rPr>
          <w:color w:val="000000"/>
          <w:lang w:val="fr-FR"/>
        </w:rPr>
        <w:t>qui s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adressait aux</w:t>
      </w:r>
      <w:r w:rsidRPr="005C4FCA">
        <w:rPr>
          <w:lang w:val="fr-FR"/>
        </w:rPr>
        <w:t xml:space="preserve"> offices</w:t>
      </w:r>
      <w:r w:rsidRPr="00C25E04">
        <w:rPr>
          <w:color w:val="000000"/>
          <w:lang w:val="fr-FR"/>
        </w:rPr>
        <w:t xml:space="preserve"> </w:t>
      </w:r>
      <w:r w:rsidR="00D06013">
        <w:rPr>
          <w:color w:val="000000"/>
          <w:lang w:val="fr-FR"/>
        </w:rPr>
        <w:t>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 xml:space="preserve">utilisant pas </w:t>
      </w:r>
      <w:r w:rsidR="00D06013">
        <w:rPr>
          <w:color w:val="000000"/>
          <w:lang w:val="fr-FR"/>
        </w:rPr>
        <w:t>d</w:t>
      </w:r>
      <w:r w:rsidR="002A616C">
        <w:rPr>
          <w:color w:val="000000"/>
          <w:lang w:val="fr-FR"/>
        </w:rPr>
        <w:t>’</w:t>
      </w:r>
      <w:r w:rsidR="00D06013">
        <w:rPr>
          <w:color w:val="000000"/>
          <w:lang w:val="fr-FR"/>
        </w:rPr>
        <w:t xml:space="preserve">identifiants </w:t>
      </w:r>
      <w:r w:rsidRPr="00C25E04">
        <w:rPr>
          <w:color w:val="000000"/>
          <w:lang w:val="fr-FR"/>
        </w:rPr>
        <w:t>ou ne prévoyant pas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en utiliser</w:t>
      </w:r>
      <w:r w:rsidR="008D3DFF">
        <w:rPr>
          <w:lang w:val="fr-FR"/>
        </w:rPr>
        <w:t xml:space="preserve">.  </w:t>
      </w:r>
      <w:r w:rsidRPr="00C25E04">
        <w:rPr>
          <w:color w:val="000000"/>
          <w:lang w:val="fr-FR"/>
        </w:rPr>
        <w:t>Un office a répondu aux questions figurant dans les</w:t>
      </w:r>
      <w:r w:rsidR="008D3DFF">
        <w:rPr>
          <w:color w:val="000000"/>
          <w:lang w:val="fr-FR"/>
        </w:rPr>
        <w:t xml:space="preserve"> deux </w:t>
      </w:r>
      <w:r w:rsidRPr="00C25E04">
        <w:rPr>
          <w:color w:val="000000"/>
          <w:lang w:val="fr-FR"/>
        </w:rPr>
        <w:t>parties.</w:t>
      </w:r>
    </w:p>
    <w:p w14:paraId="36DEFB38" w14:textId="49E99AC9" w:rsidR="00E31947" w:rsidRPr="00C25E04" w:rsidRDefault="00AB7E57" w:rsidP="00482F0F">
      <w:pPr>
        <w:pStyle w:val="Heading3"/>
        <w:keepLines/>
        <w:rPr>
          <w:lang w:val="fr-FR"/>
        </w:rPr>
      </w:pPr>
      <w:r w:rsidRPr="00C25E04">
        <w:rPr>
          <w:lang w:val="fr-FR"/>
        </w:rPr>
        <w:t>Part</w:t>
      </w:r>
      <w:r w:rsidR="00D40292" w:rsidRPr="00C25E04">
        <w:rPr>
          <w:lang w:val="fr-FR"/>
        </w:rPr>
        <w:t>ie</w:t>
      </w:r>
      <w:r w:rsidRPr="00C25E04">
        <w:rPr>
          <w:lang w:val="fr-FR"/>
        </w:rPr>
        <w:t xml:space="preserve"> A </w:t>
      </w:r>
      <w:r w:rsidR="00D40292" w:rsidRPr="00C25E04">
        <w:rPr>
          <w:lang w:val="fr-FR"/>
        </w:rPr>
        <w:t>–</w:t>
      </w:r>
      <w:r w:rsidRPr="00C25E04">
        <w:rPr>
          <w:lang w:val="fr-FR"/>
        </w:rPr>
        <w:t xml:space="preserve"> </w:t>
      </w:r>
      <w:r w:rsidR="00D40292" w:rsidRPr="00C25E04">
        <w:rPr>
          <w:lang w:val="fr-FR"/>
        </w:rPr>
        <w:t>Utilisation d</w:t>
      </w:r>
      <w:r w:rsidR="002A616C">
        <w:rPr>
          <w:lang w:val="fr-FR"/>
        </w:rPr>
        <w:t>’</w:t>
      </w:r>
      <w:r w:rsidR="00D40292" w:rsidRPr="00C25E04">
        <w:rPr>
          <w:lang w:val="fr-FR"/>
        </w:rPr>
        <w:t>identifiants</w:t>
      </w:r>
    </w:p>
    <w:p w14:paraId="0F39BA17" w14:textId="5179DC37" w:rsidR="00E31947" w:rsidRPr="00C25E04" w:rsidRDefault="00A11154" w:rsidP="006F04F9">
      <w:pPr>
        <w:pStyle w:val="ONUMFS"/>
        <w:rPr>
          <w:lang w:val="fr-FR"/>
        </w:rPr>
      </w:pPr>
      <w:r w:rsidRPr="005C4FCA">
        <w:rPr>
          <w:lang w:val="fr-FR"/>
        </w:rPr>
        <w:t>La première partie de l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enquête </w:t>
      </w:r>
      <w:r w:rsidR="00535252" w:rsidRPr="005C4FCA">
        <w:rPr>
          <w:lang w:val="fr-FR"/>
        </w:rPr>
        <w:t>contenait</w:t>
      </w:r>
      <w:r w:rsidRPr="005C4FCA">
        <w:rPr>
          <w:lang w:val="fr-FR"/>
        </w:rPr>
        <w:t xml:space="preserve"> des questions sur l</w:t>
      </w:r>
      <w:r w:rsidR="002A616C">
        <w:rPr>
          <w:lang w:val="fr-FR"/>
        </w:rPr>
        <w:t>’</w:t>
      </w:r>
      <w:r w:rsidRPr="005C4FCA">
        <w:rPr>
          <w:lang w:val="fr-FR"/>
        </w:rPr>
        <w:t>utilisation ou l</w:t>
      </w:r>
      <w:r w:rsidR="002A616C">
        <w:rPr>
          <w:lang w:val="fr-FR"/>
        </w:rPr>
        <w:t>’</w:t>
      </w:r>
      <w:r w:rsidRPr="005C4FCA">
        <w:rPr>
          <w:lang w:val="fr-FR"/>
        </w:rPr>
        <w:t>utilisation prévue d</w:t>
      </w:r>
      <w:r w:rsidR="002A616C">
        <w:rPr>
          <w:color w:val="000000"/>
          <w:lang w:val="fr-FR"/>
        </w:rPr>
        <w:t>’</w:t>
      </w:r>
      <w:r w:rsidRPr="005C4FCA">
        <w:rPr>
          <w:lang w:val="fr-FR"/>
        </w:rPr>
        <w:t>identifiants par les offices de propriété intellectuelle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Les réponses </w:t>
      </w:r>
      <w:r w:rsidRPr="00C25E04">
        <w:rPr>
          <w:color w:val="000000"/>
          <w:lang w:val="fr-FR"/>
        </w:rPr>
        <w:t xml:space="preserve">indiquent </w:t>
      </w:r>
      <w:r w:rsidRPr="005C4FCA">
        <w:rPr>
          <w:lang w:val="fr-FR"/>
        </w:rPr>
        <w:t>que</w:t>
      </w:r>
      <w:r w:rsidRPr="00C25E04">
        <w:rPr>
          <w:color w:val="000000"/>
          <w:lang w:val="fr-FR"/>
        </w:rPr>
        <w:t>, pour</w:t>
      </w:r>
      <w:r w:rsidRPr="005C4FCA">
        <w:rPr>
          <w:lang w:val="fr-FR"/>
        </w:rPr>
        <w:t xml:space="preserve"> la plupart des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</w:t>
      </w:r>
      <w:r w:rsidRPr="00C25E04">
        <w:rPr>
          <w:color w:val="000000"/>
          <w:lang w:val="fr-FR"/>
        </w:rPr>
        <w:t>,</w:t>
      </w:r>
      <w:r w:rsidRPr="005C4FCA">
        <w:rPr>
          <w:lang w:val="fr-FR"/>
        </w:rPr>
        <w:t xml:space="preserve"> les principaux avantages des identifiants sont </w:t>
      </w:r>
      <w:r w:rsidRPr="00C25E04">
        <w:rPr>
          <w:color w:val="000000"/>
          <w:lang w:val="fr-FR"/>
        </w:rPr>
        <w:t>qu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ils permettent à l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office</w:t>
      </w:r>
      <w:r w:rsidR="008D3DFF">
        <w:rPr>
          <w:color w:val="000000"/>
          <w:lang w:val="fr-FR"/>
        </w:rPr>
        <w:t> :</w:t>
      </w:r>
    </w:p>
    <w:p w14:paraId="2F2D0C8B" w14:textId="63D8AA21" w:rsidR="00E31947" w:rsidRPr="00C25E04" w:rsidRDefault="00A11154" w:rsidP="00A11154">
      <w:pPr>
        <w:pStyle w:val="ListParagraph"/>
        <w:keepNext/>
        <w:keepLines/>
        <w:numPr>
          <w:ilvl w:val="0"/>
          <w:numId w:val="9"/>
        </w:numPr>
        <w:spacing w:after="60"/>
        <w:contextualSpacing w:val="0"/>
        <w:rPr>
          <w:szCs w:val="22"/>
          <w:lang w:val="fr-FR"/>
        </w:rPr>
      </w:pPr>
      <w:proofErr w:type="gramStart"/>
      <w:r w:rsidRPr="00C25E04">
        <w:rPr>
          <w:color w:val="000000"/>
          <w:szCs w:val="22"/>
          <w:lang w:val="fr-FR"/>
        </w:rPr>
        <w:t>de</w:t>
      </w:r>
      <w:proofErr w:type="gramEnd"/>
      <w:r w:rsidRPr="00C25E04">
        <w:rPr>
          <w:color w:val="000000"/>
          <w:szCs w:val="22"/>
          <w:lang w:val="fr-FR"/>
        </w:rPr>
        <w:t xml:space="preserve"> gérer efficacement les informations concernant le déposant (95%)</w:t>
      </w:r>
      <w:r w:rsidR="008D3DFF">
        <w:rPr>
          <w:color w:val="000000"/>
          <w:szCs w:val="22"/>
          <w:lang w:val="fr-FR"/>
        </w:rPr>
        <w:t xml:space="preserve">;  </w:t>
      </w:r>
      <w:r w:rsidRPr="00C25E04">
        <w:rPr>
          <w:color w:val="000000"/>
          <w:szCs w:val="22"/>
          <w:lang w:val="fr-FR"/>
        </w:rPr>
        <w:t>et</w:t>
      </w:r>
    </w:p>
    <w:p w14:paraId="331A1CCF" w14:textId="77777777" w:rsidR="00E31947" w:rsidRPr="00C25E04" w:rsidRDefault="00A11154" w:rsidP="00A11154">
      <w:pPr>
        <w:pStyle w:val="ListParagraph"/>
        <w:keepNext/>
        <w:keepLines/>
        <w:numPr>
          <w:ilvl w:val="0"/>
          <w:numId w:val="9"/>
        </w:numPr>
        <w:spacing w:after="220"/>
        <w:contextualSpacing w:val="0"/>
        <w:rPr>
          <w:szCs w:val="22"/>
          <w:lang w:val="fr-FR"/>
        </w:rPr>
      </w:pPr>
      <w:proofErr w:type="gramStart"/>
      <w:r w:rsidRPr="005C4FCA">
        <w:rPr>
          <w:szCs w:val="22"/>
          <w:lang w:val="fr-FR"/>
        </w:rPr>
        <w:t>de</w:t>
      </w:r>
      <w:proofErr w:type="gramEnd"/>
      <w:r w:rsidRPr="005C4FCA">
        <w:rPr>
          <w:szCs w:val="22"/>
          <w:lang w:val="fr-FR"/>
        </w:rPr>
        <w:t xml:space="preserve"> modifier facilement et de manière simultanée les informations concernant le déposant dans tous les dossiers pertinents</w:t>
      </w:r>
      <w:r w:rsidRPr="00C25E04">
        <w:rPr>
          <w:color w:val="000000"/>
          <w:szCs w:val="22"/>
          <w:lang w:val="fr-FR"/>
        </w:rPr>
        <w:t xml:space="preserve"> (85%)</w:t>
      </w:r>
      <w:r w:rsidRPr="005C4FCA">
        <w:rPr>
          <w:szCs w:val="22"/>
          <w:lang w:val="fr-FR"/>
        </w:rPr>
        <w:t>.</w:t>
      </w:r>
    </w:p>
    <w:p w14:paraId="4430B3BD" w14:textId="789A9BA4" w:rsidR="00E31947" w:rsidRPr="00C25E04" w:rsidRDefault="00A11154" w:rsidP="00A11154">
      <w:pPr>
        <w:pStyle w:val="BodyText"/>
        <w:rPr>
          <w:lang w:val="fr-FR"/>
        </w:rPr>
      </w:pPr>
      <w:r w:rsidRPr="00C25E04">
        <w:rPr>
          <w:color w:val="000000"/>
          <w:lang w:val="fr-FR"/>
        </w:rPr>
        <w:t>Moins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un tiers des offices de propriété intellectuelle ayant répondu à l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 xml:space="preserve">enquête ont </w:t>
      </w:r>
      <w:r w:rsidR="00136EE2">
        <w:rPr>
          <w:color w:val="000000"/>
          <w:lang w:val="fr-FR"/>
        </w:rPr>
        <w:t>indiqué</w:t>
      </w:r>
      <w:r w:rsidRPr="00C25E04">
        <w:rPr>
          <w:color w:val="000000"/>
          <w:lang w:val="fr-FR"/>
        </w:rPr>
        <w:t xml:space="preserve"> d</w:t>
      </w:r>
      <w:r w:rsidR="002A616C">
        <w:rPr>
          <w:lang w:val="fr-FR"/>
        </w:rPr>
        <w:t>’</w:t>
      </w:r>
      <w:r w:rsidRPr="005C4FCA">
        <w:rPr>
          <w:lang w:val="fr-FR"/>
        </w:rPr>
        <w:t>autres réponses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>Cependant, l</w:t>
      </w:r>
      <w:r w:rsidR="002A616C">
        <w:rPr>
          <w:lang w:val="fr-FR"/>
        </w:rPr>
        <w:t>’</w:t>
      </w:r>
      <w:r w:rsidRPr="005C4FCA">
        <w:rPr>
          <w:lang w:val="fr-FR"/>
        </w:rPr>
        <w:t>éventail des réponses, dont</w:t>
      </w:r>
      <w:r w:rsidR="008D3DFF">
        <w:rPr>
          <w:lang w:val="fr-FR"/>
        </w:rPr>
        <w:t xml:space="preserve"> six </w:t>
      </w:r>
      <w:r w:rsidRPr="005C4FCA">
        <w:rPr>
          <w:lang w:val="fr-FR"/>
        </w:rPr>
        <w:t xml:space="preserve">options </w:t>
      </w:r>
      <w:r w:rsidRPr="00C25E04">
        <w:rPr>
          <w:color w:val="000000"/>
          <w:lang w:val="fr-FR"/>
        </w:rPr>
        <w:t xml:space="preserve">ajoutées à la rubrique </w:t>
      </w:r>
      <w:r w:rsidR="00C25E04">
        <w:rPr>
          <w:color w:val="000000"/>
          <w:lang w:val="fr-FR"/>
        </w:rPr>
        <w:t>“</w:t>
      </w:r>
      <w:r w:rsidR="00C25E04" w:rsidRPr="00C25E04">
        <w:rPr>
          <w:color w:val="000000"/>
          <w:lang w:val="fr-FR"/>
        </w:rPr>
        <w:t>a</w:t>
      </w:r>
      <w:r w:rsidRPr="00C25E04">
        <w:rPr>
          <w:color w:val="000000"/>
          <w:lang w:val="fr-FR"/>
        </w:rPr>
        <w:t>utr</w:t>
      </w:r>
      <w:r w:rsidR="00C25E04" w:rsidRPr="00C25E04">
        <w:rPr>
          <w:color w:val="000000"/>
          <w:lang w:val="fr-FR"/>
        </w:rPr>
        <w:t>e</w:t>
      </w:r>
      <w:r w:rsidR="00C25E04">
        <w:rPr>
          <w:color w:val="000000"/>
          <w:lang w:val="fr-FR"/>
        </w:rPr>
        <w:t>”</w:t>
      </w:r>
      <w:r w:rsidRPr="005C4FCA">
        <w:rPr>
          <w:lang w:val="fr-FR"/>
        </w:rPr>
        <w:t xml:space="preserve">, </w:t>
      </w:r>
      <w:r w:rsidRPr="00C25E04">
        <w:rPr>
          <w:color w:val="000000"/>
          <w:lang w:val="fr-FR"/>
        </w:rPr>
        <w:t>indique</w:t>
      </w:r>
      <w:r w:rsidRPr="005C4FCA">
        <w:rPr>
          <w:lang w:val="fr-FR"/>
        </w:rPr>
        <w:t xml:space="preserve"> que, dans l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ensemble, </w:t>
      </w:r>
      <w:r w:rsidRPr="00C25E04">
        <w:rPr>
          <w:color w:val="000000"/>
          <w:lang w:val="fr-FR"/>
        </w:rPr>
        <w:t>l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utilisation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identifiants pour les déposants présente de nombreux avantages potentiels pour les offices de propriété intellectuelle</w:t>
      </w:r>
      <w:r w:rsidRPr="005C4FCA">
        <w:rPr>
          <w:lang w:val="fr-FR"/>
        </w:rPr>
        <w:t>.</w:t>
      </w:r>
    </w:p>
    <w:p w14:paraId="37A1AE44" w14:textId="2AAF1A8E" w:rsidR="002A616C" w:rsidRDefault="002D44B8" w:rsidP="006F04F9">
      <w:pPr>
        <w:pStyle w:val="ONUMFS"/>
        <w:rPr>
          <w:lang w:val="fr-FR"/>
        </w:rPr>
      </w:pPr>
      <w:r w:rsidRPr="00C25E04">
        <w:rPr>
          <w:lang w:val="fr-FR"/>
        </w:rPr>
        <w:t>En ce qui concerne les</w:t>
      </w:r>
      <w:r w:rsidRPr="005C4FCA">
        <w:rPr>
          <w:lang w:val="fr-FR"/>
        </w:rPr>
        <w:t xml:space="preserve"> avantages </w:t>
      </w:r>
      <w:r w:rsidRPr="00C25E04">
        <w:rPr>
          <w:lang w:val="fr-FR"/>
        </w:rPr>
        <w:t>que présente l</w:t>
      </w:r>
      <w:r w:rsidR="002A616C">
        <w:rPr>
          <w:lang w:val="fr-FR"/>
        </w:rPr>
        <w:t>’</w:t>
      </w:r>
      <w:r w:rsidRPr="00C25E04">
        <w:rPr>
          <w:lang w:val="fr-FR"/>
        </w:rPr>
        <w:t>utilisation d</w:t>
      </w:r>
      <w:r w:rsidR="002A616C">
        <w:rPr>
          <w:lang w:val="fr-FR"/>
        </w:rPr>
        <w:t>’</w:t>
      </w:r>
      <w:r w:rsidRPr="00C25E04">
        <w:rPr>
          <w:lang w:val="fr-FR"/>
        </w:rPr>
        <w:t>identifiants pour les déposants et les utilisateurs de l</w:t>
      </w:r>
      <w:r w:rsidR="002A616C">
        <w:rPr>
          <w:lang w:val="fr-FR"/>
        </w:rPr>
        <w:t>’</w:t>
      </w:r>
      <w:r w:rsidRPr="00C25E04">
        <w:rPr>
          <w:lang w:val="fr-FR"/>
        </w:rPr>
        <w:t xml:space="preserve">information en matière de brevets, </w:t>
      </w:r>
      <w:r w:rsidRPr="005C4FCA">
        <w:rPr>
          <w:lang w:val="fr-FR"/>
        </w:rPr>
        <w:t xml:space="preserve">les réponses des offices de propriété intellectuelle </w:t>
      </w:r>
      <w:r w:rsidRPr="00C25E04">
        <w:rPr>
          <w:lang w:val="fr-FR"/>
        </w:rPr>
        <w:t>variaient davantage</w:t>
      </w:r>
      <w:r w:rsidR="008D3DFF">
        <w:rPr>
          <w:lang w:val="fr-FR"/>
        </w:rPr>
        <w:t xml:space="preserve">.  </w:t>
      </w:r>
      <w:r w:rsidR="00643C9D">
        <w:rPr>
          <w:lang w:val="fr-FR"/>
        </w:rPr>
        <w:t>Le plus souvent,</w:t>
      </w:r>
      <w:r w:rsidRPr="00C25E04">
        <w:rPr>
          <w:lang w:val="fr-FR"/>
        </w:rPr>
        <w:t xml:space="preserve"> l</w:t>
      </w:r>
      <w:r w:rsidR="002A616C">
        <w:rPr>
          <w:lang w:val="fr-FR"/>
        </w:rPr>
        <w:t>’</w:t>
      </w:r>
      <w:r w:rsidRPr="00C25E04">
        <w:rPr>
          <w:lang w:val="fr-FR"/>
        </w:rPr>
        <w:t>utilisation d</w:t>
      </w:r>
      <w:r w:rsidR="002A616C">
        <w:rPr>
          <w:lang w:val="fr-FR"/>
        </w:rPr>
        <w:t>’</w:t>
      </w:r>
      <w:r w:rsidRPr="00C25E04">
        <w:rPr>
          <w:lang w:val="fr-FR"/>
        </w:rPr>
        <w:t>identifiants permettait</w:t>
      </w:r>
      <w:r w:rsidR="008D3DFF">
        <w:rPr>
          <w:lang w:val="fr-FR"/>
        </w:rPr>
        <w:t> :</w:t>
      </w:r>
    </w:p>
    <w:p w14:paraId="2269E8E6" w14:textId="0D3BF19A" w:rsidR="00E31947" w:rsidRPr="00C25E04" w:rsidRDefault="003E1A81" w:rsidP="003E1A81">
      <w:pPr>
        <w:pStyle w:val="ListParagraph"/>
        <w:numPr>
          <w:ilvl w:val="0"/>
          <w:numId w:val="9"/>
        </w:numPr>
        <w:spacing w:after="60"/>
        <w:contextualSpacing w:val="0"/>
        <w:rPr>
          <w:szCs w:val="22"/>
          <w:lang w:val="fr-FR"/>
        </w:rPr>
      </w:pPr>
      <w:proofErr w:type="gramStart"/>
      <w:r w:rsidRPr="005C4FCA">
        <w:rPr>
          <w:szCs w:val="22"/>
          <w:lang w:val="fr-FR"/>
        </w:rPr>
        <w:t>d</w:t>
      </w:r>
      <w:r w:rsidR="002A616C">
        <w:rPr>
          <w:szCs w:val="22"/>
          <w:lang w:val="fr-FR"/>
        </w:rPr>
        <w:t>’</w:t>
      </w:r>
      <w:r w:rsidRPr="005C4FCA">
        <w:rPr>
          <w:szCs w:val="22"/>
          <w:lang w:val="fr-FR"/>
        </w:rPr>
        <w:t>éviter</w:t>
      </w:r>
      <w:proofErr w:type="gramEnd"/>
      <w:r w:rsidRPr="005C4FCA">
        <w:rPr>
          <w:szCs w:val="22"/>
          <w:lang w:val="fr-FR"/>
        </w:rPr>
        <w:t xml:space="preserve"> toute confusion ou toute incohérence en uniformisant les variantes des noms des déposants par l</w:t>
      </w:r>
      <w:r w:rsidR="002A616C">
        <w:rPr>
          <w:szCs w:val="22"/>
          <w:lang w:val="fr-FR"/>
        </w:rPr>
        <w:t>’</w:t>
      </w:r>
      <w:r w:rsidRPr="005C4FCA">
        <w:rPr>
          <w:szCs w:val="22"/>
          <w:lang w:val="fr-FR"/>
        </w:rPr>
        <w:t>adoption d</w:t>
      </w:r>
      <w:r w:rsidR="002A616C">
        <w:rPr>
          <w:szCs w:val="22"/>
          <w:lang w:val="fr-FR"/>
        </w:rPr>
        <w:t>’</w:t>
      </w:r>
      <w:r w:rsidRPr="005C4FCA">
        <w:rPr>
          <w:szCs w:val="22"/>
          <w:lang w:val="fr-FR"/>
        </w:rPr>
        <w:t>une graphie unique normalisée</w:t>
      </w:r>
      <w:r w:rsidRPr="00C25E04">
        <w:rPr>
          <w:color w:val="000000"/>
          <w:szCs w:val="22"/>
          <w:lang w:val="fr-FR"/>
        </w:rPr>
        <w:t xml:space="preserve"> (79%)</w:t>
      </w:r>
      <w:r w:rsidRPr="005C4FCA">
        <w:rPr>
          <w:szCs w:val="22"/>
          <w:lang w:val="fr-FR"/>
        </w:rPr>
        <w:t>;</w:t>
      </w:r>
    </w:p>
    <w:p w14:paraId="4DA2164C" w14:textId="3AAC2485" w:rsidR="00E31947" w:rsidRPr="00C25E04" w:rsidRDefault="003E1A81" w:rsidP="003E1A81">
      <w:pPr>
        <w:pStyle w:val="ListParagraph"/>
        <w:numPr>
          <w:ilvl w:val="0"/>
          <w:numId w:val="9"/>
        </w:numPr>
        <w:spacing w:after="60"/>
        <w:contextualSpacing w:val="0"/>
        <w:rPr>
          <w:szCs w:val="22"/>
          <w:lang w:val="fr-FR"/>
        </w:rPr>
      </w:pPr>
      <w:proofErr w:type="gramStart"/>
      <w:r w:rsidRPr="005C4FCA">
        <w:rPr>
          <w:szCs w:val="22"/>
          <w:lang w:val="fr-FR"/>
        </w:rPr>
        <w:t>d</w:t>
      </w:r>
      <w:r w:rsidR="002A616C">
        <w:rPr>
          <w:szCs w:val="22"/>
          <w:lang w:val="fr-FR"/>
        </w:rPr>
        <w:t>’</w:t>
      </w:r>
      <w:r w:rsidRPr="005C4FCA">
        <w:rPr>
          <w:szCs w:val="22"/>
          <w:lang w:val="fr-FR"/>
        </w:rPr>
        <w:t>établir</w:t>
      </w:r>
      <w:proofErr w:type="gramEnd"/>
      <w:r w:rsidRPr="005C4FCA">
        <w:rPr>
          <w:szCs w:val="22"/>
          <w:lang w:val="fr-FR"/>
        </w:rPr>
        <w:t xml:space="preserve"> des statistiques exactes sur les déposants et les titulaires de brevets</w:t>
      </w:r>
      <w:r w:rsidRPr="00C25E04">
        <w:rPr>
          <w:color w:val="000000"/>
          <w:szCs w:val="22"/>
          <w:lang w:val="fr-FR"/>
        </w:rPr>
        <w:t xml:space="preserve"> (68%)</w:t>
      </w:r>
      <w:r w:rsidRPr="005C4FCA">
        <w:rPr>
          <w:szCs w:val="22"/>
          <w:lang w:val="fr-FR"/>
        </w:rPr>
        <w:t>;</w:t>
      </w:r>
    </w:p>
    <w:p w14:paraId="12EECE4D" w14:textId="77777777" w:rsidR="00E31947" w:rsidRPr="00C25E04" w:rsidRDefault="003E1A81" w:rsidP="003E1A81">
      <w:pPr>
        <w:pStyle w:val="ListParagraph"/>
        <w:numPr>
          <w:ilvl w:val="0"/>
          <w:numId w:val="9"/>
        </w:numPr>
        <w:spacing w:after="220"/>
        <w:contextualSpacing w:val="0"/>
        <w:rPr>
          <w:szCs w:val="22"/>
          <w:lang w:val="fr-FR"/>
        </w:rPr>
      </w:pPr>
      <w:proofErr w:type="gramStart"/>
      <w:r w:rsidRPr="00C25E04">
        <w:rPr>
          <w:color w:val="000000"/>
          <w:szCs w:val="22"/>
          <w:lang w:val="fr-FR"/>
        </w:rPr>
        <w:t>de</w:t>
      </w:r>
      <w:proofErr w:type="gramEnd"/>
      <w:r w:rsidRPr="00C25E04">
        <w:rPr>
          <w:color w:val="000000"/>
          <w:szCs w:val="22"/>
          <w:lang w:val="fr-FR"/>
        </w:rPr>
        <w:t xml:space="preserve"> ne pas avoir à saisir (pour les déposants) les mêmes informations plusieurs fois </w:t>
      </w:r>
      <w:r w:rsidRPr="005C4FCA">
        <w:rPr>
          <w:szCs w:val="22"/>
          <w:lang w:val="fr-FR"/>
        </w:rPr>
        <w:t>(63%).</w:t>
      </w:r>
    </w:p>
    <w:p w14:paraId="687C00DD" w14:textId="1759124B" w:rsidR="00E31947" w:rsidRPr="00C25E04" w:rsidRDefault="003E1A81" w:rsidP="003E1A81">
      <w:pPr>
        <w:pStyle w:val="BodyText"/>
        <w:rPr>
          <w:lang w:val="fr-FR"/>
        </w:rPr>
      </w:pPr>
      <w:r w:rsidRPr="005C4FCA">
        <w:rPr>
          <w:lang w:val="fr-FR"/>
        </w:rPr>
        <w:t xml:space="preserve">Entre un quart et un tiers des offices de propriété intellectuelle </w:t>
      </w:r>
      <w:r w:rsidRPr="00C25E04">
        <w:rPr>
          <w:color w:val="000000"/>
          <w:lang w:val="fr-FR"/>
        </w:rPr>
        <w:t>ont sélectionné les autres avantages indiqués pour les déposants, auxquelles s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ajoutaient</w:t>
      </w:r>
      <w:r w:rsidR="008D3DFF">
        <w:rPr>
          <w:color w:val="000000"/>
          <w:lang w:val="fr-FR"/>
        </w:rPr>
        <w:t xml:space="preserve"> quatre </w:t>
      </w:r>
      <w:r w:rsidRPr="005C4FCA">
        <w:rPr>
          <w:lang w:val="fr-FR"/>
        </w:rPr>
        <w:t xml:space="preserve">options </w:t>
      </w:r>
      <w:r w:rsidRPr="00C25E04">
        <w:rPr>
          <w:color w:val="000000"/>
          <w:lang w:val="fr-FR"/>
        </w:rPr>
        <w:t xml:space="preserve">à la rubrique </w:t>
      </w:r>
      <w:r w:rsidR="00C25E04">
        <w:rPr>
          <w:color w:val="000000"/>
          <w:lang w:val="fr-FR"/>
        </w:rPr>
        <w:t>“</w:t>
      </w:r>
      <w:r w:rsidR="00C25E04" w:rsidRPr="00C25E04">
        <w:rPr>
          <w:color w:val="000000"/>
          <w:lang w:val="fr-FR"/>
        </w:rPr>
        <w:t>a</w:t>
      </w:r>
      <w:r w:rsidRPr="00C25E04">
        <w:rPr>
          <w:color w:val="000000"/>
          <w:lang w:val="fr-FR"/>
        </w:rPr>
        <w:t>utr</w:t>
      </w:r>
      <w:r w:rsidR="00C25E04" w:rsidRPr="00C25E04">
        <w:rPr>
          <w:color w:val="000000"/>
          <w:lang w:val="fr-FR"/>
        </w:rPr>
        <w:t>e</w:t>
      </w:r>
      <w:r w:rsidR="00C25E04">
        <w:rPr>
          <w:color w:val="000000"/>
          <w:lang w:val="fr-FR"/>
        </w:rPr>
        <w:t>”</w:t>
      </w:r>
      <w:r w:rsidRPr="005C4FCA">
        <w:rPr>
          <w:lang w:val="fr-FR"/>
        </w:rPr>
        <w:t>.</w:t>
      </w:r>
    </w:p>
    <w:p w14:paraId="64B1211F" w14:textId="37E2B063" w:rsidR="00E31947" w:rsidRPr="00C25E04" w:rsidRDefault="003E1A81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Un tiers seulement des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ayant répondu </w:t>
      </w:r>
      <w:r w:rsidRPr="00C25E04">
        <w:rPr>
          <w:color w:val="000000"/>
          <w:lang w:val="fr-FR"/>
        </w:rPr>
        <w:t xml:space="preserve">ont indiqué </w:t>
      </w:r>
      <w:r w:rsidRPr="005C4FCA">
        <w:rPr>
          <w:lang w:val="fr-FR"/>
        </w:rPr>
        <w:t>qu</w:t>
      </w:r>
      <w:r w:rsidR="002A616C">
        <w:rPr>
          <w:lang w:val="fr-FR"/>
        </w:rPr>
        <w:t>’</w:t>
      </w:r>
      <w:r w:rsidRPr="005C4FCA">
        <w:rPr>
          <w:lang w:val="fr-FR"/>
        </w:rPr>
        <w:t>ils publi</w:t>
      </w:r>
      <w:r w:rsidRPr="00C25E04">
        <w:rPr>
          <w:color w:val="000000"/>
          <w:lang w:val="fr-FR"/>
        </w:rPr>
        <w:t>ai</w:t>
      </w:r>
      <w:r w:rsidRPr="005C4FCA">
        <w:rPr>
          <w:lang w:val="fr-FR"/>
        </w:rPr>
        <w:t xml:space="preserve">ent ou </w:t>
      </w:r>
      <w:r w:rsidRPr="00C25E04">
        <w:rPr>
          <w:color w:val="000000"/>
          <w:lang w:val="fr-FR"/>
        </w:rPr>
        <w:t xml:space="preserve">envisageaient </w:t>
      </w:r>
      <w:r w:rsidRPr="005C4FCA">
        <w:rPr>
          <w:lang w:val="fr-FR"/>
        </w:rPr>
        <w:t>de publier les identifiants qu</w:t>
      </w:r>
      <w:r w:rsidR="002A616C">
        <w:rPr>
          <w:lang w:val="fr-FR"/>
        </w:rPr>
        <w:t>’</w:t>
      </w:r>
      <w:r w:rsidRPr="005C4FCA">
        <w:rPr>
          <w:lang w:val="fr-FR"/>
        </w:rPr>
        <w:t>ils utilisent ou prévoient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utiliser pour les </w:t>
      </w:r>
      <w:r w:rsidRPr="00C25E04">
        <w:rPr>
          <w:color w:val="000000"/>
          <w:lang w:val="fr-FR"/>
        </w:rPr>
        <w:t>déposants</w:t>
      </w:r>
      <w:r w:rsidR="008D3DFF">
        <w:rPr>
          <w:lang w:val="fr-FR"/>
        </w:rPr>
        <w:t xml:space="preserve">.  </w:t>
      </w:r>
      <w:r w:rsidRPr="00C25E04">
        <w:rPr>
          <w:color w:val="000000"/>
          <w:lang w:val="fr-FR"/>
        </w:rPr>
        <w:t>Bien que</w:t>
      </w:r>
      <w:r w:rsidRPr="005C4FCA">
        <w:rPr>
          <w:lang w:val="fr-FR"/>
        </w:rPr>
        <w:t xml:space="preserve"> cela montre qu</w:t>
      </w:r>
      <w:r w:rsidR="002A616C">
        <w:rPr>
          <w:lang w:val="fr-FR"/>
        </w:rPr>
        <w:t>’</w:t>
      </w:r>
      <w:r w:rsidRPr="005C4FCA">
        <w:rPr>
          <w:lang w:val="fr-FR"/>
        </w:rPr>
        <w:t>un nombre important d</w:t>
      </w:r>
      <w:r w:rsidR="002A616C">
        <w:rPr>
          <w:lang w:val="fr-FR"/>
        </w:rPr>
        <w:t>’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</w:t>
      </w:r>
      <w:r w:rsidRPr="00C25E04">
        <w:rPr>
          <w:color w:val="000000"/>
          <w:lang w:val="fr-FR"/>
        </w:rPr>
        <w:t xml:space="preserve">publient ou prévoient de publier </w:t>
      </w:r>
      <w:r w:rsidRPr="005C4FCA">
        <w:rPr>
          <w:lang w:val="fr-FR"/>
        </w:rPr>
        <w:t>les identifiants, cela signifie aussi que</w:t>
      </w:r>
      <w:r w:rsidR="008D3DFF">
        <w:rPr>
          <w:lang w:val="fr-FR"/>
        </w:rPr>
        <w:t xml:space="preserve"> deux </w:t>
      </w:r>
      <w:r w:rsidRPr="005C4FCA">
        <w:rPr>
          <w:lang w:val="fr-FR"/>
        </w:rPr>
        <w:t xml:space="preserve">tiers des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de propriété intellectuelle </w:t>
      </w:r>
      <w:r w:rsidRPr="00C25E04">
        <w:rPr>
          <w:color w:val="000000"/>
          <w:lang w:val="fr-FR"/>
        </w:rPr>
        <w:t xml:space="preserve">ne prévoient pas </w:t>
      </w:r>
      <w:r w:rsidRPr="005C4FCA">
        <w:rPr>
          <w:lang w:val="fr-FR"/>
        </w:rPr>
        <w:t>de publier leurs identifiants</w:t>
      </w:r>
      <w:r w:rsidR="008D3DFF">
        <w:rPr>
          <w:lang w:val="fr-FR"/>
        </w:rPr>
        <w:t xml:space="preserve">.  </w:t>
      </w:r>
      <w:r w:rsidR="002200E5" w:rsidRPr="00C25E04">
        <w:rPr>
          <w:color w:val="000000"/>
          <w:lang w:val="fr-FR"/>
        </w:rPr>
        <w:t xml:space="preserve">Cela pourrait être dû à des difficultés potentielles de coopération entre </w:t>
      </w:r>
      <w:r w:rsidR="008934BF" w:rsidRPr="00C25E04">
        <w:rPr>
          <w:color w:val="000000"/>
          <w:lang w:val="fr-FR"/>
        </w:rPr>
        <w:t xml:space="preserve">les </w:t>
      </w:r>
      <w:r w:rsidR="002200E5" w:rsidRPr="00C25E04">
        <w:rPr>
          <w:color w:val="000000"/>
          <w:lang w:val="fr-FR"/>
        </w:rPr>
        <w:t>offices en ce qui concerne l</w:t>
      </w:r>
      <w:r w:rsidR="002A616C">
        <w:rPr>
          <w:color w:val="000000"/>
          <w:lang w:val="fr-FR"/>
        </w:rPr>
        <w:t>’</w:t>
      </w:r>
      <w:r w:rsidR="002200E5" w:rsidRPr="00C25E04">
        <w:rPr>
          <w:color w:val="000000"/>
          <w:lang w:val="fr-FR"/>
        </w:rPr>
        <w:t>utilisation d</w:t>
      </w:r>
      <w:r w:rsidR="008934BF" w:rsidRPr="00C25E04">
        <w:rPr>
          <w:color w:val="000000"/>
          <w:lang w:val="fr-FR"/>
        </w:rPr>
        <w:t xml:space="preserve">es </w:t>
      </w:r>
      <w:r w:rsidR="002200E5" w:rsidRPr="00C25E04">
        <w:rPr>
          <w:color w:val="000000"/>
          <w:lang w:val="fr-FR"/>
        </w:rPr>
        <w:t>identifiants</w:t>
      </w:r>
      <w:r w:rsidR="008D3DFF">
        <w:rPr>
          <w:color w:val="000000"/>
          <w:lang w:val="fr-FR"/>
        </w:rPr>
        <w:t xml:space="preserve">.  </w:t>
      </w:r>
      <w:r w:rsidR="00A66304" w:rsidRPr="00C25E04">
        <w:rPr>
          <w:color w:val="000000"/>
          <w:lang w:val="fr-FR"/>
        </w:rPr>
        <w:t>Cela pourrait aussi simplement vouloir dire que les identifiants actuellement utilisés par ces offices ne se prêtent pas à la publication (numéro de passeport ou numéro d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identification fiscale, par exemple), mais que ces offices seraient d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accord de publier d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autres identifiants destinés au public</w:t>
      </w:r>
      <w:r w:rsidR="008D3DFF">
        <w:rPr>
          <w:color w:val="000000"/>
          <w:lang w:val="fr-FR"/>
        </w:rPr>
        <w:t xml:space="preserve">.  </w:t>
      </w:r>
      <w:r w:rsidR="00A66304" w:rsidRPr="00C25E04">
        <w:rPr>
          <w:color w:val="000000"/>
          <w:lang w:val="fr-FR"/>
        </w:rPr>
        <w:t>Cela pourrait aussi vouloir dire que ces offices de propriété intellectuelle n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ont pas encore</w:t>
      </w:r>
      <w:r w:rsidR="00413BF1" w:rsidRPr="00C25E04">
        <w:rPr>
          <w:color w:val="000000"/>
          <w:lang w:val="fr-FR"/>
        </w:rPr>
        <w:t xml:space="preserve"> décidé s</w:t>
      </w:r>
      <w:r w:rsidR="002A616C">
        <w:rPr>
          <w:color w:val="000000"/>
          <w:lang w:val="fr-FR"/>
        </w:rPr>
        <w:t>’</w:t>
      </w:r>
      <w:r w:rsidR="00413BF1" w:rsidRPr="00C25E04">
        <w:rPr>
          <w:color w:val="000000"/>
          <w:lang w:val="fr-FR"/>
        </w:rPr>
        <w:t>ils allaient publier l</w:t>
      </w:r>
      <w:r w:rsidR="00A66304" w:rsidRPr="00C25E04">
        <w:rPr>
          <w:color w:val="000000"/>
          <w:lang w:val="fr-FR"/>
        </w:rPr>
        <w:t>es identifiants qu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ils prévoient d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utiliser à l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avenir</w:t>
      </w:r>
      <w:r w:rsidR="008D3DFF">
        <w:rPr>
          <w:lang w:val="fr-FR"/>
        </w:rPr>
        <w:t xml:space="preserve">.  </w:t>
      </w:r>
      <w:r w:rsidR="00A66304" w:rsidRPr="005C4FCA">
        <w:rPr>
          <w:lang w:val="fr-FR"/>
        </w:rPr>
        <w:t xml:space="preserve">Certains </w:t>
      </w:r>
      <w:r w:rsidR="00A66304" w:rsidRPr="00C25E04">
        <w:rPr>
          <w:color w:val="000000"/>
          <w:lang w:val="fr-FR"/>
        </w:rPr>
        <w:t>o</w:t>
      </w:r>
      <w:r w:rsidR="00A66304" w:rsidRPr="005C4FCA">
        <w:rPr>
          <w:lang w:val="fr-FR"/>
        </w:rPr>
        <w:t>ffices ont cité le règlement général sur la protection des données de l</w:t>
      </w:r>
      <w:r w:rsidR="002A616C">
        <w:rPr>
          <w:lang w:val="fr-FR"/>
        </w:rPr>
        <w:t>’</w:t>
      </w:r>
      <w:r w:rsidR="00A66304" w:rsidRPr="005C4FCA">
        <w:rPr>
          <w:lang w:val="fr-FR"/>
        </w:rPr>
        <w:t xml:space="preserve">Union européenne </w:t>
      </w:r>
      <w:r w:rsidR="00A66304" w:rsidRPr="00C25E04">
        <w:rPr>
          <w:color w:val="000000"/>
          <w:lang w:val="fr-FR"/>
        </w:rPr>
        <w:t xml:space="preserve">comme motif pour </w:t>
      </w:r>
      <w:r w:rsidR="00A66304" w:rsidRPr="005C4FCA">
        <w:rPr>
          <w:lang w:val="fr-FR"/>
        </w:rPr>
        <w:t>ne pas publier</w:t>
      </w:r>
      <w:r w:rsidR="00A66304" w:rsidRPr="00C25E04">
        <w:rPr>
          <w:color w:val="000000"/>
          <w:lang w:val="fr-FR"/>
        </w:rPr>
        <w:t xml:space="preserve"> d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identifiants</w:t>
      </w:r>
      <w:r w:rsidR="00A66304" w:rsidRPr="005C4FCA">
        <w:rPr>
          <w:lang w:val="fr-FR"/>
        </w:rPr>
        <w:t>, tandis que d</w:t>
      </w:r>
      <w:r w:rsidR="002A616C">
        <w:rPr>
          <w:lang w:val="fr-FR"/>
        </w:rPr>
        <w:t>’</w:t>
      </w:r>
      <w:r w:rsidR="00A66304" w:rsidRPr="005C4FCA">
        <w:rPr>
          <w:lang w:val="fr-FR"/>
        </w:rPr>
        <w:t>autres ont indiqué que les identifiants n</w:t>
      </w:r>
      <w:r w:rsidR="002A616C">
        <w:rPr>
          <w:color w:val="000000"/>
          <w:lang w:val="fr-FR"/>
        </w:rPr>
        <w:t>’</w:t>
      </w:r>
      <w:r w:rsidR="00A66304" w:rsidRPr="00C25E04">
        <w:rPr>
          <w:color w:val="000000"/>
          <w:lang w:val="fr-FR"/>
        </w:rPr>
        <w:t>étaient</w:t>
      </w:r>
      <w:r w:rsidR="00A66304" w:rsidRPr="005C4FCA">
        <w:rPr>
          <w:lang w:val="fr-FR"/>
        </w:rPr>
        <w:t xml:space="preserve"> utilisés qu</w:t>
      </w:r>
      <w:r w:rsidR="002A616C">
        <w:rPr>
          <w:lang w:val="fr-FR"/>
        </w:rPr>
        <w:t>’</w:t>
      </w:r>
      <w:r w:rsidR="00A66304" w:rsidRPr="005C4FCA">
        <w:rPr>
          <w:lang w:val="fr-FR"/>
        </w:rPr>
        <w:t>à des fins internes au sein de l</w:t>
      </w:r>
      <w:r w:rsidR="002A616C">
        <w:rPr>
          <w:lang w:val="fr-FR"/>
        </w:rPr>
        <w:t>’</w:t>
      </w:r>
      <w:r w:rsidR="00A66304" w:rsidRPr="005C4FCA">
        <w:rPr>
          <w:lang w:val="fr-FR"/>
        </w:rPr>
        <w:t>office de propriété i</w:t>
      </w:r>
      <w:r w:rsidR="00A66304" w:rsidRPr="00C25E04">
        <w:rPr>
          <w:color w:val="000000"/>
          <w:lang w:val="fr-FR"/>
        </w:rPr>
        <w:t>ntellectuelle</w:t>
      </w:r>
      <w:r w:rsidR="008D3DFF">
        <w:rPr>
          <w:lang w:val="fr-FR"/>
        </w:rPr>
        <w:t xml:space="preserve">.  </w:t>
      </w:r>
      <w:r w:rsidR="00A66304" w:rsidRPr="005C4FCA">
        <w:rPr>
          <w:lang w:val="fr-FR"/>
        </w:rPr>
        <w:t>Malheureusement, la question ne</w:t>
      </w:r>
      <w:r w:rsidR="00A66304" w:rsidRPr="00C25E04">
        <w:rPr>
          <w:color w:val="000000"/>
          <w:lang w:val="fr-FR"/>
        </w:rPr>
        <w:t xml:space="preserve"> </w:t>
      </w:r>
      <w:r w:rsidR="00031FC3">
        <w:rPr>
          <w:color w:val="000000"/>
          <w:lang w:val="fr-FR"/>
        </w:rPr>
        <w:t>faisait</w:t>
      </w:r>
      <w:r w:rsidR="00E8649D">
        <w:rPr>
          <w:color w:val="000000"/>
          <w:lang w:val="fr-FR"/>
        </w:rPr>
        <w:t xml:space="preserve"> pas la</w:t>
      </w:r>
      <w:r w:rsidR="00A66304" w:rsidRPr="00C25E04">
        <w:rPr>
          <w:color w:val="000000"/>
          <w:lang w:val="fr-FR"/>
        </w:rPr>
        <w:t xml:space="preserve"> distinction entre</w:t>
      </w:r>
      <w:r w:rsidR="00A66304" w:rsidRPr="005C4FCA">
        <w:rPr>
          <w:lang w:val="fr-FR"/>
        </w:rPr>
        <w:t xml:space="preserve"> les identifiants qui sont utilisés et les </w:t>
      </w:r>
      <w:r w:rsidR="00A66304" w:rsidRPr="00C25E04">
        <w:rPr>
          <w:color w:val="000000"/>
          <w:lang w:val="fr-FR"/>
        </w:rPr>
        <w:t xml:space="preserve">identifiants </w:t>
      </w:r>
      <w:r w:rsidR="00A66304" w:rsidRPr="005C4FCA">
        <w:rPr>
          <w:lang w:val="fr-FR"/>
        </w:rPr>
        <w:t>qu</w:t>
      </w:r>
      <w:r w:rsidR="002A616C">
        <w:rPr>
          <w:lang w:val="fr-FR"/>
        </w:rPr>
        <w:t>’</w:t>
      </w:r>
      <w:r w:rsidR="00A66304" w:rsidRPr="005C4FCA">
        <w:rPr>
          <w:lang w:val="fr-FR"/>
        </w:rPr>
        <w:t>il est prévu d</w:t>
      </w:r>
      <w:r w:rsidR="002A616C">
        <w:rPr>
          <w:lang w:val="fr-FR"/>
        </w:rPr>
        <w:t>’</w:t>
      </w:r>
      <w:r w:rsidR="00A66304" w:rsidRPr="005C4FCA">
        <w:rPr>
          <w:lang w:val="fr-FR"/>
        </w:rPr>
        <w:t xml:space="preserve">utiliser, </w:t>
      </w:r>
      <w:r w:rsidR="00A66304" w:rsidRPr="00C25E04">
        <w:rPr>
          <w:color w:val="000000"/>
          <w:lang w:val="fr-FR"/>
        </w:rPr>
        <w:t>raison pour laquelle il est difficile de déterminer précisément pourquoi certains offices semblent peu disposés à publier les identifiants</w:t>
      </w:r>
      <w:r w:rsidR="00A66304" w:rsidRPr="005C4FCA">
        <w:rPr>
          <w:lang w:val="fr-FR"/>
        </w:rPr>
        <w:t>.</w:t>
      </w:r>
    </w:p>
    <w:p w14:paraId="7E0EB398" w14:textId="47958DCD" w:rsidR="00E31947" w:rsidRPr="00C25E04" w:rsidRDefault="00A66304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Parmi les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qui pu</w:t>
      </w:r>
      <w:r w:rsidR="00464071" w:rsidRPr="005C4FCA">
        <w:rPr>
          <w:lang w:val="fr-FR"/>
        </w:rPr>
        <w:t>blient ou prévoient de publier l</w:t>
      </w:r>
      <w:r w:rsidRPr="005C4FCA">
        <w:rPr>
          <w:lang w:val="fr-FR"/>
        </w:rPr>
        <w:t xml:space="preserve">es identifiants, </w:t>
      </w:r>
      <w:r w:rsidR="00E26F6B">
        <w:rPr>
          <w:color w:val="000000"/>
          <w:lang w:val="fr-FR"/>
        </w:rPr>
        <w:t>ces derniers</w:t>
      </w:r>
      <w:r w:rsidRPr="005C4FCA">
        <w:rPr>
          <w:lang w:val="fr-FR"/>
        </w:rPr>
        <w:t xml:space="preserve"> seront disponibles dans les bulletins officiels, les portails en ligne ou les systèmes de dépôt électronique.</w:t>
      </w:r>
    </w:p>
    <w:p w14:paraId="27ED5042" w14:textId="46A459F1" w:rsidR="00E31947" w:rsidRPr="00C25E04" w:rsidRDefault="00413BF1" w:rsidP="006F04F9">
      <w:pPr>
        <w:pStyle w:val="ONUMFS"/>
        <w:rPr>
          <w:lang w:val="fr-FR"/>
        </w:rPr>
      </w:pPr>
      <w:r w:rsidRPr="005C4FCA">
        <w:rPr>
          <w:lang w:val="fr-FR"/>
        </w:rPr>
        <w:t>Près des</w:t>
      </w:r>
      <w:r w:rsidR="008D3DFF">
        <w:rPr>
          <w:lang w:val="fr-FR"/>
        </w:rPr>
        <w:t xml:space="preserve"> deux </w:t>
      </w:r>
      <w:r w:rsidRPr="005C4FCA">
        <w:rPr>
          <w:lang w:val="fr-FR"/>
        </w:rPr>
        <w:t>tiers (6</w:t>
      </w:r>
      <w:r w:rsidR="00281E08" w:rsidRPr="005C4FCA">
        <w:rPr>
          <w:lang w:val="fr-FR"/>
        </w:rPr>
        <w:t>3%</w:t>
      </w:r>
      <w:r w:rsidRPr="005C4FCA">
        <w:rPr>
          <w:lang w:val="fr-FR"/>
        </w:rPr>
        <w:t xml:space="preserve">) des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de propriété intellectuelle ne prévoient pas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inclure </w:t>
      </w:r>
      <w:r w:rsidRPr="00C25E04">
        <w:rPr>
          <w:color w:val="000000"/>
          <w:lang w:val="fr-FR"/>
        </w:rPr>
        <w:t>l</w:t>
      </w:r>
      <w:r w:rsidRPr="005C4FCA">
        <w:rPr>
          <w:lang w:val="fr-FR"/>
        </w:rPr>
        <w:t>es identifiants dans les données qu</w:t>
      </w:r>
      <w:r w:rsidR="002A616C">
        <w:rPr>
          <w:lang w:val="fr-FR"/>
        </w:rPr>
        <w:t>’</w:t>
      </w:r>
      <w:r w:rsidRPr="005C4FCA">
        <w:rPr>
          <w:lang w:val="fr-FR"/>
        </w:rPr>
        <w:t>ils échangent avec</w:t>
      </w:r>
      <w:r w:rsidRPr="00C25E04">
        <w:rPr>
          <w:color w:val="000000"/>
          <w:lang w:val="fr-FR"/>
        </w:rPr>
        <w:t xml:space="preserve"> les </w:t>
      </w:r>
      <w:r w:rsidRPr="005C4FCA">
        <w:rPr>
          <w:lang w:val="fr-FR"/>
        </w:rPr>
        <w:t xml:space="preserve">autres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</w:t>
      </w:r>
      <w:r w:rsidR="008D3DFF">
        <w:rPr>
          <w:lang w:val="fr-FR"/>
        </w:rPr>
        <w:t xml:space="preserve">.  </w:t>
      </w:r>
      <w:r w:rsidR="00AB76F0" w:rsidRPr="00C25E04">
        <w:rPr>
          <w:color w:val="000000"/>
          <w:lang w:val="fr-FR"/>
        </w:rPr>
        <w:t xml:space="preserve">En outre, </w:t>
      </w:r>
      <w:r w:rsidR="00AB76F0" w:rsidRPr="005C4FCA">
        <w:rPr>
          <w:lang w:val="fr-FR"/>
        </w:rPr>
        <w:t xml:space="preserve">20% </w:t>
      </w:r>
      <w:r w:rsidR="00AB76F0" w:rsidRPr="00C25E04">
        <w:rPr>
          <w:color w:val="000000"/>
          <w:lang w:val="fr-FR"/>
        </w:rPr>
        <w:t>des offices ne savent pas s</w:t>
      </w:r>
      <w:r w:rsidR="002A616C">
        <w:rPr>
          <w:color w:val="000000"/>
          <w:lang w:val="fr-FR"/>
        </w:rPr>
        <w:t>’</w:t>
      </w:r>
      <w:r w:rsidR="00AB76F0" w:rsidRPr="00C25E04">
        <w:rPr>
          <w:color w:val="000000"/>
          <w:lang w:val="fr-FR"/>
        </w:rPr>
        <w:t>ils</w:t>
      </w:r>
      <w:r w:rsidR="00AB76F0" w:rsidRPr="005C4FCA">
        <w:rPr>
          <w:lang w:val="fr-FR"/>
        </w:rPr>
        <w:t xml:space="preserve"> échangeront des </w:t>
      </w:r>
      <w:r w:rsidR="00A83E4D" w:rsidRPr="005C4FCA">
        <w:rPr>
          <w:lang w:val="fr-FR"/>
        </w:rPr>
        <w:t>identifiants</w:t>
      </w:r>
      <w:r w:rsidR="00AB76F0" w:rsidRPr="005C4FCA">
        <w:rPr>
          <w:lang w:val="fr-FR"/>
        </w:rPr>
        <w:t xml:space="preserve">, </w:t>
      </w:r>
      <w:r w:rsidR="00AB76F0" w:rsidRPr="00C25E04">
        <w:rPr>
          <w:color w:val="000000"/>
          <w:lang w:val="fr-FR"/>
        </w:rPr>
        <w:t xml:space="preserve">ce qui signifie que seulement </w:t>
      </w:r>
      <w:r w:rsidR="00AB76F0" w:rsidRPr="005C4FCA">
        <w:rPr>
          <w:lang w:val="fr-FR"/>
        </w:rPr>
        <w:t xml:space="preserve">16% </w:t>
      </w:r>
      <w:r w:rsidR="00AB76F0" w:rsidRPr="00C25E04">
        <w:rPr>
          <w:color w:val="000000"/>
          <w:lang w:val="fr-FR"/>
        </w:rPr>
        <w:t>des offices incluent ou prévoient d</w:t>
      </w:r>
      <w:r w:rsidR="002A616C">
        <w:rPr>
          <w:color w:val="000000"/>
          <w:lang w:val="fr-FR"/>
        </w:rPr>
        <w:t>’</w:t>
      </w:r>
      <w:r w:rsidR="00AB76F0" w:rsidRPr="00C25E04">
        <w:rPr>
          <w:color w:val="000000"/>
          <w:lang w:val="fr-FR"/>
        </w:rPr>
        <w:t>inclure les identifiants dans les données qu</w:t>
      </w:r>
      <w:r w:rsidR="002A616C">
        <w:rPr>
          <w:color w:val="000000"/>
          <w:lang w:val="fr-FR"/>
        </w:rPr>
        <w:t>’</w:t>
      </w:r>
      <w:r w:rsidR="00AB76F0" w:rsidRPr="00C25E04">
        <w:rPr>
          <w:color w:val="000000"/>
          <w:lang w:val="fr-FR"/>
        </w:rPr>
        <w:t>ils échangent</w:t>
      </w:r>
      <w:r w:rsidR="008D3DFF">
        <w:rPr>
          <w:lang w:val="fr-FR"/>
        </w:rPr>
        <w:t xml:space="preserve">.  </w:t>
      </w:r>
      <w:r w:rsidR="00AB76F0" w:rsidRPr="005C4FCA">
        <w:rPr>
          <w:lang w:val="fr-FR"/>
        </w:rPr>
        <w:t xml:space="preserve">Là encore, cela pourrait poser des difficultés aux </w:t>
      </w:r>
      <w:r w:rsidR="00AB76F0" w:rsidRPr="00C25E04">
        <w:rPr>
          <w:color w:val="000000"/>
          <w:lang w:val="fr-FR"/>
        </w:rPr>
        <w:t>o</w:t>
      </w:r>
      <w:r w:rsidR="00AB76F0" w:rsidRPr="005C4FCA">
        <w:rPr>
          <w:lang w:val="fr-FR"/>
        </w:rPr>
        <w:t xml:space="preserve">ffices </w:t>
      </w:r>
      <w:r w:rsidR="00AB76F0" w:rsidRPr="00C25E04">
        <w:rPr>
          <w:color w:val="000000"/>
          <w:lang w:val="fr-FR"/>
        </w:rPr>
        <w:t>qui souhaitent coopérer avec d</w:t>
      </w:r>
      <w:r w:rsidR="002A616C">
        <w:rPr>
          <w:color w:val="000000"/>
          <w:lang w:val="fr-FR"/>
        </w:rPr>
        <w:t>’</w:t>
      </w:r>
      <w:r w:rsidR="00AB76F0" w:rsidRPr="00C25E04">
        <w:rPr>
          <w:color w:val="000000"/>
          <w:lang w:val="fr-FR"/>
        </w:rPr>
        <w:t xml:space="preserve">autres offices en ce qui concerne </w:t>
      </w:r>
      <w:r w:rsidR="00AB76F0" w:rsidRPr="005C4FCA">
        <w:rPr>
          <w:lang w:val="fr-FR"/>
        </w:rPr>
        <w:t>l</w:t>
      </w:r>
      <w:r w:rsidR="002A616C">
        <w:rPr>
          <w:lang w:val="fr-FR"/>
        </w:rPr>
        <w:t>’</w:t>
      </w:r>
      <w:r w:rsidR="00AB76F0" w:rsidRPr="005C4FCA">
        <w:rPr>
          <w:lang w:val="fr-FR"/>
        </w:rPr>
        <w:t>utilisation d</w:t>
      </w:r>
      <w:r w:rsidR="002A616C">
        <w:rPr>
          <w:lang w:val="fr-FR"/>
        </w:rPr>
        <w:t>’</w:t>
      </w:r>
      <w:r w:rsidR="00AB76F0" w:rsidRPr="005C4FCA">
        <w:rPr>
          <w:lang w:val="fr-FR"/>
        </w:rPr>
        <w:t>identifiants</w:t>
      </w:r>
      <w:r w:rsidR="008D3DFF">
        <w:rPr>
          <w:lang w:val="fr-FR"/>
        </w:rPr>
        <w:t xml:space="preserve">.  </w:t>
      </w:r>
      <w:r w:rsidR="00AB76F0" w:rsidRPr="00C25E04">
        <w:rPr>
          <w:color w:val="000000"/>
          <w:lang w:val="fr-FR"/>
        </w:rPr>
        <w:t>Cela étant</w:t>
      </w:r>
      <w:r w:rsidR="00AB76F0" w:rsidRPr="005C4FCA">
        <w:rPr>
          <w:lang w:val="fr-FR"/>
        </w:rPr>
        <w:t>, au moins</w:t>
      </w:r>
      <w:r w:rsidR="008D3DFF">
        <w:rPr>
          <w:lang w:val="fr-FR"/>
        </w:rPr>
        <w:t xml:space="preserve"> deux </w:t>
      </w:r>
      <w:r w:rsidR="00AB76F0" w:rsidRPr="00C25E04">
        <w:rPr>
          <w:color w:val="000000"/>
          <w:lang w:val="fr-FR"/>
        </w:rPr>
        <w:t>o</w:t>
      </w:r>
      <w:r w:rsidR="00AB76F0" w:rsidRPr="005C4FCA">
        <w:rPr>
          <w:lang w:val="fr-FR"/>
        </w:rPr>
        <w:t>ffices ont indiqué dans leurs observations qu</w:t>
      </w:r>
      <w:r w:rsidR="002A616C">
        <w:rPr>
          <w:lang w:val="fr-FR"/>
        </w:rPr>
        <w:t>’</w:t>
      </w:r>
      <w:r w:rsidR="00AB76F0" w:rsidRPr="005C4FCA">
        <w:rPr>
          <w:lang w:val="fr-FR"/>
        </w:rPr>
        <w:t xml:space="preserve">ils </w:t>
      </w:r>
      <w:r w:rsidR="00AB76F0" w:rsidRPr="00C25E04">
        <w:rPr>
          <w:color w:val="000000"/>
          <w:lang w:val="fr-FR"/>
        </w:rPr>
        <w:t xml:space="preserve">étaient </w:t>
      </w:r>
      <w:r w:rsidR="00AB76F0" w:rsidRPr="005C4FCA">
        <w:rPr>
          <w:lang w:val="fr-FR"/>
        </w:rPr>
        <w:t xml:space="preserve">disposés </w:t>
      </w:r>
      <w:r w:rsidR="00AB76F0" w:rsidRPr="00C25E04">
        <w:rPr>
          <w:color w:val="000000"/>
          <w:lang w:val="fr-FR"/>
        </w:rPr>
        <w:t>à envisager d</w:t>
      </w:r>
      <w:r w:rsidR="002A616C">
        <w:rPr>
          <w:color w:val="000000"/>
          <w:lang w:val="fr-FR"/>
        </w:rPr>
        <w:t>’</w:t>
      </w:r>
      <w:r w:rsidR="00AB76F0" w:rsidRPr="005C4FCA">
        <w:rPr>
          <w:lang w:val="fr-FR"/>
        </w:rPr>
        <w:t xml:space="preserve">échanger des </w:t>
      </w:r>
      <w:r w:rsidR="00AB76F0" w:rsidRPr="00C25E04">
        <w:rPr>
          <w:color w:val="000000"/>
          <w:lang w:val="fr-FR"/>
        </w:rPr>
        <w:t xml:space="preserve">identifiants </w:t>
      </w:r>
      <w:r w:rsidR="00AB76F0" w:rsidRPr="005C4FCA">
        <w:rPr>
          <w:lang w:val="fr-FR"/>
        </w:rPr>
        <w:t>à l</w:t>
      </w:r>
      <w:r w:rsidR="002A616C">
        <w:rPr>
          <w:lang w:val="fr-FR"/>
        </w:rPr>
        <w:t>’</w:t>
      </w:r>
      <w:r w:rsidR="00AB76F0" w:rsidRPr="005C4FCA">
        <w:rPr>
          <w:lang w:val="fr-FR"/>
        </w:rPr>
        <w:t>avenir.</w:t>
      </w:r>
    </w:p>
    <w:p w14:paraId="0D7C5826" w14:textId="7DF3C951" w:rsidR="00E31947" w:rsidRPr="00C25E04" w:rsidRDefault="00336ED8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Environ 60% des offices de propriété </w:t>
      </w:r>
      <w:r w:rsidRPr="00C25E04">
        <w:rPr>
          <w:color w:val="000000"/>
          <w:lang w:val="fr-FR"/>
        </w:rPr>
        <w:t xml:space="preserve">intellectuelle </w:t>
      </w:r>
      <w:r w:rsidRPr="005C4FCA">
        <w:rPr>
          <w:lang w:val="fr-FR"/>
        </w:rPr>
        <w:t>ont indiqué qu</w:t>
      </w:r>
      <w:r w:rsidR="002A616C">
        <w:rPr>
          <w:lang w:val="fr-FR"/>
        </w:rPr>
        <w:t>’</w:t>
      </w:r>
      <w:r w:rsidRPr="005C4FCA">
        <w:rPr>
          <w:lang w:val="fr-FR"/>
        </w:rPr>
        <w:t>ils utilis</w:t>
      </w:r>
      <w:r w:rsidRPr="00C25E04">
        <w:rPr>
          <w:color w:val="000000"/>
          <w:lang w:val="fr-FR"/>
        </w:rPr>
        <w:t>ai</w:t>
      </w:r>
      <w:r w:rsidRPr="005C4FCA">
        <w:rPr>
          <w:lang w:val="fr-FR"/>
        </w:rPr>
        <w:t>ent ou prévo</w:t>
      </w:r>
      <w:r w:rsidRPr="00C25E04">
        <w:rPr>
          <w:color w:val="000000"/>
          <w:lang w:val="fr-FR"/>
        </w:rPr>
        <w:t>ya</w:t>
      </w:r>
      <w:r w:rsidRPr="005C4FCA">
        <w:rPr>
          <w:lang w:val="fr-FR"/>
        </w:rPr>
        <w:t>ient d</w:t>
      </w:r>
      <w:r w:rsidR="002A616C">
        <w:rPr>
          <w:lang w:val="fr-FR"/>
        </w:rPr>
        <w:t>’</w:t>
      </w:r>
      <w:r w:rsidRPr="005C4FCA">
        <w:rPr>
          <w:lang w:val="fr-FR"/>
        </w:rPr>
        <w:t>utiliser</w:t>
      </w:r>
      <w:r w:rsidRPr="00C25E04">
        <w:rPr>
          <w:color w:val="000000"/>
          <w:lang w:val="fr-FR"/>
        </w:rPr>
        <w:t xml:space="preserve"> comme identifiants</w:t>
      </w:r>
      <w:r w:rsidRPr="005C4FCA">
        <w:rPr>
          <w:lang w:val="fr-FR"/>
        </w:rPr>
        <w:t xml:space="preserve"> </w:t>
      </w:r>
      <w:r w:rsidRPr="00C25E04">
        <w:rPr>
          <w:color w:val="000000"/>
          <w:lang w:val="fr-FR"/>
        </w:rPr>
        <w:t>l</w:t>
      </w:r>
      <w:r w:rsidRPr="005C4FCA">
        <w:rPr>
          <w:lang w:val="fr-FR"/>
        </w:rPr>
        <w:t>es codes attribués par une autorité nationale</w:t>
      </w:r>
      <w:r w:rsidRPr="00C25E04">
        <w:rPr>
          <w:color w:val="000000"/>
          <w:lang w:val="fr-FR"/>
        </w:rPr>
        <w:t>,</w:t>
      </w:r>
      <w:r w:rsidRPr="005C4FCA">
        <w:rPr>
          <w:lang w:val="fr-FR"/>
        </w:rPr>
        <w:t xml:space="preserve"> tandis que 20% seulement </w:t>
      </w:r>
      <w:r w:rsidRPr="00C25E04">
        <w:rPr>
          <w:color w:val="000000"/>
          <w:lang w:val="fr-FR"/>
        </w:rPr>
        <w:t xml:space="preserve">des offices </w:t>
      </w:r>
      <w:r w:rsidR="00C25E04" w:rsidRPr="00C25E04">
        <w:rPr>
          <w:color w:val="000000"/>
          <w:lang w:val="fr-FR"/>
        </w:rPr>
        <w:t>prévoyaient</w:t>
      </w:r>
      <w:r w:rsidRPr="005C4FCA">
        <w:rPr>
          <w:lang w:val="fr-FR"/>
        </w:rPr>
        <w:t xml:space="preserve"> d</w:t>
      </w:r>
      <w:r w:rsidR="002A616C">
        <w:rPr>
          <w:lang w:val="fr-FR"/>
        </w:rPr>
        <w:t>’</w:t>
      </w:r>
      <w:r w:rsidR="00233490" w:rsidRPr="005C4FCA">
        <w:rPr>
          <w:lang w:val="fr-FR"/>
        </w:rPr>
        <w:t>utiliser l</w:t>
      </w:r>
      <w:r w:rsidRPr="005C4FCA">
        <w:rPr>
          <w:lang w:val="fr-FR"/>
        </w:rPr>
        <w:t>es codes attribués par une autorité internationale telle que l</w:t>
      </w:r>
      <w:r w:rsidR="002A616C">
        <w:rPr>
          <w:lang w:val="fr-FR"/>
        </w:rPr>
        <w:t>’</w:t>
      </w:r>
      <w:r w:rsidRPr="005C4FCA">
        <w:rPr>
          <w:lang w:val="fr-FR"/>
        </w:rPr>
        <w:t>OMPI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Sur les 40% qui ont </w:t>
      </w:r>
      <w:r w:rsidRPr="00C25E04">
        <w:rPr>
          <w:color w:val="000000"/>
          <w:lang w:val="fr-FR"/>
        </w:rPr>
        <w:t xml:space="preserve">répondu </w:t>
      </w:r>
      <w:r w:rsidR="00C25E04" w:rsidRPr="005C4FCA">
        <w:rPr>
          <w:lang w:val="fr-FR"/>
        </w:rPr>
        <w:t>“</w:t>
      </w:r>
      <w:r w:rsidR="00C25E04" w:rsidRPr="00C25E04">
        <w:rPr>
          <w:color w:val="000000"/>
          <w:lang w:val="fr-FR"/>
        </w:rPr>
        <w:t>a</w:t>
      </w:r>
      <w:r w:rsidRPr="005C4FCA">
        <w:rPr>
          <w:lang w:val="fr-FR"/>
        </w:rPr>
        <w:t>utr</w:t>
      </w:r>
      <w:r w:rsidR="00C25E04" w:rsidRPr="005C4FCA">
        <w:rPr>
          <w:lang w:val="fr-FR"/>
        </w:rPr>
        <w:t>e”</w:t>
      </w:r>
      <w:r w:rsidRPr="005C4FCA">
        <w:rPr>
          <w:lang w:val="fr-FR"/>
        </w:rPr>
        <w:t xml:space="preserve">, les sources </w:t>
      </w:r>
      <w:r w:rsidRPr="00C25E04">
        <w:rPr>
          <w:color w:val="000000"/>
          <w:lang w:val="fr-FR"/>
        </w:rPr>
        <w:t>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 xml:space="preserve">identifiants indiquées dans </w:t>
      </w:r>
      <w:r w:rsidRPr="005C4FCA">
        <w:rPr>
          <w:lang w:val="fr-FR"/>
        </w:rPr>
        <w:t xml:space="preserve">leurs </w:t>
      </w:r>
      <w:r w:rsidRPr="00C25E04">
        <w:rPr>
          <w:color w:val="000000"/>
          <w:lang w:val="fr-FR"/>
        </w:rPr>
        <w:t>observations</w:t>
      </w:r>
      <w:r w:rsidRPr="005C4FCA">
        <w:rPr>
          <w:lang w:val="fr-FR"/>
        </w:rPr>
        <w:t xml:space="preserve"> étaient pour la plupart </w:t>
      </w:r>
      <w:r w:rsidRPr="00C25E04">
        <w:rPr>
          <w:color w:val="000000"/>
          <w:lang w:val="fr-FR"/>
        </w:rPr>
        <w:t>des registres d</w:t>
      </w:r>
      <w:r w:rsidR="002A616C">
        <w:rPr>
          <w:color w:val="000000"/>
          <w:lang w:val="fr-FR"/>
        </w:rPr>
        <w:t>’</w:t>
      </w:r>
      <w:r w:rsidRPr="005C4FCA">
        <w:rPr>
          <w:lang w:val="fr-FR"/>
        </w:rPr>
        <w:t>État ou des services d</w:t>
      </w:r>
      <w:r w:rsidR="002A616C">
        <w:rPr>
          <w:lang w:val="fr-FR"/>
        </w:rPr>
        <w:t>’</w:t>
      </w:r>
      <w:r w:rsidRPr="005C4FCA">
        <w:rPr>
          <w:lang w:val="fr-FR"/>
        </w:rPr>
        <w:t>identification.</w:t>
      </w:r>
    </w:p>
    <w:p w14:paraId="369CCD7E" w14:textId="213EBBEB" w:rsidR="00E31947" w:rsidRPr="00C25E04" w:rsidRDefault="003E5A4F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Les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ont indiqué utiliser divers mécanismes pour s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assurer </w:t>
      </w:r>
      <w:r w:rsidR="00BC3BBD" w:rsidRPr="005C4FCA">
        <w:rPr>
          <w:lang w:val="fr-FR"/>
        </w:rPr>
        <w:t>qu</w:t>
      </w:r>
      <w:r w:rsidR="002A616C">
        <w:rPr>
          <w:lang w:val="fr-FR"/>
        </w:rPr>
        <w:t>’</w:t>
      </w:r>
      <w:r w:rsidR="00BC3BBD" w:rsidRPr="005C4FCA">
        <w:rPr>
          <w:lang w:val="fr-FR"/>
        </w:rPr>
        <w:t>il n</w:t>
      </w:r>
      <w:r w:rsidR="002A616C">
        <w:rPr>
          <w:lang w:val="fr-FR"/>
        </w:rPr>
        <w:t>’</w:t>
      </w:r>
      <w:r w:rsidR="00BC3BBD" w:rsidRPr="005C4FCA">
        <w:rPr>
          <w:lang w:val="fr-FR"/>
        </w:rPr>
        <w:t>existait qu</w:t>
      </w:r>
      <w:r w:rsidR="002A616C">
        <w:rPr>
          <w:lang w:val="fr-FR"/>
        </w:rPr>
        <w:t>’</w:t>
      </w:r>
      <w:r w:rsidR="00BC3BBD" w:rsidRPr="005C4FCA">
        <w:rPr>
          <w:lang w:val="fr-FR"/>
        </w:rPr>
        <w:t>un identifiant par</w:t>
      </w:r>
      <w:r w:rsidRPr="005C4FCA">
        <w:rPr>
          <w:lang w:val="fr-FR"/>
        </w:rPr>
        <w:t xml:space="preserve"> déposant</w:t>
      </w:r>
      <w:r w:rsidR="008D3DFF">
        <w:rPr>
          <w:lang w:val="fr-FR"/>
        </w:rPr>
        <w:t xml:space="preserve">.  </w:t>
      </w:r>
      <w:r w:rsidRPr="00C25E04">
        <w:rPr>
          <w:color w:val="000000"/>
          <w:lang w:val="fr-FR"/>
        </w:rPr>
        <w:t>Pour ce faire, ils vérifient par exemple la</w:t>
      </w:r>
      <w:r w:rsidRPr="005C4FCA">
        <w:rPr>
          <w:lang w:val="fr-FR"/>
        </w:rPr>
        <w:t xml:space="preserve"> </w:t>
      </w:r>
      <w:r w:rsidRPr="00C25E04">
        <w:rPr>
          <w:color w:val="000000"/>
          <w:lang w:val="fr-FR"/>
        </w:rPr>
        <w:t xml:space="preserve">pièce </w:t>
      </w:r>
      <w:r w:rsidRPr="005C4FCA">
        <w:rPr>
          <w:lang w:val="fr-FR"/>
        </w:rPr>
        <w:t>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identité </w:t>
      </w:r>
      <w:r w:rsidRPr="00C25E04">
        <w:rPr>
          <w:color w:val="000000"/>
          <w:lang w:val="fr-FR"/>
        </w:rPr>
        <w:t>personnelle</w:t>
      </w:r>
      <w:r w:rsidRPr="005C4FCA">
        <w:rPr>
          <w:lang w:val="fr-FR"/>
        </w:rPr>
        <w:t xml:space="preserve">, </w:t>
      </w:r>
      <w:r w:rsidRPr="00C25E04">
        <w:rPr>
          <w:color w:val="000000"/>
          <w:lang w:val="fr-FR"/>
        </w:rPr>
        <w:t>le</w:t>
      </w:r>
      <w:r w:rsidRPr="005C4FCA">
        <w:rPr>
          <w:lang w:val="fr-FR"/>
        </w:rPr>
        <w:t xml:space="preserve"> nom et l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adresse, </w:t>
      </w:r>
      <w:r w:rsidRPr="00C25E04">
        <w:rPr>
          <w:color w:val="000000"/>
          <w:lang w:val="fr-FR"/>
        </w:rPr>
        <w:t>le numéro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inscription au registre du commerce ou le numéro de licence commerciale</w:t>
      </w:r>
      <w:r w:rsidRPr="005C4FCA">
        <w:rPr>
          <w:lang w:val="fr-FR"/>
        </w:rPr>
        <w:t xml:space="preserve">, ou </w:t>
      </w:r>
      <w:r w:rsidRPr="00C25E04">
        <w:rPr>
          <w:color w:val="000000"/>
          <w:lang w:val="fr-FR"/>
        </w:rPr>
        <w:t>encore le numéro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identification fiscale</w:t>
      </w:r>
      <w:r w:rsidR="008D3DFF">
        <w:rPr>
          <w:lang w:val="fr-FR"/>
        </w:rPr>
        <w:t xml:space="preserve">.  </w:t>
      </w:r>
      <w:r w:rsidR="00E43B17" w:rsidRPr="005C4FCA">
        <w:rPr>
          <w:lang w:val="fr-FR"/>
        </w:rPr>
        <w:t xml:space="preserve">Plusieurs </w:t>
      </w:r>
      <w:r w:rsidR="00E43B17" w:rsidRPr="00C25E04">
        <w:rPr>
          <w:color w:val="000000"/>
          <w:lang w:val="fr-FR"/>
        </w:rPr>
        <w:t xml:space="preserve">participants </w:t>
      </w:r>
      <w:r w:rsidR="00E43B17" w:rsidRPr="005C4FCA">
        <w:rPr>
          <w:lang w:val="fr-FR"/>
        </w:rPr>
        <w:t>ont également indiqué qu</w:t>
      </w:r>
      <w:r w:rsidR="002A616C">
        <w:rPr>
          <w:lang w:val="fr-FR"/>
        </w:rPr>
        <w:t>’</w:t>
      </w:r>
      <w:r w:rsidR="00E43B17" w:rsidRPr="005C4FCA">
        <w:rPr>
          <w:lang w:val="fr-FR"/>
        </w:rPr>
        <w:t xml:space="preserve">ils ne vérifiaient pas </w:t>
      </w:r>
      <w:r w:rsidR="00E43B17" w:rsidRPr="00C25E04">
        <w:rPr>
          <w:color w:val="000000"/>
          <w:lang w:val="fr-FR"/>
        </w:rPr>
        <w:t>s</w:t>
      </w:r>
      <w:r w:rsidR="002A616C">
        <w:rPr>
          <w:color w:val="000000"/>
          <w:lang w:val="fr-FR"/>
        </w:rPr>
        <w:t>’</w:t>
      </w:r>
      <w:r w:rsidR="00E43B17" w:rsidRPr="00C25E04">
        <w:rPr>
          <w:color w:val="000000"/>
          <w:lang w:val="fr-FR"/>
        </w:rPr>
        <w:t xml:space="preserve">il existait plusieurs </w:t>
      </w:r>
      <w:r w:rsidR="00E43B17" w:rsidRPr="005C4FCA">
        <w:rPr>
          <w:lang w:val="fr-FR"/>
        </w:rPr>
        <w:t>identifiants</w:t>
      </w:r>
      <w:r w:rsidR="00E43B17" w:rsidRPr="00C25E04">
        <w:rPr>
          <w:color w:val="000000"/>
          <w:lang w:val="fr-FR"/>
        </w:rPr>
        <w:t xml:space="preserve"> </w:t>
      </w:r>
      <w:r w:rsidR="00177528" w:rsidRPr="005C4FCA">
        <w:rPr>
          <w:lang w:val="fr-FR"/>
        </w:rPr>
        <w:t>par</w:t>
      </w:r>
      <w:r w:rsidR="00E43B17" w:rsidRPr="005C4FCA">
        <w:rPr>
          <w:lang w:val="fr-FR"/>
        </w:rPr>
        <w:t xml:space="preserve"> personne ou entreprise.</w:t>
      </w:r>
    </w:p>
    <w:p w14:paraId="43F7304B" w14:textId="31D26AED" w:rsidR="00E31947" w:rsidRPr="00C25E04" w:rsidRDefault="00E43B17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En ce qui concerne les </w:t>
      </w:r>
      <w:r w:rsidRPr="00C25E04">
        <w:rPr>
          <w:lang w:val="fr-FR"/>
        </w:rPr>
        <w:t>renseignements demandés par</w:t>
      </w:r>
      <w:r w:rsidRPr="005C4FCA">
        <w:rPr>
          <w:lang w:val="fr-FR"/>
        </w:rPr>
        <w:t xml:space="preserve"> les offices de propriété </w:t>
      </w:r>
      <w:r w:rsidR="00F85A64" w:rsidRPr="005C4FCA">
        <w:rPr>
          <w:lang w:val="fr-FR"/>
        </w:rPr>
        <w:t>intellectuelle</w:t>
      </w:r>
      <w:r w:rsidRPr="005C4FCA">
        <w:rPr>
          <w:lang w:val="fr-FR"/>
        </w:rPr>
        <w:t xml:space="preserve"> pour </w:t>
      </w:r>
      <w:r w:rsidRPr="00C25E04">
        <w:rPr>
          <w:lang w:val="fr-FR"/>
        </w:rPr>
        <w:t>l</w:t>
      </w:r>
      <w:r w:rsidR="002A616C">
        <w:rPr>
          <w:lang w:val="fr-FR"/>
        </w:rPr>
        <w:t>’</w:t>
      </w:r>
      <w:r w:rsidRPr="00C25E04">
        <w:rPr>
          <w:lang w:val="fr-FR"/>
        </w:rPr>
        <w:t>attribution des identifiants aux déposants nationaux</w:t>
      </w:r>
      <w:r w:rsidRPr="005C4FCA">
        <w:rPr>
          <w:lang w:val="fr-FR"/>
        </w:rPr>
        <w:t xml:space="preserve">, les réponses </w:t>
      </w:r>
      <w:r w:rsidRPr="00C25E04">
        <w:rPr>
          <w:lang w:val="fr-FR"/>
        </w:rPr>
        <w:t xml:space="preserve">qui revenaient le plus </w:t>
      </w:r>
      <w:r w:rsidR="00C25E04" w:rsidRPr="00C25E04">
        <w:rPr>
          <w:lang w:val="fr-FR"/>
        </w:rPr>
        <w:t>souvent</w:t>
      </w:r>
      <w:r w:rsidRPr="00C25E04">
        <w:rPr>
          <w:lang w:val="fr-FR"/>
        </w:rPr>
        <w:t xml:space="preserve"> étaient les suivantes</w:t>
      </w:r>
      <w:r w:rsidR="008D3DFF">
        <w:rPr>
          <w:lang w:val="fr-FR"/>
        </w:rPr>
        <w:t> :</w:t>
      </w:r>
      <w:r w:rsidRPr="00C25E04">
        <w:rPr>
          <w:lang w:val="fr-FR"/>
        </w:rPr>
        <w:t xml:space="preserve"> l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inscription au registre des personnes morales (42%), </w:t>
      </w:r>
      <w:r w:rsidRPr="00C25E04">
        <w:rPr>
          <w:lang w:val="fr-FR"/>
        </w:rPr>
        <w:t xml:space="preserve">le </w:t>
      </w:r>
      <w:r w:rsidRPr="005C4FCA">
        <w:rPr>
          <w:lang w:val="fr-FR"/>
        </w:rPr>
        <w:t xml:space="preserve">numéro </w:t>
      </w:r>
      <w:r w:rsidRPr="00C25E04">
        <w:rPr>
          <w:lang w:val="fr-FR"/>
        </w:rPr>
        <w:t>d</w:t>
      </w:r>
      <w:r w:rsidR="002A616C">
        <w:rPr>
          <w:lang w:val="fr-FR"/>
        </w:rPr>
        <w:t>’</w:t>
      </w:r>
      <w:r w:rsidRPr="00C25E04">
        <w:rPr>
          <w:lang w:val="fr-FR"/>
        </w:rPr>
        <w:t>identification fiscale</w:t>
      </w:r>
      <w:r w:rsidRPr="005C4FCA">
        <w:rPr>
          <w:lang w:val="fr-FR"/>
        </w:rPr>
        <w:t xml:space="preserve"> (26%), l</w:t>
      </w:r>
      <w:r w:rsidR="002A616C">
        <w:rPr>
          <w:lang w:val="fr-FR"/>
        </w:rPr>
        <w:t>’</w:t>
      </w:r>
      <w:r w:rsidRPr="005C4FCA">
        <w:rPr>
          <w:lang w:val="fr-FR"/>
        </w:rPr>
        <w:t>adresse électronique (21%) et le numéro d</w:t>
      </w:r>
      <w:r w:rsidRPr="00C25E04">
        <w:rPr>
          <w:lang w:val="fr-FR"/>
        </w:rPr>
        <w:t>e</w:t>
      </w:r>
      <w:r w:rsidRPr="005C4FCA">
        <w:rPr>
          <w:lang w:val="fr-FR"/>
        </w:rPr>
        <w:t xml:space="preserve"> passeport (10%)</w:t>
      </w:r>
      <w:r w:rsidR="008D3DFF">
        <w:rPr>
          <w:lang w:val="fr-FR"/>
        </w:rPr>
        <w:t xml:space="preserve">.  </w:t>
      </w:r>
      <w:r w:rsidRPr="00C25E04">
        <w:rPr>
          <w:lang w:val="fr-FR"/>
        </w:rPr>
        <w:t>D</w:t>
      </w:r>
      <w:r w:rsidR="002A616C">
        <w:rPr>
          <w:lang w:val="fr-FR"/>
        </w:rPr>
        <w:t>’</w:t>
      </w:r>
      <w:r w:rsidRPr="00C25E04">
        <w:rPr>
          <w:lang w:val="fr-FR"/>
        </w:rPr>
        <w:t>autres renseignements sont également utilisés par certains offices pour l</w:t>
      </w:r>
      <w:r w:rsidR="002A616C">
        <w:rPr>
          <w:lang w:val="fr-FR"/>
        </w:rPr>
        <w:t>’</w:t>
      </w:r>
      <w:r w:rsidRPr="00C25E04">
        <w:rPr>
          <w:lang w:val="fr-FR"/>
        </w:rPr>
        <w:t>attribution des identifiants</w:t>
      </w:r>
      <w:r w:rsidRPr="005C4FCA">
        <w:rPr>
          <w:lang w:val="fr-FR"/>
        </w:rPr>
        <w:t>, tels que les noms, adresses et numéros d</w:t>
      </w:r>
      <w:r w:rsidR="002A616C">
        <w:rPr>
          <w:lang w:val="fr-FR"/>
        </w:rPr>
        <w:t>’</w:t>
      </w:r>
      <w:r w:rsidRPr="005C4FCA">
        <w:rPr>
          <w:lang w:val="fr-FR"/>
        </w:rPr>
        <w:t>identification personnel</w:t>
      </w:r>
      <w:r w:rsidRPr="00C25E04">
        <w:rPr>
          <w:lang w:val="fr-FR"/>
        </w:rPr>
        <w:t>le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Pour les déposants étrangers, les </w:t>
      </w:r>
      <w:r w:rsidRPr="00C25E04">
        <w:rPr>
          <w:lang w:val="fr-FR"/>
        </w:rPr>
        <w:t>o</w:t>
      </w:r>
      <w:r w:rsidRPr="005C4FCA">
        <w:rPr>
          <w:lang w:val="fr-FR"/>
        </w:rPr>
        <w:t>ffices utilisent ces sources d</w:t>
      </w:r>
      <w:r w:rsidRPr="00C25E04">
        <w:rPr>
          <w:lang w:val="fr-FR"/>
        </w:rPr>
        <w:t>e renseignements</w:t>
      </w:r>
      <w:r w:rsidRPr="005C4FCA">
        <w:rPr>
          <w:lang w:val="fr-FR"/>
        </w:rPr>
        <w:t xml:space="preserve"> avec </w:t>
      </w:r>
      <w:r w:rsidR="00B82242" w:rsidRPr="005C4FCA">
        <w:rPr>
          <w:lang w:val="fr-FR"/>
        </w:rPr>
        <w:t>la même</w:t>
      </w:r>
      <w:r w:rsidRPr="005C4FCA">
        <w:rPr>
          <w:lang w:val="fr-FR"/>
        </w:rPr>
        <w:t xml:space="preserve"> fréquence, à l</w:t>
      </w:r>
      <w:r w:rsidR="002A616C">
        <w:rPr>
          <w:lang w:val="fr-FR"/>
        </w:rPr>
        <w:t>’</w:t>
      </w:r>
      <w:r w:rsidRPr="005C4FCA">
        <w:rPr>
          <w:lang w:val="fr-FR"/>
        </w:rPr>
        <w:t>exception du registre des personnes morales (13%).</w:t>
      </w:r>
    </w:p>
    <w:p w14:paraId="2FE1FE22" w14:textId="3C11BE1A" w:rsidR="00E31947" w:rsidRPr="00C25E04" w:rsidRDefault="00F85A64" w:rsidP="006F04F9">
      <w:pPr>
        <w:pStyle w:val="ONUMFS"/>
        <w:rPr>
          <w:lang w:val="fr-FR"/>
        </w:rPr>
      </w:pPr>
      <w:r w:rsidRPr="00C25E04">
        <w:rPr>
          <w:color w:val="000000"/>
          <w:lang w:val="fr-FR"/>
        </w:rPr>
        <w:t xml:space="preserve">En outre, </w:t>
      </w:r>
      <w:r w:rsidRPr="005C4FCA">
        <w:rPr>
          <w:lang w:val="fr-FR"/>
        </w:rPr>
        <w:t xml:space="preserve">63% des offices de propriété </w:t>
      </w:r>
      <w:r w:rsidRPr="00C25E04">
        <w:rPr>
          <w:color w:val="000000"/>
          <w:lang w:val="fr-FR"/>
        </w:rPr>
        <w:t xml:space="preserve">intellectuelle </w:t>
      </w:r>
      <w:r w:rsidRPr="005C4FCA">
        <w:rPr>
          <w:lang w:val="fr-FR"/>
        </w:rPr>
        <w:t>considèrent qu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un identifiant mondial est une solution souhaitable pour les questions relatives aux noms des déposants, </w:t>
      </w:r>
      <w:r w:rsidRPr="00C25E04">
        <w:rPr>
          <w:color w:val="000000"/>
          <w:lang w:val="fr-FR"/>
        </w:rPr>
        <w:t xml:space="preserve">alors que </w:t>
      </w:r>
      <w:r w:rsidRPr="005C4FCA">
        <w:rPr>
          <w:lang w:val="fr-FR"/>
        </w:rPr>
        <w:t xml:space="preserve">5% </w:t>
      </w:r>
      <w:r w:rsidRPr="00C25E04">
        <w:rPr>
          <w:color w:val="000000"/>
          <w:lang w:val="fr-FR"/>
        </w:rPr>
        <w:t>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en sont pas certains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>Cela signifie néanmoins que près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un tiers des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(32%) considèrent qu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un</w:t>
      </w:r>
      <w:r w:rsidRPr="005C4FCA">
        <w:rPr>
          <w:lang w:val="fr-FR"/>
        </w:rPr>
        <w:t xml:space="preserve"> identif</w:t>
      </w:r>
      <w:r w:rsidRPr="00C25E04">
        <w:rPr>
          <w:color w:val="000000"/>
          <w:lang w:val="fr-FR"/>
        </w:rPr>
        <w:t>iant mondial 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 xml:space="preserve">est pas une solution </w:t>
      </w:r>
      <w:r w:rsidRPr="005C4FCA">
        <w:rPr>
          <w:lang w:val="fr-FR"/>
        </w:rPr>
        <w:t>souhaitable</w:t>
      </w:r>
      <w:r w:rsidR="008D3DFF">
        <w:rPr>
          <w:lang w:val="fr-FR"/>
        </w:rPr>
        <w:t xml:space="preserve">.  </w:t>
      </w:r>
      <w:r w:rsidR="00507E99" w:rsidRPr="005C4FCA">
        <w:rPr>
          <w:lang w:val="fr-FR"/>
        </w:rPr>
        <w:t>Certains</w:t>
      </w:r>
      <w:r w:rsidRPr="005C4FCA">
        <w:rPr>
          <w:lang w:val="fr-FR"/>
        </w:rPr>
        <w:t xml:space="preserve"> offices de propriété intellectuelle ont indiqué</w:t>
      </w:r>
      <w:r w:rsidR="00507E99" w:rsidRPr="005C4FCA">
        <w:rPr>
          <w:lang w:val="fr-FR"/>
        </w:rPr>
        <w:t xml:space="preserve"> dans leurs observations</w:t>
      </w:r>
      <w:r w:rsidRPr="005C4FCA">
        <w:rPr>
          <w:lang w:val="fr-FR"/>
        </w:rPr>
        <w:t xml:space="preserve"> qu</w:t>
      </w:r>
      <w:r w:rsidR="002A616C">
        <w:rPr>
          <w:lang w:val="fr-FR"/>
        </w:rPr>
        <w:t>’</w:t>
      </w:r>
      <w:r w:rsidRPr="005C4FCA">
        <w:rPr>
          <w:lang w:val="fr-FR"/>
        </w:rPr>
        <w:t>ils n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étaient pas </w:t>
      </w:r>
      <w:r w:rsidRPr="00C25E04">
        <w:rPr>
          <w:color w:val="000000"/>
          <w:lang w:val="fr-FR"/>
        </w:rPr>
        <w:t xml:space="preserve">certains </w:t>
      </w:r>
      <w:r w:rsidRPr="005C4FCA">
        <w:rPr>
          <w:lang w:val="fr-FR"/>
        </w:rPr>
        <w:t xml:space="preserve">de </w:t>
      </w:r>
      <w:r w:rsidRPr="00C25E04">
        <w:rPr>
          <w:color w:val="000000"/>
          <w:lang w:val="fr-FR"/>
        </w:rPr>
        <w:t xml:space="preserve">la façon dont un identifiant mondial </w:t>
      </w:r>
      <w:r w:rsidRPr="005C4FCA">
        <w:rPr>
          <w:lang w:val="fr-FR"/>
        </w:rPr>
        <w:t>serait utilisé et combien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offices</w:t>
      </w:r>
      <w:r w:rsidRPr="005C4FCA">
        <w:rPr>
          <w:lang w:val="fr-FR"/>
        </w:rPr>
        <w:t xml:space="preserve"> l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adopteraient, </w:t>
      </w:r>
      <w:r w:rsidRPr="00C25E04">
        <w:rPr>
          <w:color w:val="000000"/>
          <w:lang w:val="fr-FR"/>
        </w:rPr>
        <w:t>bien qu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 xml:space="preserve">ils </w:t>
      </w:r>
      <w:r w:rsidR="00C02C54">
        <w:rPr>
          <w:color w:val="000000"/>
          <w:lang w:val="fr-FR"/>
        </w:rPr>
        <w:t>soient favorables à</w:t>
      </w:r>
      <w:r w:rsidRPr="00C25E04">
        <w:rPr>
          <w:color w:val="000000"/>
          <w:lang w:val="fr-FR"/>
        </w:rPr>
        <w:t xml:space="preserve"> l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idée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un identifiant mondial</w:t>
      </w:r>
      <w:r w:rsidR="008D3DFF">
        <w:rPr>
          <w:lang w:val="fr-FR"/>
        </w:rPr>
        <w:t xml:space="preserve">.  </w:t>
      </w:r>
      <w:r w:rsidRPr="00C25E04">
        <w:rPr>
          <w:color w:val="000000"/>
          <w:lang w:val="fr-FR"/>
        </w:rPr>
        <w:t xml:space="preserve">Quant à la façon </w:t>
      </w:r>
      <w:r w:rsidRPr="005C4FCA">
        <w:rPr>
          <w:lang w:val="fr-FR"/>
        </w:rPr>
        <w:t xml:space="preserve">de mettre en </w:t>
      </w:r>
      <w:r w:rsidR="00C25E04" w:rsidRPr="005C4FCA">
        <w:rPr>
          <w:lang w:val="fr-FR"/>
        </w:rPr>
        <w:t>œuvre</w:t>
      </w:r>
      <w:r w:rsidRPr="005C4FCA">
        <w:rPr>
          <w:lang w:val="fr-FR"/>
        </w:rPr>
        <w:t xml:space="preserve"> </w:t>
      </w:r>
      <w:r w:rsidRPr="00C25E04">
        <w:rPr>
          <w:color w:val="000000"/>
          <w:lang w:val="fr-FR"/>
        </w:rPr>
        <w:t>un identifiant mondial</w:t>
      </w:r>
      <w:r w:rsidRPr="005C4FCA">
        <w:rPr>
          <w:lang w:val="fr-FR"/>
        </w:rPr>
        <w:t xml:space="preserve">, certains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ont suggéré de créer un mécanisme permettant aux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d</w:t>
      </w:r>
      <w:r w:rsidR="002A616C">
        <w:rPr>
          <w:lang w:val="fr-FR"/>
        </w:rPr>
        <w:t>’</w:t>
      </w:r>
      <w:r w:rsidRPr="005C4FCA">
        <w:rPr>
          <w:lang w:val="fr-FR"/>
        </w:rPr>
        <w:t>indiquer les identifiants nationaux déjà utilisés par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autres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</w:t>
      </w:r>
      <w:r w:rsidR="008D3DFF">
        <w:rPr>
          <w:lang w:val="fr-FR"/>
        </w:rPr>
        <w:t xml:space="preserve">.  </w:t>
      </w:r>
      <w:r w:rsidR="00B726FC" w:rsidRPr="005C4FCA">
        <w:rPr>
          <w:lang w:val="fr-FR"/>
        </w:rPr>
        <w:t xml:space="preserve">Quelques </w:t>
      </w:r>
      <w:r w:rsidR="00B726FC" w:rsidRPr="00C25E04">
        <w:rPr>
          <w:color w:val="000000"/>
          <w:lang w:val="fr-FR"/>
        </w:rPr>
        <w:t>o</w:t>
      </w:r>
      <w:r w:rsidR="00B726FC" w:rsidRPr="005C4FCA">
        <w:rPr>
          <w:lang w:val="fr-FR"/>
        </w:rPr>
        <w:t xml:space="preserve">ffices ont suggéré </w:t>
      </w:r>
      <w:r w:rsidR="00B726FC" w:rsidRPr="00C25E04">
        <w:rPr>
          <w:color w:val="000000"/>
          <w:lang w:val="fr-FR"/>
        </w:rPr>
        <w:t>que</w:t>
      </w:r>
      <w:r w:rsidR="00B726FC" w:rsidRPr="005C4FCA">
        <w:rPr>
          <w:lang w:val="fr-FR"/>
        </w:rPr>
        <w:t xml:space="preserve"> l</w:t>
      </w:r>
      <w:r w:rsidR="002A616C">
        <w:rPr>
          <w:lang w:val="fr-FR"/>
        </w:rPr>
        <w:t>’</w:t>
      </w:r>
      <w:r w:rsidR="00B726FC" w:rsidRPr="005C4FCA">
        <w:rPr>
          <w:lang w:val="fr-FR"/>
        </w:rPr>
        <w:t xml:space="preserve">OMPI </w:t>
      </w:r>
      <w:r w:rsidR="00B726FC" w:rsidRPr="00C25E04">
        <w:rPr>
          <w:color w:val="000000"/>
          <w:lang w:val="fr-FR"/>
        </w:rPr>
        <w:t>se charge de l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attribution et de la gestion de l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identifiant mondial pour les demandes selon</w:t>
      </w:r>
      <w:r w:rsidR="00C25E04" w:rsidRPr="00C25E04">
        <w:rPr>
          <w:color w:val="000000"/>
          <w:lang w:val="fr-FR"/>
        </w:rPr>
        <w:t xml:space="preserve"> le</w:t>
      </w:r>
      <w:r w:rsidR="00C25E04">
        <w:rPr>
          <w:color w:val="000000"/>
          <w:lang w:val="fr-FR"/>
        </w:rPr>
        <w:t> </w:t>
      </w:r>
      <w:r w:rsidR="00C25E04" w:rsidRPr="00C25E04">
        <w:rPr>
          <w:color w:val="000000"/>
          <w:lang w:val="fr-FR"/>
        </w:rPr>
        <w:t>PCT</w:t>
      </w:r>
      <w:r w:rsidR="00B726FC" w:rsidRPr="00C25E04">
        <w:rPr>
          <w:color w:val="000000"/>
          <w:lang w:val="fr-FR"/>
        </w:rPr>
        <w:t xml:space="preserve"> ou selon le </w:t>
      </w:r>
      <w:r w:rsidR="00C25E04" w:rsidRPr="00C25E04">
        <w:rPr>
          <w:color w:val="000000"/>
          <w:lang w:val="fr-FR"/>
        </w:rPr>
        <w:t>système</w:t>
      </w:r>
      <w:r w:rsidR="00B726FC" w:rsidRPr="00C25E04">
        <w:rPr>
          <w:color w:val="000000"/>
          <w:lang w:val="fr-FR"/>
        </w:rPr>
        <w:t xml:space="preserve"> de Madrid</w:t>
      </w:r>
      <w:r w:rsidR="008D3DFF">
        <w:rPr>
          <w:lang w:val="fr-FR"/>
        </w:rPr>
        <w:t xml:space="preserve">.  </w:t>
      </w:r>
      <w:r w:rsidR="00B726FC" w:rsidRPr="00C25E04">
        <w:rPr>
          <w:color w:val="000000"/>
          <w:lang w:val="fr-FR"/>
        </w:rPr>
        <w:t xml:space="preserve">Onze offices ont </w:t>
      </w:r>
      <w:r w:rsidR="00C25E04" w:rsidRPr="00C25E04">
        <w:rPr>
          <w:color w:val="000000"/>
          <w:lang w:val="fr-FR"/>
        </w:rPr>
        <w:t>indiqué</w:t>
      </w:r>
      <w:r w:rsidR="00B726FC" w:rsidRPr="00C25E04">
        <w:rPr>
          <w:color w:val="000000"/>
          <w:lang w:val="fr-FR"/>
        </w:rPr>
        <w:t xml:space="preserve"> que, si un identifiant mondial était adopté, </w:t>
      </w:r>
      <w:r w:rsidR="00B726FC" w:rsidRPr="005C4FCA">
        <w:rPr>
          <w:lang w:val="fr-FR"/>
        </w:rPr>
        <w:t xml:space="preserve">ils utiliseraient à la fois </w:t>
      </w:r>
      <w:r w:rsidR="00B726FC" w:rsidRPr="00C25E04">
        <w:rPr>
          <w:color w:val="000000"/>
          <w:lang w:val="fr-FR"/>
        </w:rPr>
        <w:t>l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identifiant mondial et l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identifiant national</w:t>
      </w:r>
      <w:r w:rsidR="008D3DFF">
        <w:rPr>
          <w:lang w:val="fr-FR"/>
        </w:rPr>
        <w:t>.  Trois </w:t>
      </w:r>
      <w:r w:rsidR="00B726FC" w:rsidRPr="00C25E04">
        <w:rPr>
          <w:color w:val="000000"/>
          <w:lang w:val="fr-FR"/>
        </w:rPr>
        <w:t>o</w:t>
      </w:r>
      <w:r w:rsidR="00B726FC" w:rsidRPr="005C4FCA">
        <w:rPr>
          <w:lang w:val="fr-FR"/>
        </w:rPr>
        <w:t>ffices ont indiqué qu</w:t>
      </w:r>
      <w:r w:rsidR="002A616C">
        <w:rPr>
          <w:lang w:val="fr-FR"/>
        </w:rPr>
        <w:t>’</w:t>
      </w:r>
      <w:r w:rsidR="00B726FC" w:rsidRPr="005C4FCA">
        <w:rPr>
          <w:lang w:val="fr-FR"/>
        </w:rPr>
        <w:t>ils passeraient probablement de l</w:t>
      </w:r>
      <w:r w:rsidR="002A616C">
        <w:rPr>
          <w:lang w:val="fr-FR"/>
        </w:rPr>
        <w:t>’</w:t>
      </w:r>
      <w:r w:rsidR="00B726FC" w:rsidRPr="005C4FCA">
        <w:rPr>
          <w:lang w:val="fr-FR"/>
        </w:rPr>
        <w:t>utilisation d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un identifiant national à l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utilisation d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un identifiant mondial</w:t>
      </w:r>
      <w:r w:rsidR="008D3DFF">
        <w:rPr>
          <w:lang w:val="fr-FR"/>
        </w:rPr>
        <w:t>.  Quatre </w:t>
      </w:r>
      <w:r w:rsidR="00B726FC" w:rsidRPr="00C25E04">
        <w:rPr>
          <w:color w:val="000000"/>
          <w:lang w:val="fr-FR"/>
        </w:rPr>
        <w:t>o</w:t>
      </w:r>
      <w:r w:rsidR="00B726FC" w:rsidRPr="005C4FCA">
        <w:rPr>
          <w:lang w:val="fr-FR"/>
        </w:rPr>
        <w:t xml:space="preserve">ffices ont indiqué </w:t>
      </w:r>
      <w:r w:rsidR="00B726FC" w:rsidRPr="00C25E04">
        <w:rPr>
          <w:color w:val="000000"/>
          <w:lang w:val="fr-FR"/>
        </w:rPr>
        <w:t>que, à l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heure actuelle, il n</w:t>
      </w:r>
      <w:r w:rsidR="002A616C">
        <w:rPr>
          <w:color w:val="000000"/>
          <w:lang w:val="fr-FR"/>
        </w:rPr>
        <w:t>’</w:t>
      </w:r>
      <w:r w:rsidR="00B726FC" w:rsidRPr="00C25E04">
        <w:rPr>
          <w:color w:val="000000"/>
          <w:lang w:val="fr-FR"/>
        </w:rPr>
        <w:t>y avait pas</w:t>
      </w:r>
      <w:r w:rsidR="00B726FC" w:rsidRPr="005C4FCA">
        <w:rPr>
          <w:lang w:val="fr-FR"/>
        </w:rPr>
        <w:t xml:space="preserve"> suffisamment d</w:t>
      </w:r>
      <w:r w:rsidR="002A616C">
        <w:rPr>
          <w:lang w:val="fr-FR"/>
        </w:rPr>
        <w:t>’</w:t>
      </w:r>
      <w:r w:rsidR="00B726FC" w:rsidRPr="005C4FCA">
        <w:rPr>
          <w:lang w:val="fr-FR"/>
        </w:rPr>
        <w:t xml:space="preserve">informations sur les identifiants </w:t>
      </w:r>
      <w:r w:rsidR="00B726FC" w:rsidRPr="00C25E04">
        <w:rPr>
          <w:color w:val="000000"/>
          <w:lang w:val="fr-FR"/>
        </w:rPr>
        <w:t xml:space="preserve">mondiaux </w:t>
      </w:r>
      <w:r w:rsidR="00B726FC" w:rsidRPr="005C4FCA">
        <w:rPr>
          <w:lang w:val="fr-FR"/>
        </w:rPr>
        <w:t xml:space="preserve">pour </w:t>
      </w:r>
      <w:r w:rsidR="00B726FC" w:rsidRPr="00C25E04">
        <w:rPr>
          <w:color w:val="000000"/>
          <w:lang w:val="fr-FR"/>
        </w:rPr>
        <w:t xml:space="preserve">pouvoir </w:t>
      </w:r>
      <w:r w:rsidR="00F0085F">
        <w:rPr>
          <w:color w:val="000000"/>
          <w:lang w:val="fr-FR"/>
        </w:rPr>
        <w:t>prendre une décision</w:t>
      </w:r>
      <w:r w:rsidR="00B726FC" w:rsidRPr="005C4FCA">
        <w:rPr>
          <w:lang w:val="fr-FR"/>
        </w:rPr>
        <w:t>.</w:t>
      </w:r>
    </w:p>
    <w:p w14:paraId="0C730D60" w14:textId="39B9934A" w:rsidR="00E31947" w:rsidRPr="00C25E04" w:rsidRDefault="00B726FC" w:rsidP="00B726FC">
      <w:pPr>
        <w:pStyle w:val="Heading3"/>
        <w:rPr>
          <w:lang w:val="fr-FR"/>
        </w:rPr>
      </w:pPr>
      <w:r w:rsidRPr="005C4FCA">
        <w:rPr>
          <w:lang w:val="fr-FR"/>
        </w:rPr>
        <w:t>Partie B – Absence d</w:t>
      </w:r>
      <w:r w:rsidR="002A616C">
        <w:rPr>
          <w:lang w:val="fr-FR"/>
        </w:rPr>
        <w:t>’</w:t>
      </w:r>
      <w:r w:rsidRPr="005C4FCA">
        <w:rPr>
          <w:lang w:val="fr-FR"/>
        </w:rPr>
        <w:t>identifiants</w:t>
      </w:r>
    </w:p>
    <w:p w14:paraId="6265C9E7" w14:textId="414A8F5F" w:rsidR="00E31947" w:rsidRPr="00C25E04" w:rsidRDefault="00AA7D92" w:rsidP="006F04F9">
      <w:pPr>
        <w:pStyle w:val="ONUMFS"/>
        <w:rPr>
          <w:lang w:val="fr-FR"/>
        </w:rPr>
      </w:pPr>
      <w:r w:rsidRPr="00C25E04">
        <w:rPr>
          <w:lang w:val="fr-FR"/>
        </w:rPr>
        <w:t>Peu d</w:t>
      </w:r>
      <w:r w:rsidR="002A616C">
        <w:rPr>
          <w:lang w:val="fr-FR"/>
        </w:rPr>
        <w:t>’</w:t>
      </w:r>
      <w:r w:rsidRPr="00C25E04">
        <w:rPr>
          <w:lang w:val="fr-FR"/>
        </w:rPr>
        <w:t>offices ont répondu aux questions posées dans</w:t>
      </w:r>
      <w:r w:rsidR="00A83E4D" w:rsidRPr="005C4FCA">
        <w:rPr>
          <w:lang w:val="fr-FR"/>
        </w:rPr>
        <w:t xml:space="preserve"> cette partie de l</w:t>
      </w:r>
      <w:r w:rsidR="002A616C">
        <w:rPr>
          <w:lang w:val="fr-FR"/>
        </w:rPr>
        <w:t>’</w:t>
      </w:r>
      <w:r w:rsidR="00A83E4D" w:rsidRPr="005C4FCA">
        <w:rPr>
          <w:lang w:val="fr-FR"/>
        </w:rPr>
        <w:t>enquête, les questions</w:t>
      </w:r>
      <w:r w:rsidR="001134FC" w:rsidRPr="005C4FCA">
        <w:rPr>
          <w:lang w:val="fr-FR"/>
        </w:rPr>
        <w:t> </w:t>
      </w:r>
      <w:r w:rsidR="00A83E4D" w:rsidRPr="005C4FCA">
        <w:rPr>
          <w:lang w:val="fr-FR"/>
        </w:rPr>
        <w:t>8 et 9 ne recevant que</w:t>
      </w:r>
      <w:r w:rsidR="008D3DFF">
        <w:rPr>
          <w:lang w:val="fr-FR"/>
        </w:rPr>
        <w:t xml:space="preserve"> cinq </w:t>
      </w:r>
      <w:r w:rsidR="00A83E4D" w:rsidRPr="005C4FCA">
        <w:rPr>
          <w:lang w:val="fr-FR"/>
        </w:rPr>
        <w:t>réponses chacune</w:t>
      </w:r>
      <w:r w:rsidR="00A83E4D" w:rsidRPr="00C25E04">
        <w:rPr>
          <w:color w:val="000000"/>
          <w:lang w:val="fr-FR"/>
        </w:rPr>
        <w:t xml:space="preserve"> environ</w:t>
      </w:r>
      <w:r w:rsidR="008D3DFF">
        <w:rPr>
          <w:lang w:val="fr-FR"/>
        </w:rPr>
        <w:t xml:space="preserve">.  </w:t>
      </w:r>
      <w:r w:rsidR="00A83E4D" w:rsidRPr="00C25E04">
        <w:rPr>
          <w:color w:val="000000"/>
          <w:lang w:val="fr-FR"/>
        </w:rPr>
        <w:t>Ce résultat s</w:t>
      </w:r>
      <w:r w:rsidR="002A616C">
        <w:rPr>
          <w:color w:val="000000"/>
          <w:lang w:val="fr-FR"/>
        </w:rPr>
        <w:t>’</w:t>
      </w:r>
      <w:r w:rsidR="00A83E4D" w:rsidRPr="00C25E04">
        <w:rPr>
          <w:color w:val="000000"/>
          <w:lang w:val="fr-FR"/>
        </w:rPr>
        <w:t>explique probablement par le fait que</w:t>
      </w:r>
      <w:r w:rsidR="00A83E4D" w:rsidRPr="005C4FCA">
        <w:rPr>
          <w:lang w:val="fr-FR"/>
        </w:rPr>
        <w:t xml:space="preserve"> la plupart des </w:t>
      </w:r>
      <w:r w:rsidR="00A83E4D" w:rsidRPr="00C25E04">
        <w:rPr>
          <w:color w:val="000000"/>
          <w:lang w:val="fr-FR"/>
        </w:rPr>
        <w:t>o</w:t>
      </w:r>
      <w:r w:rsidR="00A83E4D" w:rsidRPr="005C4FCA">
        <w:rPr>
          <w:lang w:val="fr-FR"/>
        </w:rPr>
        <w:t>ffices participant à l</w:t>
      </w:r>
      <w:r w:rsidR="002A616C">
        <w:rPr>
          <w:lang w:val="fr-FR"/>
        </w:rPr>
        <w:t>’</w:t>
      </w:r>
      <w:r w:rsidR="00A83E4D" w:rsidRPr="005C4FCA">
        <w:rPr>
          <w:lang w:val="fr-FR"/>
        </w:rPr>
        <w:t>enquête utilisent une certaine forme d</w:t>
      </w:r>
      <w:r w:rsidR="002A616C">
        <w:rPr>
          <w:lang w:val="fr-FR"/>
        </w:rPr>
        <w:t>’</w:t>
      </w:r>
      <w:r w:rsidR="00A83E4D" w:rsidRPr="005C4FCA">
        <w:rPr>
          <w:lang w:val="fr-FR"/>
        </w:rPr>
        <w:t>identi</w:t>
      </w:r>
      <w:r w:rsidR="00C25E04" w:rsidRPr="005C4FCA">
        <w:rPr>
          <w:lang w:val="fr-FR"/>
        </w:rPr>
        <w:t>fi</w:t>
      </w:r>
      <w:r w:rsidR="00A83E4D" w:rsidRPr="00C25E04">
        <w:rPr>
          <w:color w:val="000000"/>
          <w:lang w:val="fr-FR"/>
        </w:rPr>
        <w:t>ant</w:t>
      </w:r>
      <w:r w:rsidR="00A83E4D" w:rsidRPr="005C4FCA">
        <w:rPr>
          <w:lang w:val="fr-FR"/>
        </w:rPr>
        <w:t xml:space="preserve">, comme </w:t>
      </w:r>
      <w:r w:rsidR="00A83E4D" w:rsidRPr="00C25E04">
        <w:rPr>
          <w:color w:val="000000"/>
          <w:lang w:val="fr-FR"/>
        </w:rPr>
        <w:t>l</w:t>
      </w:r>
      <w:r w:rsidR="002A616C">
        <w:rPr>
          <w:color w:val="000000"/>
          <w:lang w:val="fr-FR"/>
        </w:rPr>
        <w:t>’</w:t>
      </w:r>
      <w:r w:rsidR="00A83E4D" w:rsidRPr="00C25E04">
        <w:rPr>
          <w:color w:val="000000"/>
          <w:lang w:val="fr-FR"/>
        </w:rPr>
        <w:t xml:space="preserve">indique </w:t>
      </w:r>
      <w:r w:rsidR="00A83E4D" w:rsidRPr="005C4FCA">
        <w:rPr>
          <w:lang w:val="fr-FR"/>
        </w:rPr>
        <w:t xml:space="preserve">le nombre de réponses données dans la première </w:t>
      </w:r>
      <w:r w:rsidR="00A83E4D" w:rsidRPr="00C25E04">
        <w:rPr>
          <w:color w:val="000000"/>
          <w:lang w:val="fr-FR"/>
        </w:rPr>
        <w:t>partie</w:t>
      </w:r>
      <w:r w:rsidR="008D3DFF">
        <w:rPr>
          <w:lang w:val="fr-FR"/>
        </w:rPr>
        <w:t xml:space="preserve">.  </w:t>
      </w:r>
      <w:r w:rsidR="00A83E4D" w:rsidRPr="005C4FCA">
        <w:rPr>
          <w:lang w:val="fr-FR"/>
        </w:rPr>
        <w:t>Toutefois, il est difficile d</w:t>
      </w:r>
      <w:r w:rsidR="002A616C">
        <w:rPr>
          <w:lang w:val="fr-FR"/>
        </w:rPr>
        <w:t>’</w:t>
      </w:r>
      <w:r w:rsidR="00A83E4D" w:rsidRPr="00C25E04">
        <w:rPr>
          <w:color w:val="000000"/>
          <w:lang w:val="fr-FR"/>
        </w:rPr>
        <w:t>en être</w:t>
      </w:r>
      <w:r w:rsidR="00A83E4D" w:rsidRPr="005C4FCA">
        <w:rPr>
          <w:lang w:val="fr-FR"/>
        </w:rPr>
        <w:t xml:space="preserve"> absolument certain</w:t>
      </w:r>
      <w:r w:rsidR="00A83E4D" w:rsidRPr="00C25E04">
        <w:rPr>
          <w:color w:val="000000"/>
          <w:lang w:val="fr-FR"/>
        </w:rPr>
        <w:t xml:space="preserve">, </w:t>
      </w:r>
      <w:r w:rsidR="00A83E4D" w:rsidRPr="005C4FCA">
        <w:rPr>
          <w:lang w:val="fr-FR"/>
        </w:rPr>
        <w:t xml:space="preserve">car </w:t>
      </w:r>
      <w:r w:rsidR="00A83E4D" w:rsidRPr="00C25E04">
        <w:rPr>
          <w:color w:val="000000"/>
          <w:lang w:val="fr-FR"/>
        </w:rPr>
        <w:t>cela n</w:t>
      </w:r>
      <w:r w:rsidR="002A616C">
        <w:rPr>
          <w:color w:val="000000"/>
          <w:lang w:val="fr-FR"/>
        </w:rPr>
        <w:t>’</w:t>
      </w:r>
      <w:r w:rsidR="00A83E4D" w:rsidRPr="00C25E04">
        <w:rPr>
          <w:color w:val="000000"/>
          <w:lang w:val="fr-FR"/>
        </w:rPr>
        <w:t>a pas été expressément demandé</w:t>
      </w:r>
      <w:r w:rsidR="00A83E4D" w:rsidRPr="005C4FCA">
        <w:rPr>
          <w:lang w:val="fr-FR"/>
        </w:rPr>
        <w:t xml:space="preserve"> dans l</w:t>
      </w:r>
      <w:r w:rsidR="002A616C">
        <w:rPr>
          <w:lang w:val="fr-FR"/>
        </w:rPr>
        <w:t>’</w:t>
      </w:r>
      <w:r w:rsidR="00A83E4D" w:rsidRPr="005C4FCA">
        <w:rPr>
          <w:lang w:val="fr-FR"/>
        </w:rPr>
        <w:t>enquête.</w:t>
      </w:r>
    </w:p>
    <w:p w14:paraId="65D4EAF9" w14:textId="65B20098" w:rsidR="00E31947" w:rsidRPr="00C25E04" w:rsidRDefault="00A83E4D" w:rsidP="006F04F9">
      <w:pPr>
        <w:pStyle w:val="ONUMFS"/>
        <w:rPr>
          <w:lang w:val="fr-FR"/>
        </w:rPr>
      </w:pPr>
      <w:r w:rsidRPr="005C4FCA">
        <w:rPr>
          <w:lang w:val="fr-FR"/>
        </w:rPr>
        <w:t>Dans le cas des offices qui n</w:t>
      </w:r>
      <w:r w:rsidRPr="00C25E04">
        <w:rPr>
          <w:color w:val="000000"/>
          <w:lang w:val="fr-FR"/>
        </w:rPr>
        <w:t xml:space="preserve">e prévoient pas </w:t>
      </w:r>
      <w:r w:rsidRPr="005C4FCA">
        <w:rPr>
          <w:lang w:val="fr-FR"/>
        </w:rPr>
        <w:t>d</w:t>
      </w:r>
      <w:r w:rsidR="002A616C">
        <w:rPr>
          <w:lang w:val="fr-FR"/>
        </w:rPr>
        <w:t>’</w:t>
      </w:r>
      <w:r w:rsidRPr="005C4FCA">
        <w:rPr>
          <w:lang w:val="fr-FR"/>
        </w:rPr>
        <w:t>utiliser d</w:t>
      </w:r>
      <w:r w:rsidR="002A616C">
        <w:rPr>
          <w:color w:val="000000"/>
          <w:lang w:val="fr-FR"/>
        </w:rPr>
        <w:t>’</w:t>
      </w:r>
      <w:r w:rsidRPr="005C4FCA">
        <w:rPr>
          <w:lang w:val="fr-FR"/>
        </w:rPr>
        <w:t>identifiants,</w:t>
      </w:r>
      <w:r w:rsidR="008D3DFF">
        <w:rPr>
          <w:lang w:val="fr-FR"/>
        </w:rPr>
        <w:t xml:space="preserve"> trois </w:t>
      </w:r>
      <w:r w:rsidR="00E34833">
        <w:rPr>
          <w:color w:val="000000"/>
          <w:lang w:val="fr-FR"/>
        </w:rPr>
        <w:t>offices</w:t>
      </w:r>
      <w:r w:rsidRPr="00C25E04">
        <w:rPr>
          <w:color w:val="000000"/>
          <w:lang w:val="fr-FR"/>
        </w:rPr>
        <w:t xml:space="preserve"> </w:t>
      </w:r>
      <w:r w:rsidRPr="005C4FCA">
        <w:rPr>
          <w:lang w:val="fr-FR"/>
        </w:rPr>
        <w:t xml:space="preserve">ont </w:t>
      </w:r>
      <w:r w:rsidRPr="00C25E04">
        <w:rPr>
          <w:color w:val="000000"/>
          <w:lang w:val="fr-FR"/>
        </w:rPr>
        <w:t xml:space="preserve">précisé que </w:t>
      </w:r>
      <w:r w:rsidRPr="005C4FCA">
        <w:rPr>
          <w:lang w:val="fr-FR"/>
        </w:rPr>
        <w:t>leur système informatique 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était</w:t>
      </w:r>
      <w:r w:rsidRPr="005C4FCA">
        <w:rPr>
          <w:lang w:val="fr-FR"/>
        </w:rPr>
        <w:t xml:space="preserve"> pas </w:t>
      </w:r>
      <w:r w:rsidRPr="00C25E04">
        <w:rPr>
          <w:color w:val="000000"/>
          <w:lang w:val="fr-FR"/>
        </w:rPr>
        <w:t>conçu pour prendre en charge les identifiants pour les déposants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Un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 (US) a simplement déclaré qu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il </w:t>
      </w:r>
      <w:r w:rsidRPr="00C25E04">
        <w:rPr>
          <w:color w:val="000000"/>
          <w:lang w:val="fr-FR"/>
        </w:rPr>
        <w:t>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exigeait pas</w:t>
      </w:r>
      <w:r w:rsidRPr="005C4FCA">
        <w:rPr>
          <w:lang w:val="fr-FR"/>
        </w:rPr>
        <w:t xml:space="preserve"> d</w:t>
      </w:r>
      <w:r w:rsidR="002A616C">
        <w:rPr>
          <w:lang w:val="fr-FR"/>
        </w:rPr>
        <w:t>’</w:t>
      </w:r>
      <w:r w:rsidRPr="005C4FCA">
        <w:rPr>
          <w:lang w:val="fr-FR"/>
        </w:rPr>
        <w:t>identifiant pour les déposants</w:t>
      </w:r>
      <w:r w:rsidRPr="00C25E04">
        <w:rPr>
          <w:color w:val="000000"/>
          <w:lang w:val="fr-FR"/>
        </w:rPr>
        <w:t>,</w:t>
      </w:r>
      <w:r w:rsidRPr="005C4FCA">
        <w:rPr>
          <w:lang w:val="fr-FR"/>
        </w:rPr>
        <w:t xml:space="preserve"> sans </w:t>
      </w:r>
      <w:r w:rsidRPr="00C25E04">
        <w:rPr>
          <w:color w:val="000000"/>
          <w:lang w:val="fr-FR"/>
        </w:rPr>
        <w:t>autre explication</w:t>
      </w:r>
      <w:r w:rsidR="008D3DFF">
        <w:rPr>
          <w:lang w:val="fr-FR"/>
        </w:rPr>
        <w:t xml:space="preserve">.  </w:t>
      </w:r>
      <w:r w:rsidR="00900958" w:rsidRPr="00C25E04">
        <w:rPr>
          <w:color w:val="000000"/>
          <w:lang w:val="fr-FR"/>
        </w:rPr>
        <w:t>S</w:t>
      </w:r>
      <w:r w:rsidR="002A616C">
        <w:rPr>
          <w:color w:val="000000"/>
          <w:lang w:val="fr-FR"/>
        </w:rPr>
        <w:t>’</w:t>
      </w:r>
      <w:r w:rsidR="00900958" w:rsidRPr="00C25E04">
        <w:rPr>
          <w:color w:val="000000"/>
          <w:lang w:val="fr-FR"/>
        </w:rPr>
        <w:t xml:space="preserve">agissant de la question relative à tout fonctionnement autre que le recours aux identifiants, un office </w:t>
      </w:r>
      <w:r w:rsidR="00900958" w:rsidRPr="005C4FCA">
        <w:rPr>
          <w:lang w:val="fr-FR"/>
        </w:rPr>
        <w:t xml:space="preserve">(CR) a indiqué utiliser les recherches de données avec correction manuelle pour traiter les doublons </w:t>
      </w:r>
      <w:r w:rsidR="00900958" w:rsidRPr="00C25E04">
        <w:rPr>
          <w:color w:val="000000"/>
          <w:lang w:val="fr-FR"/>
        </w:rPr>
        <w:t>concernant un</w:t>
      </w:r>
      <w:r w:rsidR="00900958" w:rsidRPr="005C4FCA">
        <w:rPr>
          <w:lang w:val="fr-FR"/>
        </w:rPr>
        <w:t xml:space="preserve"> même propriétaire, tandis qu</w:t>
      </w:r>
      <w:r w:rsidR="002A616C">
        <w:rPr>
          <w:lang w:val="fr-FR"/>
        </w:rPr>
        <w:t>’</w:t>
      </w:r>
      <w:r w:rsidR="00900958" w:rsidRPr="005C4FCA">
        <w:rPr>
          <w:lang w:val="fr-FR"/>
        </w:rPr>
        <w:t xml:space="preserve">un autre </w:t>
      </w:r>
      <w:r w:rsidR="00900958" w:rsidRPr="00C25E04">
        <w:rPr>
          <w:color w:val="000000"/>
          <w:lang w:val="fr-FR"/>
        </w:rPr>
        <w:t>o</w:t>
      </w:r>
      <w:r w:rsidR="00900958" w:rsidRPr="005C4FCA">
        <w:rPr>
          <w:lang w:val="fr-FR"/>
        </w:rPr>
        <w:t>ffice (DO) a indiqué utiliser des rapports statistiques pour détecter les problèmes</w:t>
      </w:r>
      <w:r w:rsidR="00900958" w:rsidRPr="00C25E04">
        <w:rPr>
          <w:color w:val="000000"/>
          <w:lang w:val="fr-FR"/>
        </w:rPr>
        <w:t xml:space="preserve"> et les résoudre</w:t>
      </w:r>
      <w:r w:rsidR="00900958" w:rsidRPr="005C4FCA">
        <w:rPr>
          <w:lang w:val="fr-FR"/>
        </w:rPr>
        <w:t>.</w:t>
      </w:r>
    </w:p>
    <w:p w14:paraId="2D7A833E" w14:textId="5CCD7945" w:rsidR="00E31947" w:rsidRPr="00C25E04" w:rsidRDefault="00900958" w:rsidP="006F04F9">
      <w:pPr>
        <w:pStyle w:val="ONUMFS"/>
        <w:rPr>
          <w:lang w:val="fr-FR"/>
        </w:rPr>
      </w:pPr>
      <w:r w:rsidRPr="00C25E04">
        <w:rPr>
          <w:color w:val="000000"/>
          <w:lang w:val="fr-FR"/>
        </w:rPr>
        <w:t xml:space="preserve">En ce qui concerne les </w:t>
      </w:r>
      <w:r w:rsidRPr="005C4FCA">
        <w:rPr>
          <w:lang w:val="fr-FR"/>
        </w:rPr>
        <w:t xml:space="preserve">inconvénients ou </w:t>
      </w:r>
      <w:r w:rsidRPr="00C25E04">
        <w:rPr>
          <w:color w:val="000000"/>
          <w:lang w:val="fr-FR"/>
        </w:rPr>
        <w:t xml:space="preserve">les </w:t>
      </w:r>
      <w:r w:rsidRPr="005C4FCA">
        <w:rPr>
          <w:lang w:val="fr-FR"/>
        </w:rPr>
        <w:t xml:space="preserve">complications juridiques </w:t>
      </w:r>
      <w:r w:rsidRPr="00C25E04">
        <w:rPr>
          <w:color w:val="000000"/>
          <w:lang w:val="fr-FR"/>
        </w:rPr>
        <w:t>liés à</w:t>
      </w:r>
      <w:r w:rsidRPr="005C4FCA">
        <w:rPr>
          <w:lang w:val="fr-FR"/>
        </w:rPr>
        <w:t xml:space="preserve"> l</w:t>
      </w:r>
      <w:r w:rsidR="002A616C">
        <w:rPr>
          <w:lang w:val="fr-FR"/>
        </w:rPr>
        <w:t>’</w:t>
      </w:r>
      <w:r w:rsidRPr="005C4FCA">
        <w:rPr>
          <w:lang w:val="fr-FR"/>
        </w:rPr>
        <w:t>utilisation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identifiants, les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</w:t>
      </w:r>
      <w:r w:rsidRPr="00C25E04">
        <w:rPr>
          <w:color w:val="000000"/>
          <w:lang w:val="fr-FR"/>
        </w:rPr>
        <w:t>en ont mentionné plusieurs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Certains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(US, </w:t>
      </w:r>
      <w:proofErr w:type="gramStart"/>
      <w:r w:rsidRPr="005C4FCA">
        <w:rPr>
          <w:lang w:val="fr-FR"/>
        </w:rPr>
        <w:t>CA</w:t>
      </w:r>
      <w:proofErr w:type="gramEnd"/>
      <w:r w:rsidRPr="005C4FCA">
        <w:rPr>
          <w:lang w:val="fr-FR"/>
        </w:rPr>
        <w:t xml:space="preserve">) exigent </w:t>
      </w:r>
      <w:r w:rsidRPr="00C25E04">
        <w:rPr>
          <w:color w:val="000000"/>
          <w:lang w:val="fr-FR"/>
        </w:rPr>
        <w:t>uniquement</w:t>
      </w:r>
      <w:r w:rsidRPr="005C4FCA">
        <w:rPr>
          <w:lang w:val="fr-FR"/>
        </w:rPr>
        <w:t xml:space="preserve"> le nom et l</w:t>
      </w:r>
      <w:r w:rsidR="002A616C">
        <w:rPr>
          <w:lang w:val="fr-FR"/>
        </w:rPr>
        <w:t>’</w:t>
      </w:r>
      <w:r w:rsidRPr="005C4FCA">
        <w:rPr>
          <w:lang w:val="fr-FR"/>
        </w:rPr>
        <w:t>adresse du déposant</w:t>
      </w:r>
      <w:r w:rsidRPr="00C25E04">
        <w:rPr>
          <w:color w:val="000000"/>
          <w:lang w:val="fr-FR"/>
        </w:rPr>
        <w:t xml:space="preserve"> et doivent accepter les renseignements fournis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Les règles relatives au respect de la vie privée pour le traitement des données personnelles ont été </w:t>
      </w:r>
      <w:r w:rsidRPr="00C25E04">
        <w:rPr>
          <w:color w:val="000000"/>
          <w:lang w:val="fr-FR"/>
        </w:rPr>
        <w:t xml:space="preserve">rapportées </w:t>
      </w:r>
      <w:r w:rsidRPr="005C4FCA">
        <w:rPr>
          <w:lang w:val="fr-FR"/>
        </w:rPr>
        <w:t>comme autre complication possible</w:t>
      </w:r>
      <w:r w:rsidR="008D3DFF">
        <w:rPr>
          <w:lang w:val="fr-FR"/>
        </w:rPr>
        <w:t xml:space="preserve">.  </w:t>
      </w:r>
      <w:r w:rsidRPr="00C25E04">
        <w:rPr>
          <w:color w:val="000000"/>
          <w:lang w:val="fr-FR"/>
        </w:rPr>
        <w:t>Parmi les autres complications mentionnées, on peut citer le fait de veiller à ce que les utilisateurs fournissent les renseignements corrects et l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obtention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identifiants pour les déposants étrangers.</w:t>
      </w:r>
    </w:p>
    <w:p w14:paraId="1EF00146" w14:textId="77777777" w:rsidR="00E31947" w:rsidRPr="00C25E04" w:rsidRDefault="00900958" w:rsidP="00900958">
      <w:pPr>
        <w:pStyle w:val="Heading3"/>
        <w:rPr>
          <w:lang w:val="fr-FR"/>
        </w:rPr>
      </w:pPr>
      <w:r w:rsidRPr="005C4FCA">
        <w:rPr>
          <w:lang w:val="fr-FR"/>
        </w:rPr>
        <w:t>Partie C – Travail de normalisation</w:t>
      </w:r>
    </w:p>
    <w:p w14:paraId="1DA4D20F" w14:textId="6FB351D0" w:rsidR="00E31947" w:rsidRPr="00C25E04" w:rsidRDefault="00AA7D92" w:rsidP="006F04F9">
      <w:pPr>
        <w:pStyle w:val="ONUMFS"/>
        <w:rPr>
          <w:lang w:val="fr-FR"/>
        </w:rPr>
      </w:pPr>
      <w:r w:rsidRPr="00C25E04">
        <w:rPr>
          <w:color w:val="000000"/>
          <w:lang w:val="fr-FR"/>
        </w:rPr>
        <w:t>Pour c</w:t>
      </w:r>
      <w:r w:rsidRPr="005C4FCA">
        <w:rPr>
          <w:lang w:val="fr-FR"/>
        </w:rPr>
        <w:t>ette partie de l</w:t>
      </w:r>
      <w:r w:rsidR="002A616C">
        <w:rPr>
          <w:lang w:val="fr-FR"/>
        </w:rPr>
        <w:t>’</w:t>
      </w:r>
      <w:r w:rsidRPr="005C4FCA">
        <w:rPr>
          <w:lang w:val="fr-FR"/>
        </w:rPr>
        <w:t>enquête</w:t>
      </w:r>
      <w:r w:rsidRPr="00C25E04">
        <w:rPr>
          <w:color w:val="000000"/>
          <w:lang w:val="fr-FR"/>
        </w:rPr>
        <w:t>, le</w:t>
      </w:r>
      <w:r w:rsidRPr="005C4FCA">
        <w:rPr>
          <w:lang w:val="fr-FR"/>
        </w:rPr>
        <w:t xml:space="preserve"> taux de réponse </w:t>
      </w:r>
      <w:r w:rsidRPr="00C25E04">
        <w:rPr>
          <w:color w:val="000000"/>
          <w:lang w:val="fr-FR"/>
        </w:rPr>
        <w:t xml:space="preserve">a été </w:t>
      </w:r>
      <w:r w:rsidRPr="005C4FCA">
        <w:rPr>
          <w:lang w:val="fr-FR"/>
        </w:rPr>
        <w:t>très élevé, avec une moyenne d</w:t>
      </w:r>
      <w:r w:rsidR="002A616C">
        <w:rPr>
          <w:lang w:val="fr-FR"/>
        </w:rPr>
        <w:t>’</w:t>
      </w:r>
      <w:r w:rsidRPr="005C4FCA">
        <w:rPr>
          <w:lang w:val="fr-FR"/>
        </w:rPr>
        <w:t>environ 20</w:t>
      </w:r>
      <w:r w:rsidR="001134FC" w:rsidRPr="005C4FCA">
        <w:rPr>
          <w:lang w:val="fr-FR"/>
        </w:rPr>
        <w:t> </w:t>
      </w:r>
      <w:r w:rsidRPr="005C4FCA">
        <w:rPr>
          <w:lang w:val="fr-FR"/>
        </w:rPr>
        <w:t xml:space="preserve">réponses </w:t>
      </w:r>
      <w:r w:rsidR="00766EF9">
        <w:rPr>
          <w:color w:val="000000"/>
          <w:lang w:val="fr-FR"/>
        </w:rPr>
        <w:t>par</w:t>
      </w:r>
      <w:r w:rsidRPr="005C4FCA">
        <w:rPr>
          <w:lang w:val="fr-FR"/>
        </w:rPr>
        <w:t xml:space="preserve"> question.</w:t>
      </w:r>
    </w:p>
    <w:p w14:paraId="4E447C01" w14:textId="05ACAD76" w:rsidR="00E31947" w:rsidRPr="00C25E04" w:rsidRDefault="003E18CC" w:rsidP="006F04F9">
      <w:pPr>
        <w:pStyle w:val="ONUMFS"/>
        <w:rPr>
          <w:lang w:val="fr-FR"/>
        </w:rPr>
      </w:pPr>
      <w:r w:rsidRPr="005C4FCA">
        <w:rPr>
          <w:lang w:val="fr-FR"/>
        </w:rPr>
        <w:t>S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agissant des </w:t>
      </w:r>
      <w:r w:rsidRPr="00C25E04">
        <w:rPr>
          <w:color w:val="000000"/>
          <w:lang w:val="fr-FR"/>
        </w:rPr>
        <w:t>option</w:t>
      </w:r>
      <w:r w:rsidR="00020F49" w:rsidRPr="00C25E04">
        <w:rPr>
          <w:color w:val="000000"/>
          <w:lang w:val="fr-FR"/>
        </w:rPr>
        <w:t>s</w:t>
      </w:r>
      <w:r w:rsidRPr="00C25E04">
        <w:rPr>
          <w:color w:val="000000"/>
          <w:lang w:val="fr-FR"/>
        </w:rPr>
        <w:t xml:space="preserve"> </w:t>
      </w:r>
      <w:r w:rsidRPr="005C4FCA">
        <w:rPr>
          <w:lang w:val="fr-FR"/>
        </w:rPr>
        <w:t xml:space="preserve">que les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de propriété intellectuelle envisageraient de </w:t>
      </w:r>
      <w:r w:rsidRPr="00C25E04">
        <w:rPr>
          <w:color w:val="000000"/>
          <w:lang w:val="fr-FR"/>
        </w:rPr>
        <w:t xml:space="preserve">mettre en </w:t>
      </w:r>
      <w:r w:rsidR="00C25E04" w:rsidRPr="00C25E04">
        <w:rPr>
          <w:color w:val="000000"/>
          <w:lang w:val="fr-FR"/>
        </w:rPr>
        <w:t>œuvre</w:t>
      </w:r>
      <w:r w:rsidRPr="005C4FCA">
        <w:rPr>
          <w:lang w:val="fr-FR"/>
        </w:rPr>
        <w:t xml:space="preserve">, </w:t>
      </w:r>
      <w:r w:rsidR="00020F49" w:rsidRPr="005C4FCA">
        <w:rPr>
          <w:lang w:val="fr-FR"/>
        </w:rPr>
        <w:t>les</w:t>
      </w:r>
      <w:r w:rsidR="008D3DFF">
        <w:rPr>
          <w:lang w:val="fr-FR"/>
        </w:rPr>
        <w:t xml:space="preserve"> trois </w:t>
      </w:r>
      <w:r w:rsidRPr="005C4FCA">
        <w:rPr>
          <w:lang w:val="fr-FR"/>
        </w:rPr>
        <w:t>quarts (75%)</w:t>
      </w:r>
      <w:r w:rsidRPr="00C25E04">
        <w:rPr>
          <w:color w:val="000000"/>
          <w:lang w:val="fr-FR"/>
        </w:rPr>
        <w:t xml:space="preserve"> </w:t>
      </w:r>
      <w:r w:rsidR="00020F49" w:rsidRPr="00C25E04">
        <w:rPr>
          <w:color w:val="000000"/>
          <w:lang w:val="fr-FR"/>
        </w:rPr>
        <w:t xml:space="preserve">des offices </w:t>
      </w:r>
      <w:r w:rsidRPr="005C4FCA">
        <w:rPr>
          <w:lang w:val="fr-FR"/>
        </w:rPr>
        <w:t>ont indiqué qu</w:t>
      </w:r>
      <w:r w:rsidR="002A616C">
        <w:rPr>
          <w:lang w:val="fr-FR"/>
        </w:rPr>
        <w:t>’</w:t>
      </w:r>
      <w:r w:rsidR="00020F49" w:rsidRPr="005C4FCA">
        <w:rPr>
          <w:lang w:val="fr-FR"/>
        </w:rPr>
        <w:t xml:space="preserve">ils accordaient un degré de priorité élevé à </w:t>
      </w:r>
      <w:r w:rsidRPr="005C4FCA">
        <w:rPr>
          <w:lang w:val="fr-FR"/>
        </w:rPr>
        <w:t>l</w:t>
      </w:r>
      <w:r w:rsidR="002A616C">
        <w:rPr>
          <w:lang w:val="fr-FR"/>
        </w:rPr>
        <w:t>’</w:t>
      </w:r>
      <w:r w:rsidRPr="005C4FCA">
        <w:rPr>
          <w:lang w:val="fr-FR"/>
        </w:rPr>
        <w:t>utilisation d</w:t>
      </w:r>
      <w:r w:rsidR="002A616C">
        <w:rPr>
          <w:lang w:val="fr-FR"/>
        </w:rPr>
        <w:t>’</w:t>
      </w:r>
      <w:r w:rsidRPr="005C4FCA">
        <w:rPr>
          <w:lang w:val="fr-FR"/>
        </w:rPr>
        <w:t>identifiants,</w:t>
      </w:r>
      <w:r w:rsidR="00020F49" w:rsidRPr="005C4FCA">
        <w:rPr>
          <w:lang w:val="fr-FR"/>
        </w:rPr>
        <w:t xml:space="preserve"> </w:t>
      </w:r>
      <w:r w:rsidR="00356D90" w:rsidRPr="005C4FCA">
        <w:rPr>
          <w:lang w:val="fr-FR"/>
        </w:rPr>
        <w:t xml:space="preserve">alors </w:t>
      </w:r>
      <w:r w:rsidR="00020F49" w:rsidRPr="005C4FCA">
        <w:rPr>
          <w:lang w:val="fr-FR"/>
        </w:rPr>
        <w:t>que</w:t>
      </w:r>
      <w:r w:rsidRPr="005C4FCA">
        <w:rPr>
          <w:lang w:val="fr-FR"/>
        </w:rPr>
        <w:t xml:space="preserve"> seulement</w:t>
      </w:r>
      <w:r w:rsidR="008D3DFF">
        <w:rPr>
          <w:lang w:val="fr-FR"/>
        </w:rPr>
        <w:t xml:space="preserve"> deux 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(CR, US)</w:t>
      </w:r>
      <w:r w:rsidRPr="00C25E04">
        <w:rPr>
          <w:color w:val="000000"/>
          <w:lang w:val="fr-FR"/>
        </w:rPr>
        <w:t xml:space="preserve"> </w:t>
      </w:r>
      <w:r w:rsidR="00020F49" w:rsidRPr="00C25E04">
        <w:rPr>
          <w:color w:val="000000"/>
          <w:lang w:val="fr-FR"/>
        </w:rPr>
        <w:t>accord</w:t>
      </w:r>
      <w:r w:rsidR="00356D90">
        <w:rPr>
          <w:color w:val="000000"/>
          <w:lang w:val="fr-FR"/>
        </w:rPr>
        <w:t>e</w:t>
      </w:r>
      <w:r w:rsidR="00020F49" w:rsidRPr="00C25E04">
        <w:rPr>
          <w:color w:val="000000"/>
          <w:lang w:val="fr-FR"/>
        </w:rPr>
        <w:t>nt un degré de priorité faible à cette option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Cela </w:t>
      </w:r>
      <w:r w:rsidRPr="00C25E04">
        <w:rPr>
          <w:color w:val="000000"/>
          <w:lang w:val="fr-FR"/>
        </w:rPr>
        <w:t xml:space="preserve">signifie que les offices de propriété intellectuelle sont largement favorables à </w:t>
      </w:r>
      <w:r w:rsidR="00931565">
        <w:rPr>
          <w:color w:val="000000"/>
          <w:lang w:val="fr-FR"/>
        </w:rPr>
        <w:t>l</w:t>
      </w:r>
      <w:r w:rsidR="002A616C">
        <w:rPr>
          <w:color w:val="000000"/>
          <w:lang w:val="fr-FR"/>
        </w:rPr>
        <w:t>’</w:t>
      </w:r>
      <w:r w:rsidR="00931565">
        <w:rPr>
          <w:color w:val="000000"/>
          <w:lang w:val="fr-FR"/>
        </w:rPr>
        <w:t>utilisation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identifiants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Aucune autre option </w:t>
      </w:r>
      <w:r w:rsidRPr="00C25E04">
        <w:rPr>
          <w:color w:val="000000"/>
          <w:lang w:val="fr-FR"/>
        </w:rPr>
        <w:t>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 xml:space="preserve">a été choisie par </w:t>
      </w:r>
      <w:r w:rsidRPr="005C4FCA">
        <w:rPr>
          <w:lang w:val="fr-FR"/>
        </w:rPr>
        <w:t xml:space="preserve">plus de la moitié des </w:t>
      </w:r>
      <w:r w:rsidRPr="00C25E04">
        <w:rPr>
          <w:color w:val="000000"/>
          <w:lang w:val="fr-FR"/>
        </w:rPr>
        <w:t>participants</w:t>
      </w:r>
      <w:r w:rsidR="008D3DFF">
        <w:rPr>
          <w:lang w:val="fr-FR"/>
        </w:rPr>
        <w:t xml:space="preserve">.  </w:t>
      </w:r>
      <w:r w:rsidR="00020F49" w:rsidRPr="005C4FCA">
        <w:rPr>
          <w:lang w:val="fr-FR"/>
        </w:rPr>
        <w:t xml:space="preserve">Environ la moitié des </w:t>
      </w:r>
      <w:r w:rsidR="00020F49" w:rsidRPr="00C25E04">
        <w:rPr>
          <w:color w:val="000000"/>
          <w:lang w:val="fr-FR"/>
        </w:rPr>
        <w:t>o</w:t>
      </w:r>
      <w:r w:rsidR="00020F49" w:rsidRPr="005C4FCA">
        <w:rPr>
          <w:lang w:val="fr-FR"/>
        </w:rPr>
        <w:t xml:space="preserve">ffices </w:t>
      </w:r>
      <w:r w:rsidR="00020F49" w:rsidRPr="00C25E04">
        <w:rPr>
          <w:color w:val="000000"/>
          <w:lang w:val="fr-FR"/>
        </w:rPr>
        <w:t xml:space="preserve">accordent un degré de priorité moyen à </w:t>
      </w:r>
      <w:proofErr w:type="spellStart"/>
      <w:r w:rsidR="00020F49" w:rsidRPr="00C25E04">
        <w:rPr>
          <w:color w:val="000000"/>
          <w:lang w:val="fr-FR"/>
        </w:rPr>
        <w:t>élevé</w:t>
      </w:r>
      <w:proofErr w:type="spellEnd"/>
      <w:r w:rsidR="00020F49" w:rsidRPr="00C25E04">
        <w:rPr>
          <w:color w:val="000000"/>
          <w:lang w:val="fr-FR"/>
        </w:rPr>
        <w:t xml:space="preserve"> aux</w:t>
      </w:r>
      <w:r w:rsidR="00020F49" w:rsidRPr="005C4FCA">
        <w:rPr>
          <w:lang w:val="fr-FR"/>
        </w:rPr>
        <w:t xml:space="preserve"> noms </w:t>
      </w:r>
      <w:r w:rsidR="00020F49" w:rsidRPr="00C25E04">
        <w:rPr>
          <w:color w:val="000000"/>
          <w:lang w:val="fr-FR"/>
        </w:rPr>
        <w:t xml:space="preserve">uniformisés </w:t>
      </w:r>
      <w:r w:rsidR="00020F49" w:rsidRPr="005C4FCA">
        <w:rPr>
          <w:lang w:val="fr-FR"/>
        </w:rPr>
        <w:t xml:space="preserve">ou </w:t>
      </w:r>
      <w:r w:rsidR="00020F49" w:rsidRPr="00C25E04">
        <w:rPr>
          <w:color w:val="000000"/>
          <w:lang w:val="fr-FR"/>
        </w:rPr>
        <w:t xml:space="preserve">à </w:t>
      </w:r>
      <w:r w:rsidR="00020F49" w:rsidRPr="005C4FCA">
        <w:rPr>
          <w:lang w:val="fr-FR"/>
        </w:rPr>
        <w:t>l</w:t>
      </w:r>
      <w:r w:rsidR="002A616C">
        <w:rPr>
          <w:lang w:val="fr-FR"/>
        </w:rPr>
        <w:t>’</w:t>
      </w:r>
      <w:r w:rsidR="00020F49" w:rsidRPr="005C4FCA">
        <w:rPr>
          <w:lang w:val="fr-FR"/>
        </w:rPr>
        <w:t>utilisation de noms normalisés, tandis que l</w:t>
      </w:r>
      <w:r w:rsidR="002A616C">
        <w:rPr>
          <w:lang w:val="fr-FR"/>
        </w:rPr>
        <w:t>’</w:t>
      </w:r>
      <w:r w:rsidR="00020F49" w:rsidRPr="005C4FCA">
        <w:rPr>
          <w:lang w:val="fr-FR"/>
        </w:rPr>
        <w:t xml:space="preserve">autre moitié accorde un degré de priorité faible à </w:t>
      </w:r>
      <w:r w:rsidR="00C25E04" w:rsidRPr="005C4FCA">
        <w:rPr>
          <w:lang w:val="fr-FR"/>
        </w:rPr>
        <w:t>ces options</w:t>
      </w:r>
      <w:r w:rsidR="008D3DFF">
        <w:rPr>
          <w:lang w:val="fr-FR"/>
        </w:rPr>
        <w:t xml:space="preserve">.  </w:t>
      </w:r>
      <w:r w:rsidR="00113DCA" w:rsidRPr="005C4FCA">
        <w:rPr>
          <w:lang w:val="fr-FR"/>
        </w:rPr>
        <w:t>L</w:t>
      </w:r>
      <w:r w:rsidR="002A616C">
        <w:rPr>
          <w:lang w:val="fr-FR"/>
        </w:rPr>
        <w:t>’</w:t>
      </w:r>
      <w:r w:rsidR="00113DCA" w:rsidRPr="005C4FCA">
        <w:rPr>
          <w:lang w:val="fr-FR"/>
        </w:rPr>
        <w:t xml:space="preserve">utilisation de dictionnaires </w:t>
      </w:r>
      <w:r w:rsidR="00113DCA" w:rsidRPr="00C25E04">
        <w:rPr>
          <w:color w:val="000000"/>
          <w:lang w:val="fr-FR"/>
        </w:rPr>
        <w:t>de</w:t>
      </w:r>
      <w:r w:rsidR="00113DCA" w:rsidRPr="005C4FCA">
        <w:rPr>
          <w:lang w:val="fr-FR"/>
        </w:rPr>
        <w:t xml:space="preserve"> noms de titulaires de brevets </w:t>
      </w:r>
      <w:r w:rsidR="00113DCA" w:rsidRPr="00C25E04">
        <w:rPr>
          <w:color w:val="000000"/>
          <w:lang w:val="fr-FR"/>
        </w:rPr>
        <w:t>est l</w:t>
      </w:r>
      <w:r w:rsidR="002A616C">
        <w:rPr>
          <w:color w:val="000000"/>
          <w:lang w:val="fr-FR"/>
        </w:rPr>
        <w:t>’</w:t>
      </w:r>
      <w:r w:rsidR="00113DCA" w:rsidRPr="00C25E04">
        <w:rPr>
          <w:color w:val="000000"/>
          <w:lang w:val="fr-FR"/>
        </w:rPr>
        <w:t xml:space="preserve">option qui a été la moins retenue, </w:t>
      </w:r>
      <w:r w:rsidR="00113DCA" w:rsidRPr="005C4FCA">
        <w:rPr>
          <w:lang w:val="fr-FR"/>
        </w:rPr>
        <w:t>seulement</w:t>
      </w:r>
      <w:r w:rsidR="008D3DFF">
        <w:rPr>
          <w:lang w:val="fr-FR"/>
        </w:rPr>
        <w:t xml:space="preserve"> sept </w:t>
      </w:r>
      <w:r w:rsidR="00113DCA" w:rsidRPr="005C4FCA">
        <w:rPr>
          <w:lang w:val="fr-FR"/>
        </w:rPr>
        <w:t xml:space="preserve">offices </w:t>
      </w:r>
      <w:r w:rsidR="00113DCA" w:rsidRPr="00C25E04">
        <w:rPr>
          <w:color w:val="000000"/>
          <w:lang w:val="fr-FR"/>
        </w:rPr>
        <w:t xml:space="preserve">accordant un degré de priorité moyen à cette option </w:t>
      </w:r>
      <w:r w:rsidR="00113DCA" w:rsidRPr="005C4FCA">
        <w:rPr>
          <w:lang w:val="fr-FR"/>
        </w:rPr>
        <w:t xml:space="preserve">et aucun </w:t>
      </w:r>
      <w:r w:rsidR="00113DCA" w:rsidRPr="00C25E04">
        <w:rPr>
          <w:color w:val="000000"/>
          <w:lang w:val="fr-FR"/>
        </w:rPr>
        <w:t xml:space="preserve">un degré de </w:t>
      </w:r>
      <w:r w:rsidR="00113DCA" w:rsidRPr="005C4FCA">
        <w:rPr>
          <w:lang w:val="fr-FR"/>
        </w:rPr>
        <w:t>priorité élevé.</w:t>
      </w:r>
    </w:p>
    <w:p w14:paraId="24C5115A" w14:textId="239E8442" w:rsidR="00E31947" w:rsidRPr="00C25E04" w:rsidRDefault="00C67AE6" w:rsidP="006F04F9">
      <w:pPr>
        <w:pStyle w:val="ONUMFS"/>
        <w:rPr>
          <w:lang w:val="fr-FR"/>
        </w:rPr>
      </w:pPr>
      <w:r w:rsidRPr="005C4FCA">
        <w:rPr>
          <w:lang w:val="fr-FR"/>
        </w:rPr>
        <w:t>S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agissant des résultats </w:t>
      </w:r>
      <w:r w:rsidRPr="00C25E04">
        <w:rPr>
          <w:color w:val="000000"/>
          <w:lang w:val="fr-FR"/>
        </w:rPr>
        <w:t>attendus en ce qui concerne le travail mené par l</w:t>
      </w:r>
      <w:r w:rsidR="002A616C">
        <w:rPr>
          <w:color w:val="000000"/>
          <w:lang w:val="fr-FR"/>
        </w:rPr>
        <w:t>’</w:t>
      </w:r>
      <w:r w:rsidRPr="005C4FCA">
        <w:rPr>
          <w:lang w:val="fr-FR"/>
        </w:rPr>
        <w:t>Équipe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experts chargée de la normalisation des noms, </w:t>
      </w:r>
      <w:r w:rsidR="005277E6" w:rsidRPr="005C4FCA">
        <w:rPr>
          <w:lang w:val="fr-FR"/>
        </w:rPr>
        <w:t>le</w:t>
      </w:r>
      <w:r w:rsidRPr="005C4FCA">
        <w:rPr>
          <w:lang w:val="fr-FR"/>
        </w:rPr>
        <w:t xml:space="preserve"> plus </w:t>
      </w:r>
      <w:r w:rsidRPr="00C25E04">
        <w:rPr>
          <w:color w:val="000000"/>
          <w:lang w:val="fr-FR"/>
        </w:rPr>
        <w:t>souvent</w:t>
      </w:r>
      <w:r w:rsidR="005277E6">
        <w:rPr>
          <w:color w:val="000000"/>
          <w:lang w:val="fr-FR"/>
        </w:rPr>
        <w:t>, les offices attendaient</w:t>
      </w:r>
      <w:r w:rsidRPr="005C4FCA">
        <w:rPr>
          <w:lang w:val="fr-FR"/>
        </w:rPr>
        <w:t xml:space="preserve"> une série de recommandations à l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intention des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ou des déposants sur l</w:t>
      </w:r>
      <w:r w:rsidR="002A616C">
        <w:rPr>
          <w:lang w:val="fr-FR"/>
        </w:rPr>
        <w:t>’</w:t>
      </w:r>
      <w:r w:rsidRPr="005C4FCA">
        <w:rPr>
          <w:lang w:val="fr-FR"/>
        </w:rPr>
        <w:t>utilisation d</w:t>
      </w:r>
      <w:r w:rsidR="002A616C">
        <w:rPr>
          <w:lang w:val="fr-FR"/>
        </w:rPr>
        <w:t>’</w:t>
      </w:r>
      <w:r w:rsidRPr="005C4FCA">
        <w:rPr>
          <w:lang w:val="fr-FR"/>
        </w:rPr>
        <w:t>identifiants ou la normalisation des noms (45% des réponses)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 xml:space="preserve">Une autre option suggérée consistait à créer une base de données unifiée sur les personnes et les identités juridiques (45% des réponses), généralement pour stocker </w:t>
      </w:r>
      <w:r w:rsidRPr="00C25E04">
        <w:rPr>
          <w:color w:val="000000"/>
          <w:lang w:val="fr-FR"/>
        </w:rPr>
        <w:t>l</w:t>
      </w:r>
      <w:r w:rsidRPr="005C4FCA">
        <w:rPr>
          <w:lang w:val="fr-FR"/>
        </w:rPr>
        <w:t xml:space="preserve">es identifiants </w:t>
      </w:r>
      <w:r w:rsidRPr="00C25E04">
        <w:rPr>
          <w:color w:val="000000"/>
          <w:lang w:val="fr-FR"/>
        </w:rPr>
        <w:t>mondiaux</w:t>
      </w:r>
      <w:r w:rsidR="008D3DFF">
        <w:rPr>
          <w:lang w:val="fr-FR"/>
        </w:rPr>
        <w:t xml:space="preserve">.  </w:t>
      </w:r>
      <w:r w:rsidR="007C6333" w:rsidRPr="005C4FCA">
        <w:rPr>
          <w:lang w:val="fr-FR"/>
        </w:rPr>
        <w:t xml:space="preserve">Il a également été suggéré </w:t>
      </w:r>
      <w:r w:rsidR="007C6333" w:rsidRPr="00C25E04">
        <w:rPr>
          <w:color w:val="000000"/>
          <w:lang w:val="fr-FR"/>
        </w:rPr>
        <w:t xml:space="preserve">de relever </w:t>
      </w:r>
      <w:r w:rsidR="007C6333" w:rsidRPr="005C4FCA">
        <w:rPr>
          <w:lang w:val="fr-FR"/>
        </w:rPr>
        <w:t>les situations dans lesquelles les déposants auraient besoin d</w:t>
      </w:r>
      <w:r w:rsidR="002A616C">
        <w:rPr>
          <w:lang w:val="fr-FR"/>
        </w:rPr>
        <w:t>’</w:t>
      </w:r>
      <w:r w:rsidR="007C6333" w:rsidRPr="005C4FCA">
        <w:rPr>
          <w:lang w:val="fr-FR"/>
        </w:rPr>
        <w:t xml:space="preserve">identifiants (US), de préciser comment fournir des </w:t>
      </w:r>
      <w:r w:rsidR="007C6333" w:rsidRPr="00C25E04">
        <w:rPr>
          <w:color w:val="000000"/>
          <w:lang w:val="fr-FR"/>
        </w:rPr>
        <w:t xml:space="preserve">renseignements </w:t>
      </w:r>
      <w:r w:rsidR="007C6333" w:rsidRPr="005C4FCA">
        <w:rPr>
          <w:lang w:val="fr-FR"/>
        </w:rPr>
        <w:t xml:space="preserve">tels que les adresses des déposants (SE) et de partager des algorithmes </w:t>
      </w:r>
      <w:r w:rsidR="007C6333" w:rsidRPr="00C25E04">
        <w:rPr>
          <w:color w:val="000000"/>
          <w:lang w:val="fr-FR"/>
        </w:rPr>
        <w:t xml:space="preserve">informatiques </w:t>
      </w:r>
      <w:r w:rsidR="007C6333" w:rsidRPr="005C4FCA">
        <w:rPr>
          <w:lang w:val="fr-FR"/>
        </w:rPr>
        <w:t>pour la normalisation des noms (KR).</w:t>
      </w:r>
    </w:p>
    <w:p w14:paraId="63E9BC8A" w14:textId="546FC417" w:rsidR="00E31947" w:rsidRPr="00C25E04" w:rsidRDefault="007C6333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En ce qui concerne les </w:t>
      </w:r>
      <w:r w:rsidRPr="00C25E04">
        <w:rPr>
          <w:lang w:val="fr-FR"/>
        </w:rPr>
        <w:t>points sur lesquels il conviendrait de concentrer les travaux de normalisation</w:t>
      </w:r>
      <w:r w:rsidRPr="005C4FCA">
        <w:rPr>
          <w:lang w:val="fr-FR"/>
        </w:rPr>
        <w:t xml:space="preserve">, </w:t>
      </w:r>
      <w:r w:rsidRPr="00C25E04">
        <w:rPr>
          <w:lang w:val="fr-FR"/>
        </w:rPr>
        <w:t>il n</w:t>
      </w:r>
      <w:r w:rsidR="002A616C">
        <w:rPr>
          <w:lang w:val="fr-FR"/>
        </w:rPr>
        <w:t>’</w:t>
      </w:r>
      <w:r w:rsidRPr="00C25E04">
        <w:rPr>
          <w:lang w:val="fr-FR"/>
        </w:rPr>
        <w:t>y avait pas de majorité nette</w:t>
      </w:r>
      <w:r w:rsidR="008D3DFF">
        <w:rPr>
          <w:lang w:val="fr-FR"/>
        </w:rPr>
        <w:t>.  Six </w:t>
      </w:r>
      <w:r w:rsidRPr="00C25E04">
        <w:rPr>
          <w:lang w:val="fr-FR"/>
        </w:rPr>
        <w:t>des 17</w:t>
      </w:r>
      <w:r w:rsidR="001134FC">
        <w:rPr>
          <w:lang w:val="fr-FR"/>
        </w:rPr>
        <w:t> </w:t>
      </w:r>
      <w:r w:rsidRPr="00C25E04">
        <w:rPr>
          <w:lang w:val="fr-FR"/>
        </w:rPr>
        <w:t>offices ayant répondu</w:t>
      </w:r>
      <w:r w:rsidRPr="005C4FCA">
        <w:rPr>
          <w:lang w:val="fr-FR"/>
        </w:rPr>
        <w:t xml:space="preserve"> (35%) </w:t>
      </w:r>
      <w:r w:rsidRPr="00C25E04">
        <w:rPr>
          <w:lang w:val="fr-FR"/>
        </w:rPr>
        <w:t>préféraient</w:t>
      </w:r>
      <w:r w:rsidRPr="005C4FCA">
        <w:rPr>
          <w:lang w:val="fr-FR"/>
        </w:rPr>
        <w:t xml:space="preserve"> concentrer </w:t>
      </w:r>
      <w:r w:rsidRPr="00C25E04">
        <w:rPr>
          <w:lang w:val="fr-FR"/>
        </w:rPr>
        <w:t xml:space="preserve">les travaux </w:t>
      </w:r>
      <w:r w:rsidRPr="005C4FCA">
        <w:rPr>
          <w:lang w:val="fr-FR"/>
        </w:rPr>
        <w:t>sur les systèmes internes de</w:t>
      </w:r>
      <w:r w:rsidRPr="00C25E04">
        <w:rPr>
          <w:lang w:val="fr-FR"/>
        </w:rPr>
        <w:t xml:space="preserve">s offices de </w:t>
      </w:r>
      <w:r w:rsidRPr="005C4FCA">
        <w:rPr>
          <w:lang w:val="fr-FR"/>
        </w:rPr>
        <w:t>propriété in</w:t>
      </w:r>
      <w:r w:rsidRPr="00C25E04">
        <w:rPr>
          <w:lang w:val="fr-FR"/>
        </w:rPr>
        <w:t>tellectuelle</w:t>
      </w:r>
      <w:r w:rsidRPr="005C4FCA">
        <w:rPr>
          <w:lang w:val="fr-FR"/>
        </w:rPr>
        <w:t xml:space="preserve"> et les bases de données</w:t>
      </w:r>
      <w:r w:rsidRPr="00C25E04">
        <w:rPr>
          <w:lang w:val="fr-FR"/>
        </w:rPr>
        <w:t xml:space="preserve"> de propriété intellectuelle</w:t>
      </w:r>
      <w:r w:rsidRPr="005C4FCA">
        <w:rPr>
          <w:lang w:val="fr-FR"/>
        </w:rPr>
        <w:t xml:space="preserve"> externes</w:t>
      </w:r>
      <w:r w:rsidR="008D3DFF">
        <w:rPr>
          <w:lang w:val="fr-FR"/>
        </w:rPr>
        <w:t>.  Quatre </w:t>
      </w:r>
      <w:r w:rsidRPr="00C25E04">
        <w:rPr>
          <w:lang w:val="fr-FR"/>
        </w:rPr>
        <w:t>offices</w:t>
      </w:r>
      <w:r w:rsidRPr="005C4FCA">
        <w:rPr>
          <w:lang w:val="fr-FR"/>
        </w:rPr>
        <w:t xml:space="preserve"> (AU, </w:t>
      </w:r>
      <w:proofErr w:type="gramStart"/>
      <w:r w:rsidRPr="005C4FCA">
        <w:rPr>
          <w:lang w:val="fr-FR"/>
        </w:rPr>
        <w:t>CA</w:t>
      </w:r>
      <w:proofErr w:type="gramEnd"/>
      <w:r w:rsidRPr="005C4FCA">
        <w:rPr>
          <w:lang w:val="fr-FR"/>
        </w:rPr>
        <w:t>, CO, IT) préféraient concentrer</w:t>
      </w:r>
      <w:r w:rsidRPr="00C25E04">
        <w:rPr>
          <w:lang w:val="fr-FR"/>
        </w:rPr>
        <w:t xml:space="preserve"> les travaux</w:t>
      </w:r>
      <w:r w:rsidRPr="005C4FCA">
        <w:rPr>
          <w:lang w:val="fr-FR"/>
        </w:rPr>
        <w:t xml:space="preserve"> uniquement sur un système externe tandis que</w:t>
      </w:r>
      <w:r w:rsidR="008D3DFF">
        <w:rPr>
          <w:lang w:val="fr-FR"/>
        </w:rPr>
        <w:t xml:space="preserve"> trois </w:t>
      </w:r>
      <w:r w:rsidRPr="005C4FCA">
        <w:rPr>
          <w:lang w:val="fr-FR"/>
        </w:rPr>
        <w:t xml:space="preserve">offices (ES, JP, NZ) préféraient </w:t>
      </w:r>
      <w:r w:rsidRPr="00C25E04">
        <w:rPr>
          <w:lang w:val="fr-FR"/>
        </w:rPr>
        <w:t xml:space="preserve">les </w:t>
      </w:r>
      <w:r w:rsidRPr="005C4FCA">
        <w:rPr>
          <w:lang w:val="fr-FR"/>
        </w:rPr>
        <w:t>concentrer sur les systèmes internes des offices de propriété intellectuelle</w:t>
      </w:r>
      <w:r w:rsidR="008D3DFF">
        <w:rPr>
          <w:lang w:val="fr-FR"/>
        </w:rPr>
        <w:t>.  Trois </w:t>
      </w:r>
      <w:r w:rsidRPr="00C25E04">
        <w:rPr>
          <w:lang w:val="fr-FR"/>
        </w:rPr>
        <w:t>o</w:t>
      </w:r>
      <w:r w:rsidRPr="005C4FCA">
        <w:rPr>
          <w:lang w:val="fr-FR"/>
        </w:rPr>
        <w:t>ffices (KR, DO, US) n</w:t>
      </w:r>
      <w:r w:rsidR="002A616C">
        <w:rPr>
          <w:lang w:val="fr-FR"/>
        </w:rPr>
        <w:t>’</w:t>
      </w:r>
      <w:r w:rsidRPr="005C4FCA">
        <w:rPr>
          <w:lang w:val="fr-FR"/>
        </w:rPr>
        <w:t>ont pas exprimé de préférence</w:t>
      </w:r>
      <w:r w:rsidR="008D3DFF">
        <w:rPr>
          <w:lang w:val="fr-FR"/>
        </w:rPr>
        <w:t xml:space="preserve">.  </w:t>
      </w:r>
      <w:r w:rsidR="00CA2EBC" w:rsidRPr="005C4FCA">
        <w:rPr>
          <w:lang w:val="fr-FR"/>
        </w:rPr>
        <w:t xml:space="preserve">Un office de propriété </w:t>
      </w:r>
      <w:r w:rsidR="00CA2EBC" w:rsidRPr="00C25E04">
        <w:rPr>
          <w:lang w:val="fr-FR"/>
        </w:rPr>
        <w:t xml:space="preserve">intellectuelle </w:t>
      </w:r>
      <w:r w:rsidR="00CA2EBC" w:rsidRPr="005C4FCA">
        <w:rPr>
          <w:lang w:val="fr-FR"/>
        </w:rPr>
        <w:t>(KR) a suggéré de traiter le problème pour différents groupes de déposants (déposants nationaux, étrangers,</w:t>
      </w:r>
      <w:r w:rsidR="00CA2EBC" w:rsidRPr="00C25E04">
        <w:rPr>
          <w:lang w:val="fr-FR"/>
        </w:rPr>
        <w:t xml:space="preserve"> </w:t>
      </w:r>
      <w:r w:rsidR="00CA2EBC" w:rsidRPr="005C4FCA">
        <w:rPr>
          <w:lang w:val="fr-FR"/>
        </w:rPr>
        <w:t>passés</w:t>
      </w:r>
      <w:r w:rsidR="00CA2EBC" w:rsidRPr="00C25E04">
        <w:rPr>
          <w:lang w:val="fr-FR"/>
        </w:rPr>
        <w:t xml:space="preserve"> et</w:t>
      </w:r>
      <w:r w:rsidR="00CA2EBC" w:rsidRPr="005C4FCA">
        <w:rPr>
          <w:lang w:val="fr-FR"/>
        </w:rPr>
        <w:t xml:space="preserve"> futurs) en fonction des priorités des offices de propriété intellectuelle.</w:t>
      </w:r>
    </w:p>
    <w:p w14:paraId="3A4A0022" w14:textId="09967023" w:rsidR="00E31947" w:rsidRPr="00C25E04" w:rsidRDefault="00BA3157" w:rsidP="006F04F9">
      <w:pPr>
        <w:pStyle w:val="ONUMFS"/>
        <w:rPr>
          <w:lang w:val="fr-FR"/>
        </w:rPr>
      </w:pPr>
      <w:r w:rsidRPr="005C4FCA">
        <w:rPr>
          <w:lang w:val="fr-FR"/>
        </w:rPr>
        <w:t>Question</w:t>
      </w:r>
      <w:r w:rsidRPr="00C25E04">
        <w:rPr>
          <w:color w:val="000000"/>
          <w:lang w:val="fr-FR"/>
        </w:rPr>
        <w:t>s</w:t>
      </w:r>
      <w:r w:rsidR="001134FC" w:rsidRPr="005C4FCA">
        <w:rPr>
          <w:lang w:val="fr-FR"/>
        </w:rPr>
        <w:t> </w:t>
      </w:r>
      <w:r w:rsidRPr="005C4FCA">
        <w:rPr>
          <w:lang w:val="fr-FR"/>
        </w:rPr>
        <w:t xml:space="preserve">12a) et </w:t>
      </w:r>
      <w:r w:rsidRPr="00C25E04">
        <w:rPr>
          <w:color w:val="000000"/>
          <w:lang w:val="fr-FR"/>
        </w:rPr>
        <w:t>12</w:t>
      </w:r>
      <w:r w:rsidRPr="005C4FCA">
        <w:rPr>
          <w:lang w:val="fr-FR"/>
        </w:rPr>
        <w:t>b)</w:t>
      </w:r>
      <w:r w:rsidR="008D3DFF">
        <w:rPr>
          <w:lang w:val="fr-FR"/>
        </w:rPr>
        <w:t> :</w:t>
      </w:r>
      <w:r w:rsidRPr="005C4FCA">
        <w:rPr>
          <w:lang w:val="fr-FR"/>
        </w:rPr>
        <w:t xml:space="preserve"> </w:t>
      </w:r>
      <w:r w:rsidRPr="00C25E04">
        <w:rPr>
          <w:color w:val="000000"/>
          <w:lang w:val="fr-FR"/>
        </w:rPr>
        <w:t>e</w:t>
      </w:r>
      <w:r w:rsidRPr="005C4FCA">
        <w:rPr>
          <w:lang w:val="fr-FR"/>
        </w:rPr>
        <w:t xml:space="preserve">n ce qui concerne les algorithmes informatiques que les 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>ffices utilisent ou prévoient 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utiliser pour </w:t>
      </w:r>
      <w:r w:rsidRPr="00C25E04">
        <w:rPr>
          <w:color w:val="000000"/>
          <w:lang w:val="fr-FR"/>
        </w:rPr>
        <w:t xml:space="preserve">uniformiser ou normaliser le </w:t>
      </w:r>
      <w:r w:rsidRPr="005C4FCA">
        <w:rPr>
          <w:lang w:val="fr-FR"/>
        </w:rPr>
        <w:t>nom</w:t>
      </w:r>
      <w:r w:rsidRPr="00C25E04">
        <w:rPr>
          <w:color w:val="000000"/>
          <w:lang w:val="fr-FR"/>
        </w:rPr>
        <w:t xml:space="preserve"> de déposants</w:t>
      </w:r>
      <w:r w:rsidRPr="005C4FCA">
        <w:rPr>
          <w:lang w:val="fr-FR"/>
        </w:rPr>
        <w:t xml:space="preserve">, un tiers des </w:t>
      </w:r>
      <w:r w:rsidRPr="00C25E04">
        <w:rPr>
          <w:color w:val="000000"/>
          <w:lang w:val="fr-FR"/>
        </w:rPr>
        <w:t>participants ont indiqué utiliser un algorithme, un tiers des participants ont indiqué qu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ils ne prévoyaient pas d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en utiliser et un tiers des participants ont indiqué qu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ils 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en étaient pas certains</w:t>
      </w:r>
      <w:r w:rsidR="008D3DFF">
        <w:rPr>
          <w:color w:val="000000"/>
          <w:lang w:val="fr-FR"/>
        </w:rPr>
        <w:t xml:space="preserve">.  </w:t>
      </w:r>
      <w:r w:rsidR="0041143F" w:rsidRPr="00C25E04">
        <w:rPr>
          <w:color w:val="000000"/>
          <w:lang w:val="fr-FR"/>
        </w:rPr>
        <w:t>Parmi les offices utilisant des algorithmes,</w:t>
      </w:r>
      <w:r w:rsidR="008D3DFF">
        <w:rPr>
          <w:color w:val="000000"/>
          <w:lang w:val="fr-FR"/>
        </w:rPr>
        <w:t xml:space="preserve"> quatre </w:t>
      </w:r>
      <w:r w:rsidR="0041143F" w:rsidRPr="005C4FCA">
        <w:rPr>
          <w:lang w:val="fr-FR"/>
        </w:rPr>
        <w:t xml:space="preserve">offices procèdent </w:t>
      </w:r>
      <w:r w:rsidR="0041143F" w:rsidRPr="00C25E04">
        <w:rPr>
          <w:color w:val="000000"/>
          <w:lang w:val="fr-FR"/>
        </w:rPr>
        <w:t>manuellement</w:t>
      </w:r>
      <w:r w:rsidR="0041143F" w:rsidRPr="005C4FCA">
        <w:rPr>
          <w:lang w:val="fr-FR"/>
        </w:rPr>
        <w:t xml:space="preserve"> </w:t>
      </w:r>
      <w:r w:rsidR="00C30DDF" w:rsidRPr="005C4FCA">
        <w:rPr>
          <w:lang w:val="fr-FR"/>
        </w:rPr>
        <w:t xml:space="preserve">à la normalisation des noms </w:t>
      </w:r>
      <w:r w:rsidR="0041143F" w:rsidRPr="005C4FCA">
        <w:rPr>
          <w:lang w:val="fr-FR"/>
        </w:rPr>
        <w:t>après consultation de données supplémentaires (</w:t>
      </w:r>
      <w:r w:rsidR="0041143F" w:rsidRPr="00C25E04">
        <w:rPr>
          <w:color w:val="000000"/>
          <w:lang w:val="fr-FR"/>
        </w:rPr>
        <w:t>un des offices demande confirmation du résultat auprès du déposant</w:t>
      </w:r>
      <w:r w:rsidR="0041143F" w:rsidRPr="005C4FCA">
        <w:rPr>
          <w:lang w:val="fr-FR"/>
        </w:rPr>
        <w:t>)</w:t>
      </w:r>
      <w:r w:rsidR="0041143F" w:rsidRPr="00C25E04">
        <w:rPr>
          <w:color w:val="000000"/>
          <w:lang w:val="fr-FR"/>
        </w:rPr>
        <w:t>,</w:t>
      </w:r>
      <w:r w:rsidR="008D3DFF">
        <w:rPr>
          <w:color w:val="000000"/>
          <w:lang w:val="fr-FR"/>
        </w:rPr>
        <w:t xml:space="preserve"> deux </w:t>
      </w:r>
      <w:r w:rsidR="0041143F" w:rsidRPr="005C4FCA">
        <w:rPr>
          <w:lang w:val="fr-FR"/>
        </w:rPr>
        <w:t xml:space="preserve">offices </w:t>
      </w:r>
      <w:r w:rsidR="0041143F" w:rsidRPr="00C25E04">
        <w:rPr>
          <w:color w:val="000000"/>
          <w:lang w:val="fr-FR"/>
        </w:rPr>
        <w:t xml:space="preserve">indiquent utiliser un système de correspondance approximative pour les noms, </w:t>
      </w:r>
      <w:r w:rsidR="0041143F" w:rsidRPr="005C4FCA">
        <w:rPr>
          <w:lang w:val="fr-FR"/>
        </w:rPr>
        <w:t>un</w:t>
      </w:r>
      <w:r w:rsidR="0041143F" w:rsidRPr="00C25E04">
        <w:rPr>
          <w:color w:val="000000"/>
          <w:lang w:val="fr-FR"/>
        </w:rPr>
        <w:t xml:space="preserve"> office utilise la</w:t>
      </w:r>
      <w:r w:rsidR="0041143F" w:rsidRPr="005C4FCA">
        <w:rPr>
          <w:lang w:val="fr-FR"/>
        </w:rPr>
        <w:t xml:space="preserve"> normalisation des adresses postales</w:t>
      </w:r>
      <w:r w:rsidR="0041143F" w:rsidRPr="00C25E04">
        <w:rPr>
          <w:color w:val="000000"/>
          <w:lang w:val="fr-FR"/>
        </w:rPr>
        <w:t xml:space="preserve">, un autre la </w:t>
      </w:r>
      <w:r w:rsidR="0041143F" w:rsidRPr="005C4FCA">
        <w:rPr>
          <w:lang w:val="fr-FR"/>
        </w:rPr>
        <w:t>normalisation des noms</w:t>
      </w:r>
      <w:r w:rsidR="00281E08" w:rsidRPr="005C4FCA">
        <w:rPr>
          <w:lang w:val="fr-FR"/>
        </w:rPr>
        <w:t xml:space="preserve"> </w:t>
      </w:r>
      <w:r w:rsidR="0041143F" w:rsidRPr="005C4FCA">
        <w:rPr>
          <w:lang w:val="fr-FR"/>
        </w:rPr>
        <w:t>(remplacement de l</w:t>
      </w:r>
      <w:r w:rsidR="002A616C">
        <w:rPr>
          <w:lang w:val="fr-FR"/>
        </w:rPr>
        <w:t>’</w:t>
      </w:r>
      <w:r w:rsidR="0041143F" w:rsidRPr="005C4FCA">
        <w:rPr>
          <w:lang w:val="fr-FR"/>
        </w:rPr>
        <w:t xml:space="preserve">espace blanc, ponctuation, etc.) et un </w:t>
      </w:r>
      <w:r w:rsidR="0041143F" w:rsidRPr="00C25E04">
        <w:rPr>
          <w:color w:val="000000"/>
          <w:lang w:val="fr-FR"/>
        </w:rPr>
        <w:t xml:space="preserve">office </w:t>
      </w:r>
      <w:r w:rsidR="0041143F" w:rsidRPr="005C4FCA">
        <w:rPr>
          <w:lang w:val="fr-FR"/>
        </w:rPr>
        <w:t xml:space="preserve">vérifie le résultat en le comparant aux données contenues dans des bases de données </w:t>
      </w:r>
      <w:r w:rsidR="0041143F" w:rsidRPr="00C25E04">
        <w:rPr>
          <w:color w:val="000000"/>
          <w:lang w:val="fr-FR"/>
        </w:rPr>
        <w:t>externes</w:t>
      </w:r>
      <w:r w:rsidR="0041143F" w:rsidRPr="005C4FCA">
        <w:rPr>
          <w:lang w:val="fr-FR"/>
        </w:rPr>
        <w:t xml:space="preserve"> </w:t>
      </w:r>
      <w:r w:rsidR="0041143F" w:rsidRPr="00C25E04">
        <w:rPr>
          <w:color w:val="000000"/>
          <w:lang w:val="fr-FR"/>
        </w:rPr>
        <w:t>à des fins d</w:t>
      </w:r>
      <w:r w:rsidR="002A616C">
        <w:rPr>
          <w:color w:val="000000"/>
          <w:lang w:val="fr-FR"/>
        </w:rPr>
        <w:t>’</w:t>
      </w:r>
      <w:r w:rsidR="0041143F" w:rsidRPr="005C4FCA">
        <w:rPr>
          <w:lang w:val="fr-FR"/>
        </w:rPr>
        <w:t>appariement probabiliste.</w:t>
      </w:r>
    </w:p>
    <w:p w14:paraId="004037BF" w14:textId="18FBCB48" w:rsidR="00E31947" w:rsidRPr="00C25E04" w:rsidRDefault="00E94BC4" w:rsidP="006F04F9">
      <w:pPr>
        <w:pStyle w:val="ONUMFS"/>
        <w:rPr>
          <w:lang w:val="fr-FR"/>
        </w:rPr>
      </w:pPr>
      <w:r w:rsidRPr="005C4FCA">
        <w:rPr>
          <w:lang w:val="fr-FR"/>
        </w:rPr>
        <w:t xml:space="preserve">En ce qui concerne la question de savoir si </w:t>
      </w:r>
      <w:r w:rsidRPr="00C25E04">
        <w:rPr>
          <w:color w:val="000000"/>
          <w:lang w:val="fr-FR"/>
        </w:rPr>
        <w:t xml:space="preserve">le travail de </w:t>
      </w:r>
      <w:r w:rsidRPr="005C4FCA">
        <w:rPr>
          <w:lang w:val="fr-FR"/>
        </w:rPr>
        <w:t xml:space="preserve">normalisation devrait harmoniser les </w:t>
      </w:r>
      <w:r w:rsidRPr="00C25E04">
        <w:rPr>
          <w:color w:val="000000"/>
          <w:lang w:val="fr-FR"/>
        </w:rPr>
        <w:t>différentes méthodes de gestion des noms des déposants</w:t>
      </w:r>
      <w:r w:rsidRPr="005C4FCA">
        <w:rPr>
          <w:lang w:val="fr-FR"/>
        </w:rPr>
        <w:t>, 13 des 19</w:t>
      </w:r>
      <w:r w:rsidR="001134FC" w:rsidRPr="005C4FCA">
        <w:rPr>
          <w:lang w:val="fr-FR"/>
        </w:rPr>
        <w:t> </w:t>
      </w:r>
      <w:r w:rsidR="002F5E24" w:rsidRPr="005C4FCA">
        <w:rPr>
          <w:lang w:val="fr-FR"/>
        </w:rPr>
        <w:t>offices</w:t>
      </w:r>
      <w:r w:rsidRPr="005C4FCA">
        <w:rPr>
          <w:lang w:val="fr-FR"/>
        </w:rPr>
        <w:t xml:space="preserve"> </w:t>
      </w:r>
      <w:r w:rsidR="002F5E24" w:rsidRPr="005C4FCA">
        <w:rPr>
          <w:lang w:val="fr-FR"/>
        </w:rPr>
        <w:t xml:space="preserve">ayant répondu </w:t>
      </w:r>
      <w:r w:rsidRPr="005C4FCA">
        <w:rPr>
          <w:lang w:val="fr-FR"/>
        </w:rPr>
        <w:t>(environ 70%) ont déclaré que cela serait idéal</w:t>
      </w:r>
      <w:r w:rsidR="008D3DFF">
        <w:rPr>
          <w:lang w:val="fr-FR"/>
        </w:rPr>
        <w:t xml:space="preserve">.  </w:t>
      </w:r>
      <w:r w:rsidRPr="005C4FCA">
        <w:rPr>
          <w:lang w:val="fr-FR"/>
        </w:rPr>
        <w:t>D</w:t>
      </w:r>
      <w:r w:rsidR="002A616C">
        <w:rPr>
          <w:lang w:val="fr-FR"/>
        </w:rPr>
        <w:t>’</w:t>
      </w:r>
      <w:r w:rsidRPr="005C4FCA">
        <w:rPr>
          <w:lang w:val="fr-FR"/>
        </w:rPr>
        <w:t xml:space="preserve">autres </w:t>
      </w:r>
      <w:r w:rsidRPr="00C25E04">
        <w:rPr>
          <w:color w:val="000000"/>
          <w:lang w:val="fr-FR"/>
        </w:rPr>
        <w:t>ont répondu qu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ils n</w:t>
      </w:r>
      <w:r w:rsidR="002A616C">
        <w:rPr>
          <w:color w:val="000000"/>
          <w:lang w:val="fr-FR"/>
        </w:rPr>
        <w:t>’</w:t>
      </w:r>
      <w:r w:rsidRPr="00C25E04">
        <w:rPr>
          <w:color w:val="000000"/>
          <w:lang w:val="fr-FR"/>
        </w:rPr>
        <w:t>étaient pas certains que cela serait utile</w:t>
      </w:r>
      <w:r w:rsidR="008D3DFF">
        <w:rPr>
          <w:lang w:val="fr-FR"/>
        </w:rPr>
        <w:t>.  Trois </w:t>
      </w:r>
      <w:r w:rsidRPr="00C25E04">
        <w:rPr>
          <w:color w:val="000000"/>
          <w:lang w:val="fr-FR"/>
        </w:rPr>
        <w:t>o</w:t>
      </w:r>
      <w:r w:rsidRPr="005C4FCA">
        <w:rPr>
          <w:lang w:val="fr-FR"/>
        </w:rPr>
        <w:t xml:space="preserve">ffices (CA, GB, KR) ont fait observer que la normalisation des noms </w:t>
      </w:r>
      <w:r w:rsidRPr="00C25E04">
        <w:rPr>
          <w:color w:val="000000"/>
          <w:lang w:val="fr-FR"/>
        </w:rPr>
        <w:t xml:space="preserve">présentait une variabilité importante et </w:t>
      </w:r>
      <w:r w:rsidRPr="005C4FCA">
        <w:rPr>
          <w:lang w:val="fr-FR"/>
        </w:rPr>
        <w:t>qu</w:t>
      </w:r>
      <w:r w:rsidR="002A616C">
        <w:rPr>
          <w:lang w:val="fr-FR"/>
        </w:rPr>
        <w:t>’</w:t>
      </w:r>
      <w:r w:rsidR="002F5E24" w:rsidRPr="005C4FCA">
        <w:rPr>
          <w:lang w:val="fr-FR"/>
        </w:rPr>
        <w:t>il conviendrait plutôt de mettre</w:t>
      </w:r>
      <w:r w:rsidRPr="005C4FCA">
        <w:rPr>
          <w:lang w:val="fr-FR"/>
        </w:rPr>
        <w:t xml:space="preserve"> l</w:t>
      </w:r>
      <w:r w:rsidR="002A616C">
        <w:rPr>
          <w:lang w:val="fr-FR"/>
        </w:rPr>
        <w:t>’</w:t>
      </w:r>
      <w:r w:rsidRPr="005C4FCA">
        <w:rPr>
          <w:lang w:val="fr-FR"/>
        </w:rPr>
        <w:t>accent sur l</w:t>
      </w:r>
      <w:r w:rsidR="002A616C">
        <w:rPr>
          <w:lang w:val="fr-FR"/>
        </w:rPr>
        <w:t>’</w:t>
      </w:r>
      <w:r w:rsidRPr="005C4FCA">
        <w:rPr>
          <w:lang w:val="fr-FR"/>
        </w:rPr>
        <w:t>élaboration et le partage d</w:t>
      </w:r>
      <w:r w:rsidR="002A616C">
        <w:rPr>
          <w:lang w:val="fr-FR"/>
        </w:rPr>
        <w:t>’</w:t>
      </w:r>
      <w:r w:rsidRPr="005C4FCA">
        <w:rPr>
          <w:lang w:val="fr-FR"/>
        </w:rPr>
        <w:t>identifiants.</w:t>
      </w:r>
    </w:p>
    <w:p w14:paraId="5BC9BF93" w14:textId="755EB62F" w:rsidR="00C25E04" w:rsidRDefault="00E94BC4" w:rsidP="006F04F9">
      <w:pPr>
        <w:pStyle w:val="ONUMFS"/>
        <w:ind w:left="5533"/>
        <w:rPr>
          <w:lang w:val="fr-FR"/>
        </w:rPr>
      </w:pPr>
      <w:r w:rsidRPr="005C4FCA">
        <w:rPr>
          <w:lang w:val="fr-FR"/>
        </w:rPr>
        <w:t>Le CWS est invité</w:t>
      </w:r>
    </w:p>
    <w:p w14:paraId="2C63243A" w14:textId="77777777" w:rsidR="00C25E04" w:rsidRDefault="00F23F38" w:rsidP="00E94BC4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fr-FR"/>
        </w:rPr>
      </w:pPr>
      <w:r w:rsidRPr="00C25E04">
        <w:rPr>
          <w:i/>
          <w:lang w:val="fr-FR"/>
        </w:rPr>
        <w:tab/>
      </w:r>
      <w:r w:rsidR="00E94BC4" w:rsidRPr="005C4FCA">
        <w:rPr>
          <w:i/>
          <w:lang w:val="fr-FR"/>
        </w:rPr>
        <w:t>a)</w:t>
      </w:r>
      <w:r w:rsidR="00E94BC4" w:rsidRPr="005C4FCA">
        <w:rPr>
          <w:i/>
          <w:lang w:val="fr-FR"/>
        </w:rPr>
        <w:tab/>
        <w:t xml:space="preserve">à prendre note du contenu du présent document </w:t>
      </w:r>
      <w:r w:rsidR="00E94BC4" w:rsidRPr="00C25E04">
        <w:rPr>
          <w:i/>
          <w:color w:val="000000"/>
          <w:lang w:val="fr-FR"/>
        </w:rPr>
        <w:t>et</w:t>
      </w:r>
    </w:p>
    <w:p w14:paraId="726706E4" w14:textId="67316B9D" w:rsidR="00E31947" w:rsidRPr="00C25E04" w:rsidRDefault="00F23F38" w:rsidP="00E94BC4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fr-FR"/>
        </w:rPr>
      </w:pPr>
      <w:r w:rsidRPr="00C25E04">
        <w:rPr>
          <w:i/>
          <w:lang w:val="fr-FR"/>
        </w:rPr>
        <w:tab/>
      </w:r>
      <w:r w:rsidR="00E94BC4" w:rsidRPr="005C4FCA">
        <w:rPr>
          <w:i/>
          <w:lang w:val="fr-FR"/>
        </w:rPr>
        <w:t>b)</w:t>
      </w:r>
      <w:r w:rsidR="00E94BC4" w:rsidRPr="00C25E04">
        <w:rPr>
          <w:i/>
          <w:color w:val="000000"/>
          <w:lang w:val="fr-FR"/>
        </w:rPr>
        <w:tab/>
        <w:t xml:space="preserve">à </w:t>
      </w:r>
      <w:r w:rsidR="00E94BC4" w:rsidRPr="005C4FCA">
        <w:rPr>
          <w:i/>
          <w:lang w:val="fr-FR"/>
        </w:rPr>
        <w:t xml:space="preserve">demander au Bureau </w:t>
      </w:r>
      <w:r w:rsidR="001134FC" w:rsidRPr="005C4FCA">
        <w:rPr>
          <w:i/>
          <w:lang w:val="fr-FR"/>
        </w:rPr>
        <w:t>i</w:t>
      </w:r>
      <w:r w:rsidR="00E94BC4" w:rsidRPr="005C4FCA">
        <w:rPr>
          <w:i/>
          <w:lang w:val="fr-FR"/>
        </w:rPr>
        <w:t xml:space="preserve">nternational de </w:t>
      </w:r>
      <w:r w:rsidR="002D7DDF" w:rsidRPr="005C4FCA">
        <w:rPr>
          <w:i/>
          <w:lang w:val="fr-FR"/>
        </w:rPr>
        <w:t xml:space="preserve">préparer </w:t>
      </w:r>
      <w:r w:rsidR="00E94BC4" w:rsidRPr="005C4FCA">
        <w:rPr>
          <w:i/>
          <w:lang w:val="fr-FR"/>
        </w:rPr>
        <w:t xml:space="preserve">le rapport ainsi que les réponses individuelles et collectives </w:t>
      </w:r>
      <w:r w:rsidR="002D7DDF" w:rsidRPr="005C4FCA">
        <w:rPr>
          <w:i/>
          <w:lang w:val="fr-FR"/>
        </w:rPr>
        <w:t xml:space="preserve">en vue de leur publication </w:t>
      </w:r>
      <w:r w:rsidR="00E94BC4" w:rsidRPr="005C4FCA">
        <w:rPr>
          <w:i/>
          <w:lang w:val="fr-FR"/>
        </w:rPr>
        <w:t xml:space="preserve">sur le </w:t>
      </w:r>
      <w:r w:rsidR="008D3DFF">
        <w:rPr>
          <w:i/>
          <w:lang w:val="fr-FR"/>
        </w:rPr>
        <w:t>site Web</w:t>
      </w:r>
      <w:r w:rsidR="00E94BC4" w:rsidRPr="005C4FCA">
        <w:rPr>
          <w:i/>
          <w:lang w:val="fr-FR"/>
        </w:rPr>
        <w:t xml:space="preserve"> de l</w:t>
      </w:r>
      <w:r w:rsidR="002A616C">
        <w:rPr>
          <w:i/>
          <w:lang w:val="fr-FR"/>
        </w:rPr>
        <w:t>’</w:t>
      </w:r>
      <w:r w:rsidR="00E94BC4" w:rsidRPr="005C4FCA">
        <w:rPr>
          <w:i/>
          <w:lang w:val="fr-FR"/>
        </w:rPr>
        <w:t>OMPI.</w:t>
      </w:r>
    </w:p>
    <w:p w14:paraId="758054C2" w14:textId="77777777" w:rsidR="00E31947" w:rsidRPr="00C25E04" w:rsidRDefault="00E31947" w:rsidP="00F23F38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fr-FR"/>
        </w:rPr>
      </w:pPr>
    </w:p>
    <w:p w14:paraId="57408119" w14:textId="77777777" w:rsidR="00E31947" w:rsidRPr="00C25E04" w:rsidRDefault="00E31947" w:rsidP="00F23F38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fr-FR"/>
        </w:rPr>
      </w:pPr>
    </w:p>
    <w:p w14:paraId="496710DA" w14:textId="4F39CD0B" w:rsidR="00E31947" w:rsidRPr="00C25E04" w:rsidRDefault="00E94BC4" w:rsidP="006F04F9">
      <w:pPr>
        <w:pStyle w:val="Endofdocument-Annex"/>
        <w:rPr>
          <w:lang w:val="fr-FR"/>
        </w:rPr>
      </w:pPr>
      <w:r w:rsidRPr="005C4FCA">
        <w:rPr>
          <w:lang w:val="fr-FR"/>
        </w:rPr>
        <w:t>[Fin du document]</w:t>
      </w:r>
    </w:p>
    <w:p w14:paraId="669A951E" w14:textId="5003A091" w:rsidR="00F23F38" w:rsidRPr="00C25E04" w:rsidRDefault="00F23F38" w:rsidP="00F23F38">
      <w:pPr>
        <w:pStyle w:val="Endofdocument-Annex"/>
        <w:rPr>
          <w:lang w:val="fr-FR"/>
        </w:rPr>
      </w:pPr>
    </w:p>
    <w:sectPr w:rsidR="00F23F38" w:rsidRPr="00C25E04" w:rsidSect="005E46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D66F" w14:textId="77777777" w:rsidR="005E46FD" w:rsidRDefault="005E46FD">
      <w:r>
        <w:separator/>
      </w:r>
    </w:p>
  </w:endnote>
  <w:endnote w:type="continuationSeparator" w:id="0">
    <w:p w14:paraId="57EAC72F" w14:textId="77777777" w:rsidR="005E46FD" w:rsidRDefault="005E46FD" w:rsidP="003B38C1">
      <w:r>
        <w:separator/>
      </w:r>
    </w:p>
    <w:p w14:paraId="64E84B69" w14:textId="77777777" w:rsidR="005E46FD" w:rsidRPr="003B38C1" w:rsidRDefault="005E46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09BB79" w14:textId="77777777" w:rsidR="005E46FD" w:rsidRPr="003B38C1" w:rsidRDefault="005E46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3C7D3" w14:textId="77777777" w:rsidR="001134FC" w:rsidRDefault="00113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1E9BD" w14:textId="77777777" w:rsidR="001134FC" w:rsidRDefault="00113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F1599" w14:textId="77777777" w:rsidR="001134FC" w:rsidRDefault="00113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2503C" w14:textId="77777777" w:rsidR="005E46FD" w:rsidRDefault="005E46FD">
      <w:r>
        <w:separator/>
      </w:r>
    </w:p>
  </w:footnote>
  <w:footnote w:type="continuationSeparator" w:id="0">
    <w:p w14:paraId="6A1FD3F9" w14:textId="77777777" w:rsidR="005E46FD" w:rsidRDefault="005E46FD" w:rsidP="008B60B2">
      <w:r>
        <w:separator/>
      </w:r>
    </w:p>
    <w:p w14:paraId="6213D856" w14:textId="77777777" w:rsidR="005E46FD" w:rsidRPr="00ED77FB" w:rsidRDefault="005E46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77DF45" w14:textId="77777777" w:rsidR="005E46FD" w:rsidRPr="00ED77FB" w:rsidRDefault="005E46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CDAC" w14:textId="77777777" w:rsidR="001134FC" w:rsidRDefault="00113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F5328" w14:textId="48E259B3" w:rsidR="00EC4E49" w:rsidRDefault="005E46FD" w:rsidP="00477D6B">
    <w:pPr>
      <w:jc w:val="right"/>
    </w:pPr>
    <w:bookmarkStart w:id="6" w:name="Code2"/>
    <w:bookmarkEnd w:id="6"/>
    <w:r>
      <w:t>CWS/7/</w:t>
    </w:r>
    <w:r w:rsidR="005C4A6E">
      <w:t>8</w:t>
    </w:r>
  </w:p>
  <w:p w14:paraId="1126134E" w14:textId="114EA069" w:rsidR="00EC4E49" w:rsidRDefault="00EC4E49" w:rsidP="00477D6B">
    <w:pPr>
      <w:jc w:val="right"/>
    </w:pPr>
    <w:proofErr w:type="gramStart"/>
    <w:r>
      <w:t>page</w:t>
    </w:r>
    <w:proofErr w:type="gramEnd"/>
    <w:r w:rsidR="001134F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22B9D">
      <w:rPr>
        <w:noProof/>
      </w:rPr>
      <w:t>6</w:t>
    </w:r>
    <w:r>
      <w:fldChar w:fldCharType="end"/>
    </w:r>
  </w:p>
  <w:p w14:paraId="7CBF4EC8" w14:textId="77777777" w:rsidR="00EC4E49" w:rsidRDefault="00EC4E49" w:rsidP="00477D6B">
    <w:pPr>
      <w:jc w:val="right"/>
    </w:pPr>
  </w:p>
  <w:p w14:paraId="523E3861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C2FF" w14:textId="77777777" w:rsidR="001134FC" w:rsidRDefault="00113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13725D"/>
    <w:multiLevelType w:val="hybridMultilevel"/>
    <w:tmpl w:val="6C6C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7CA2D68"/>
    <w:multiLevelType w:val="hybridMultilevel"/>
    <w:tmpl w:val="763EA26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861E4"/>
    <w:multiLevelType w:val="multilevel"/>
    <w:tmpl w:val="4AE6E7AA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UPOV_Beta|UPOVOld"/>
    <w:docVar w:name="TermBaseURL" w:val="empty"/>
    <w:docVar w:name="TextBases" w:val="TextBase TMs\WorkspaceFTS\Brands, Designs &amp; DN\Brands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E46FD"/>
    <w:rsid w:val="00020F49"/>
    <w:rsid w:val="00031FC3"/>
    <w:rsid w:val="00043CAA"/>
    <w:rsid w:val="00060D52"/>
    <w:rsid w:val="00061D57"/>
    <w:rsid w:val="00061FE7"/>
    <w:rsid w:val="00075432"/>
    <w:rsid w:val="000767F6"/>
    <w:rsid w:val="000774A9"/>
    <w:rsid w:val="00084C62"/>
    <w:rsid w:val="000955B9"/>
    <w:rsid w:val="000968ED"/>
    <w:rsid w:val="000B70CF"/>
    <w:rsid w:val="000B7F08"/>
    <w:rsid w:val="000F5E56"/>
    <w:rsid w:val="001134FC"/>
    <w:rsid w:val="00113DCA"/>
    <w:rsid w:val="001362EE"/>
    <w:rsid w:val="00136EE2"/>
    <w:rsid w:val="001647D5"/>
    <w:rsid w:val="001660E8"/>
    <w:rsid w:val="00177528"/>
    <w:rsid w:val="001832A6"/>
    <w:rsid w:val="002101DD"/>
    <w:rsid w:val="0021217E"/>
    <w:rsid w:val="002200E5"/>
    <w:rsid w:val="00220FA8"/>
    <w:rsid w:val="00233490"/>
    <w:rsid w:val="002371C7"/>
    <w:rsid w:val="00256C54"/>
    <w:rsid w:val="002634C4"/>
    <w:rsid w:val="00281E08"/>
    <w:rsid w:val="002928D3"/>
    <w:rsid w:val="002A616C"/>
    <w:rsid w:val="002A7062"/>
    <w:rsid w:val="002D44B8"/>
    <w:rsid w:val="002D7DDF"/>
    <w:rsid w:val="002F1FE6"/>
    <w:rsid w:val="002F4E68"/>
    <w:rsid w:val="002F5E24"/>
    <w:rsid w:val="003026FF"/>
    <w:rsid w:val="00312F7F"/>
    <w:rsid w:val="00336ED8"/>
    <w:rsid w:val="003452F4"/>
    <w:rsid w:val="00353717"/>
    <w:rsid w:val="00356D90"/>
    <w:rsid w:val="00361450"/>
    <w:rsid w:val="003673CF"/>
    <w:rsid w:val="003845C1"/>
    <w:rsid w:val="00392FC8"/>
    <w:rsid w:val="003A6F89"/>
    <w:rsid w:val="003B38C1"/>
    <w:rsid w:val="003B6FAC"/>
    <w:rsid w:val="003E18CC"/>
    <w:rsid w:val="003E1A81"/>
    <w:rsid w:val="003E4602"/>
    <w:rsid w:val="003E5A4F"/>
    <w:rsid w:val="0041143F"/>
    <w:rsid w:val="00413BF1"/>
    <w:rsid w:val="00423BDA"/>
    <w:rsid w:val="00423E3E"/>
    <w:rsid w:val="00427AF4"/>
    <w:rsid w:val="00453897"/>
    <w:rsid w:val="00464071"/>
    <w:rsid w:val="004647DA"/>
    <w:rsid w:val="00474062"/>
    <w:rsid w:val="00477D6B"/>
    <w:rsid w:val="00482B72"/>
    <w:rsid w:val="00482F0F"/>
    <w:rsid w:val="00494C42"/>
    <w:rsid w:val="004B5048"/>
    <w:rsid w:val="004B6D60"/>
    <w:rsid w:val="004C2479"/>
    <w:rsid w:val="005019FF"/>
    <w:rsid w:val="00507E99"/>
    <w:rsid w:val="005277E6"/>
    <w:rsid w:val="0053057A"/>
    <w:rsid w:val="00533CC1"/>
    <w:rsid w:val="00535252"/>
    <w:rsid w:val="00540A4D"/>
    <w:rsid w:val="00545E7B"/>
    <w:rsid w:val="00555FFF"/>
    <w:rsid w:val="00560A29"/>
    <w:rsid w:val="005611AD"/>
    <w:rsid w:val="005A0113"/>
    <w:rsid w:val="005A7282"/>
    <w:rsid w:val="005C4A6E"/>
    <w:rsid w:val="005C4FCA"/>
    <w:rsid w:val="005C6649"/>
    <w:rsid w:val="005E46FD"/>
    <w:rsid w:val="00605827"/>
    <w:rsid w:val="00627DCE"/>
    <w:rsid w:val="006318AA"/>
    <w:rsid w:val="00643C9D"/>
    <w:rsid w:val="00646050"/>
    <w:rsid w:val="006533FE"/>
    <w:rsid w:val="006713CA"/>
    <w:rsid w:val="00676638"/>
    <w:rsid w:val="00676C5C"/>
    <w:rsid w:val="006910C1"/>
    <w:rsid w:val="006C6DD3"/>
    <w:rsid w:val="006F04F9"/>
    <w:rsid w:val="00722B9D"/>
    <w:rsid w:val="00722E25"/>
    <w:rsid w:val="00766EF9"/>
    <w:rsid w:val="007806D5"/>
    <w:rsid w:val="007816C9"/>
    <w:rsid w:val="007844BC"/>
    <w:rsid w:val="007C6333"/>
    <w:rsid w:val="007C6D5B"/>
    <w:rsid w:val="007D1613"/>
    <w:rsid w:val="007E4C0E"/>
    <w:rsid w:val="007F46F8"/>
    <w:rsid w:val="008934BF"/>
    <w:rsid w:val="008A134B"/>
    <w:rsid w:val="008A238F"/>
    <w:rsid w:val="008B2CC1"/>
    <w:rsid w:val="008B60B2"/>
    <w:rsid w:val="008C0ABC"/>
    <w:rsid w:val="008C1823"/>
    <w:rsid w:val="008D3DFF"/>
    <w:rsid w:val="0090019C"/>
    <w:rsid w:val="00900958"/>
    <w:rsid w:val="0090731E"/>
    <w:rsid w:val="00916EE2"/>
    <w:rsid w:val="00931565"/>
    <w:rsid w:val="00956670"/>
    <w:rsid w:val="00960FC8"/>
    <w:rsid w:val="00966A22"/>
    <w:rsid w:val="0096722F"/>
    <w:rsid w:val="00975DE6"/>
    <w:rsid w:val="00980843"/>
    <w:rsid w:val="009C7DB0"/>
    <w:rsid w:val="009D6E08"/>
    <w:rsid w:val="009E2791"/>
    <w:rsid w:val="009E3F6F"/>
    <w:rsid w:val="009F499F"/>
    <w:rsid w:val="00A052A7"/>
    <w:rsid w:val="00A11154"/>
    <w:rsid w:val="00A37342"/>
    <w:rsid w:val="00A42DAF"/>
    <w:rsid w:val="00A45BD8"/>
    <w:rsid w:val="00A61666"/>
    <w:rsid w:val="00A66304"/>
    <w:rsid w:val="00A67225"/>
    <w:rsid w:val="00A74049"/>
    <w:rsid w:val="00A83DD4"/>
    <w:rsid w:val="00A83E4D"/>
    <w:rsid w:val="00A869B7"/>
    <w:rsid w:val="00AA7D92"/>
    <w:rsid w:val="00AB70E1"/>
    <w:rsid w:val="00AB76F0"/>
    <w:rsid w:val="00AB7E57"/>
    <w:rsid w:val="00AC205C"/>
    <w:rsid w:val="00AD73C4"/>
    <w:rsid w:val="00AF0A6B"/>
    <w:rsid w:val="00B01324"/>
    <w:rsid w:val="00B05A69"/>
    <w:rsid w:val="00B22B85"/>
    <w:rsid w:val="00B33E5E"/>
    <w:rsid w:val="00B726FC"/>
    <w:rsid w:val="00B82242"/>
    <w:rsid w:val="00B9734B"/>
    <w:rsid w:val="00B97DD0"/>
    <w:rsid w:val="00BA30E2"/>
    <w:rsid w:val="00BA3157"/>
    <w:rsid w:val="00BC3BBD"/>
    <w:rsid w:val="00C0065B"/>
    <w:rsid w:val="00C02C54"/>
    <w:rsid w:val="00C11BFE"/>
    <w:rsid w:val="00C122B6"/>
    <w:rsid w:val="00C25E04"/>
    <w:rsid w:val="00C30DDF"/>
    <w:rsid w:val="00C3215B"/>
    <w:rsid w:val="00C40D10"/>
    <w:rsid w:val="00C5068F"/>
    <w:rsid w:val="00C67AE6"/>
    <w:rsid w:val="00C811A6"/>
    <w:rsid w:val="00C84627"/>
    <w:rsid w:val="00C86D74"/>
    <w:rsid w:val="00CA1ECF"/>
    <w:rsid w:val="00CA2EBC"/>
    <w:rsid w:val="00CB0135"/>
    <w:rsid w:val="00CC168E"/>
    <w:rsid w:val="00CC3BFB"/>
    <w:rsid w:val="00CC65BC"/>
    <w:rsid w:val="00CD04F1"/>
    <w:rsid w:val="00CD59F2"/>
    <w:rsid w:val="00D06013"/>
    <w:rsid w:val="00D21CF4"/>
    <w:rsid w:val="00D27A50"/>
    <w:rsid w:val="00D3124F"/>
    <w:rsid w:val="00D40292"/>
    <w:rsid w:val="00D45252"/>
    <w:rsid w:val="00D66119"/>
    <w:rsid w:val="00D71B4D"/>
    <w:rsid w:val="00D73CC0"/>
    <w:rsid w:val="00D93D55"/>
    <w:rsid w:val="00E15015"/>
    <w:rsid w:val="00E25D2E"/>
    <w:rsid w:val="00E26F6B"/>
    <w:rsid w:val="00E273F8"/>
    <w:rsid w:val="00E31947"/>
    <w:rsid w:val="00E335FE"/>
    <w:rsid w:val="00E34833"/>
    <w:rsid w:val="00E43B17"/>
    <w:rsid w:val="00E64F8B"/>
    <w:rsid w:val="00E8649D"/>
    <w:rsid w:val="00E94BC4"/>
    <w:rsid w:val="00EA7D6E"/>
    <w:rsid w:val="00EC4E49"/>
    <w:rsid w:val="00ED77FB"/>
    <w:rsid w:val="00EE45FA"/>
    <w:rsid w:val="00F0085F"/>
    <w:rsid w:val="00F23F38"/>
    <w:rsid w:val="00F66152"/>
    <w:rsid w:val="00F667D9"/>
    <w:rsid w:val="00F67180"/>
    <w:rsid w:val="00F81104"/>
    <w:rsid w:val="00F85A64"/>
    <w:rsid w:val="00FB0945"/>
    <w:rsid w:val="00FC22C0"/>
    <w:rsid w:val="00FC565F"/>
    <w:rsid w:val="00FD580B"/>
    <w:rsid w:val="00FD59DD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F3D21CF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F23F38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3F38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45E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5E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5E7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45E7B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061FE7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061FE7"/>
    <w:rPr>
      <w:rFonts w:ascii="Arial" w:eastAsia="SimSun" w:hAnsi="Arial" w:cs="Arial"/>
      <w:sz w:val="22"/>
      <w:lang w:val="en-US" w:eastAsia="zh-CN"/>
    </w:rPr>
  </w:style>
  <w:style w:type="character" w:styleId="PageNumber">
    <w:name w:val="page number"/>
    <w:basedOn w:val="DefaultParagraphFont"/>
    <w:rsid w:val="00061FE7"/>
  </w:style>
  <w:style w:type="paragraph" w:styleId="ListParagraph">
    <w:name w:val="List Paragraph"/>
    <w:basedOn w:val="Normal"/>
    <w:qFormat/>
    <w:rsid w:val="00AB7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7/cws_7_8-related1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6</Pages>
  <Words>2471</Words>
  <Characters>14564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CWS/7/8 (in French)</vt:lpstr>
      <vt:lpstr>CWS/7/8 (in English)</vt:lpstr>
    </vt:vector>
  </TitlesOfParts>
  <Company>WIPO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CWS/7/8 (in French)</dc:title>
  <dc:subject>RESULTATS DE L’ENQUETE SUR L’UTILISATION D’IDENTIFIANTS POUR LES DEPOSANTS PAR LES OFFICES DE PROPRIETE INTELLECTUELLE</dc:subject>
  <dc:creator>WIPO</dc:creator>
  <cp:keywords>CWS, WIPO</cp:keywords>
  <cp:lastModifiedBy>DRAKE Sophie</cp:lastModifiedBy>
  <cp:revision>11</cp:revision>
  <cp:lastPrinted>2019-05-20T12:39:00Z</cp:lastPrinted>
  <dcterms:created xsi:type="dcterms:W3CDTF">2019-05-21T10:32:00Z</dcterms:created>
  <dcterms:modified xsi:type="dcterms:W3CDTF">2019-05-28T14:49:00Z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