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A" w:rsidRPr="00FD02C1" w:rsidRDefault="00FE1B49" w:rsidP="0083182C">
      <w:pPr>
        <w:pStyle w:val="Heading1"/>
        <w:rPr>
          <w:lang w:val="fr-FR"/>
        </w:rPr>
      </w:pPr>
      <w:r w:rsidRPr="00FD02C1">
        <w:rPr>
          <w:lang w:val="fr-FR"/>
        </w:rPr>
        <w:t>A</w:t>
      </w:r>
      <w:r w:rsidR="00C46B41" w:rsidRPr="00FD02C1">
        <w:rPr>
          <w:lang w:val="fr-FR"/>
        </w:rPr>
        <w:t>NNEX</w:t>
      </w:r>
      <w:r w:rsidR="00FD02C1" w:rsidRPr="00FD02C1">
        <w:rPr>
          <w:lang w:val="fr-FR"/>
        </w:rPr>
        <w:t>e</w:t>
      </w:r>
      <w:r w:rsidR="005566B4">
        <w:rPr>
          <w:lang w:val="fr-FR"/>
        </w:rPr>
        <w:t> </w:t>
      </w:r>
      <w:r w:rsidRPr="00FD02C1">
        <w:rPr>
          <w:lang w:val="fr-FR"/>
        </w:rPr>
        <w:t>I</w:t>
      </w:r>
    </w:p>
    <w:p w:rsidR="00FE1B49" w:rsidRDefault="0083182C" w:rsidP="008E45C2">
      <w:pPr>
        <w:pStyle w:val="Heading2"/>
        <w:spacing w:before="120" w:after="120"/>
        <w:rPr>
          <w:caps w:val="0"/>
          <w:lang w:val="fr-FR"/>
        </w:rPr>
      </w:pPr>
      <w:bookmarkStart w:id="0" w:name="_GoBack"/>
      <w:r w:rsidRPr="00FD02C1">
        <w:rPr>
          <w:caps w:val="0"/>
          <w:lang w:val="fr-FR"/>
        </w:rPr>
        <w:t>PROPOS</w:t>
      </w:r>
      <w:r w:rsidR="00FD02C1" w:rsidRPr="00FD02C1">
        <w:rPr>
          <w:caps w:val="0"/>
          <w:lang w:val="fr-FR"/>
        </w:rPr>
        <w:t>ITION DE CR</w:t>
      </w:r>
      <w:r w:rsidR="001775D4">
        <w:rPr>
          <w:caps w:val="0"/>
          <w:lang w:val="fr-FR"/>
        </w:rPr>
        <w:t>É</w:t>
      </w:r>
      <w:r w:rsidR="00FD02C1" w:rsidRPr="00FD02C1">
        <w:rPr>
          <w:caps w:val="0"/>
          <w:lang w:val="fr-FR"/>
        </w:rPr>
        <w:t>ATION D</w:t>
      </w:r>
      <w:r w:rsidR="000B1EA9">
        <w:rPr>
          <w:caps w:val="0"/>
          <w:lang w:val="fr-FR"/>
        </w:rPr>
        <w:t>’</w:t>
      </w:r>
      <w:r w:rsidR="00FD02C1" w:rsidRPr="00FD02C1">
        <w:rPr>
          <w:caps w:val="0"/>
          <w:lang w:val="fr-FR"/>
        </w:rPr>
        <w:t>UNE BASE DE DONN</w:t>
      </w:r>
      <w:r w:rsidR="001775D4">
        <w:rPr>
          <w:caps w:val="0"/>
          <w:lang w:val="fr-FR"/>
        </w:rPr>
        <w:t>É</w:t>
      </w:r>
      <w:r w:rsidR="00FD02C1" w:rsidRPr="00FD02C1">
        <w:rPr>
          <w:caps w:val="0"/>
          <w:lang w:val="fr-FR"/>
        </w:rPr>
        <w:t>ES CENTRALE POUR LES COMPOSANTES DE LA NORME</w:t>
      </w:r>
      <w:r w:rsidR="001775D4">
        <w:rPr>
          <w:caps w:val="0"/>
          <w:lang w:val="fr-FR"/>
        </w:rPr>
        <w:t> </w:t>
      </w:r>
      <w:r w:rsidR="00FD02C1" w:rsidRPr="00FD02C1">
        <w:rPr>
          <w:caps w:val="0"/>
          <w:lang w:val="fr-FR"/>
        </w:rPr>
        <w:t>ST.96 PROPRES AUX OFFICES</w:t>
      </w:r>
    </w:p>
    <w:p w:rsidR="00A71674" w:rsidRPr="00A71674" w:rsidRDefault="00A71674" w:rsidP="00A71674">
      <w:pPr>
        <w:rPr>
          <w:lang w:val="fr-FR"/>
        </w:rPr>
      </w:pPr>
    </w:p>
    <w:bookmarkEnd w:id="0"/>
    <w:p w:rsidR="00947EFA" w:rsidRPr="00FD02C1" w:rsidRDefault="00FD02C1" w:rsidP="00A71674">
      <w:pPr>
        <w:pStyle w:val="ONUMFS"/>
        <w:rPr>
          <w:lang w:val="fr-FR"/>
        </w:rPr>
      </w:pPr>
      <w:r w:rsidRPr="00840A9B">
        <w:rPr>
          <w:lang w:val="fr-FR"/>
        </w:rPr>
        <w:t xml:space="preserve">Pour que les </w:t>
      </w:r>
      <w:r w:rsidR="00355A2B">
        <w:rPr>
          <w:lang w:val="fr-FR"/>
        </w:rPr>
        <w:t>o</w:t>
      </w:r>
      <w:r w:rsidRPr="00840A9B">
        <w:rPr>
          <w:lang w:val="fr-FR"/>
        </w:rPr>
        <w:t>ffices de propriété intellectuelle</w:t>
      </w:r>
      <w:r w:rsidR="00840A9B">
        <w:rPr>
          <w:lang w:val="fr-FR"/>
        </w:rPr>
        <w:t xml:space="preserve"> puissent échanger des données selon la norme</w:t>
      </w:r>
      <w:r w:rsidR="009C2815">
        <w:rPr>
          <w:lang w:val="fr-FR"/>
        </w:rPr>
        <w:t> </w:t>
      </w:r>
      <w:r w:rsidR="00840A9B">
        <w:rPr>
          <w:lang w:val="fr-FR"/>
        </w:rPr>
        <w:t>ST.96</w:t>
      </w:r>
      <w:r w:rsidR="00467713">
        <w:rPr>
          <w:lang w:val="fr-FR"/>
        </w:rPr>
        <w:t xml:space="preserve"> de l</w:t>
      </w:r>
      <w:r w:rsidR="000B1EA9">
        <w:rPr>
          <w:lang w:val="fr-FR"/>
        </w:rPr>
        <w:t>’</w:t>
      </w:r>
      <w:r w:rsidR="00467713">
        <w:rPr>
          <w:lang w:val="fr-FR"/>
        </w:rPr>
        <w:t>OMPI</w:t>
      </w:r>
      <w:r w:rsidR="00840A9B">
        <w:rPr>
          <w:lang w:val="fr-FR"/>
        </w:rPr>
        <w:t>, il est essentiel de garantir la conformité de ces données au</w:t>
      </w:r>
      <w:r w:rsidR="001775D4">
        <w:rPr>
          <w:lang w:val="fr-FR"/>
        </w:rPr>
        <w:t xml:space="preserve"> niveau</w:t>
      </w:r>
      <w:r w:rsidR="00840A9B">
        <w:rPr>
          <w:lang w:val="fr-FR"/>
        </w:rPr>
        <w:t xml:space="preserve"> de l</w:t>
      </w:r>
      <w:r w:rsidR="000B1EA9">
        <w:rPr>
          <w:lang w:val="fr-FR"/>
        </w:rPr>
        <w:t>’</w:t>
      </w:r>
      <w:r w:rsidR="00840A9B">
        <w:rPr>
          <w:lang w:val="fr-FR"/>
        </w:rPr>
        <w:t>instance et du sché</w:t>
      </w:r>
      <w:r w:rsidR="001775D4">
        <w:rPr>
          <w:lang w:val="fr-FR"/>
        </w:rPr>
        <w:t>ma.  Un</w:t>
      </w:r>
      <w:r w:rsidR="00840A9B">
        <w:rPr>
          <w:lang w:val="fr-FR"/>
        </w:rPr>
        <w:t>e instance XML conforme est une instance qui correspond au schéma de la norme</w:t>
      </w:r>
      <w:r w:rsidR="009C2815">
        <w:rPr>
          <w:lang w:val="fr-FR"/>
        </w:rPr>
        <w:t> </w:t>
      </w:r>
      <w:r w:rsidR="00840A9B">
        <w:rPr>
          <w:lang w:val="fr-FR"/>
        </w:rPr>
        <w:t>ST.96.</w:t>
      </w:r>
    </w:p>
    <w:p w:rsidR="00947EFA" w:rsidRPr="00FD02C1" w:rsidRDefault="00840A9B" w:rsidP="00A71674">
      <w:pPr>
        <w:pStyle w:val="ONUMFS"/>
        <w:rPr>
          <w:lang w:val="fr-FR"/>
        </w:rPr>
      </w:pPr>
      <w:r>
        <w:rPr>
          <w:lang w:val="fr-FR"/>
        </w:rPr>
        <w:t xml:space="preserve">Cependant, les </w:t>
      </w:r>
      <w:r w:rsidR="00611FA0">
        <w:rPr>
          <w:lang w:val="fr-FR"/>
        </w:rPr>
        <w:t>o</w:t>
      </w:r>
      <w:r>
        <w:rPr>
          <w:lang w:val="fr-FR"/>
        </w:rPr>
        <w:t>ffices ont jugé nécessaire d</w:t>
      </w:r>
      <w:r w:rsidR="000B1EA9">
        <w:rPr>
          <w:lang w:val="fr-FR"/>
        </w:rPr>
        <w:t>’</w:t>
      </w:r>
      <w:r>
        <w:rPr>
          <w:lang w:val="fr-FR"/>
        </w:rPr>
        <w:t>adapter la version officielle du schéma</w:t>
      </w:r>
      <w:r w:rsidR="001775D4">
        <w:rPr>
          <w:lang w:val="fr-FR"/>
        </w:rPr>
        <w:t> </w:t>
      </w:r>
      <w:r>
        <w:rPr>
          <w:lang w:val="fr-FR"/>
        </w:rPr>
        <w:t>ST.96 à leurs besoins opérationne</w:t>
      </w:r>
      <w:r w:rsidR="001775D4">
        <w:rPr>
          <w:lang w:val="fr-FR"/>
        </w:rPr>
        <w:t>ls.  En</w:t>
      </w:r>
      <w:r w:rsidR="00467713">
        <w:rPr>
          <w:lang w:val="fr-FR"/>
        </w:rPr>
        <w:t xml:space="preserve"> vertu des règles de mise en œuvre énoncées dans l</w:t>
      </w:r>
      <w:r w:rsidR="000B1EA9">
        <w:rPr>
          <w:lang w:val="fr-FR"/>
        </w:rPr>
        <w:t>’</w:t>
      </w:r>
      <w:r w:rsidR="00467713">
        <w:rPr>
          <w:lang w:val="fr-FR"/>
        </w:rPr>
        <w:t>Annexe V de la norme</w:t>
      </w:r>
      <w:r w:rsidR="009C2815">
        <w:rPr>
          <w:lang w:val="fr-FR"/>
        </w:rPr>
        <w:t> </w:t>
      </w:r>
      <w:r w:rsidR="00467713">
        <w:rPr>
          <w:lang w:val="fr-FR"/>
        </w:rPr>
        <w:t>ST.96</w:t>
      </w:r>
      <w:r w:rsidR="00355A2B">
        <w:rPr>
          <w:lang w:val="fr-FR"/>
        </w:rPr>
        <w:t xml:space="preserve">, les </w:t>
      </w:r>
      <w:r w:rsidR="00611FA0">
        <w:rPr>
          <w:lang w:val="fr-FR"/>
        </w:rPr>
        <w:t>o</w:t>
      </w:r>
      <w:r w:rsidR="00355A2B">
        <w:rPr>
          <w:lang w:val="fr-FR"/>
        </w:rPr>
        <w:t>ffices doivent</w:t>
      </w:r>
      <w:r w:rsidR="00611FA0">
        <w:rPr>
          <w:lang w:val="fr-FR"/>
        </w:rPr>
        <w:t xml:space="preserve"> faire apparaître ces éléments nouveaux ou étendus dans leur propre espace de nommage (par exemple </w:t>
      </w:r>
      <w:proofErr w:type="spellStart"/>
      <w:r w:rsidR="00611FA0" w:rsidRPr="00FD02C1">
        <w:rPr>
          <w:rFonts w:ascii="Courier New" w:hAnsi="Courier New" w:cs="Courier New"/>
          <w:lang w:val="fr-FR"/>
        </w:rPr>
        <w:t>uspat</w:t>
      </w:r>
      <w:proofErr w:type="spellEnd"/>
      <w:r w:rsidR="00611FA0">
        <w:rPr>
          <w:lang w:val="fr-FR"/>
        </w:rPr>
        <w:t>), et propager ces modifications vers le haut jusqu</w:t>
      </w:r>
      <w:r w:rsidR="000B1EA9">
        <w:rPr>
          <w:lang w:val="fr-FR"/>
        </w:rPr>
        <w:t>’</w:t>
      </w:r>
      <w:r w:rsidR="00611FA0">
        <w:rPr>
          <w:lang w:val="fr-FR"/>
        </w:rPr>
        <w:t>à l</w:t>
      </w:r>
      <w:r w:rsidR="000B1EA9">
        <w:rPr>
          <w:lang w:val="fr-FR"/>
        </w:rPr>
        <w:t>’</w:t>
      </w:r>
      <w:r w:rsidR="00611FA0">
        <w:rPr>
          <w:lang w:val="fr-FR"/>
        </w:rPr>
        <w:t>élément raci</w:t>
      </w:r>
      <w:r w:rsidR="001775D4">
        <w:rPr>
          <w:lang w:val="fr-FR"/>
        </w:rPr>
        <w:t>ne.  Ce</w:t>
      </w:r>
      <w:r w:rsidR="00611FA0">
        <w:rPr>
          <w:lang w:val="fr-FR"/>
        </w:rPr>
        <w:t>s mises en œuvre nationales de la norme</w:t>
      </w:r>
      <w:r w:rsidR="009C2815">
        <w:rPr>
          <w:lang w:val="fr-FR"/>
        </w:rPr>
        <w:t> </w:t>
      </w:r>
      <w:r w:rsidR="00611FA0">
        <w:rPr>
          <w:lang w:val="fr-FR"/>
        </w:rPr>
        <w:t>ST.96 ne sont</w:t>
      </w:r>
      <w:r w:rsidR="005009E3">
        <w:rPr>
          <w:lang w:val="fr-FR"/>
        </w:rPr>
        <w:t xml:space="preserve"> alors</w:t>
      </w:r>
      <w:r w:rsidR="00611FA0">
        <w:rPr>
          <w:lang w:val="fr-FR"/>
        </w:rPr>
        <w:t xml:space="preserve"> plus conformes, mais elles </w:t>
      </w:r>
      <w:r w:rsidR="000C672D">
        <w:rPr>
          <w:lang w:val="fr-FR"/>
        </w:rPr>
        <w:t>restent compatibles.</w:t>
      </w:r>
    </w:p>
    <w:p w:rsidR="000B1EA9" w:rsidRDefault="000C672D" w:rsidP="00A71674">
      <w:pPr>
        <w:pStyle w:val="ONUMFS"/>
        <w:rPr>
          <w:lang w:val="fr-FR"/>
        </w:rPr>
      </w:pPr>
      <w:r>
        <w:rPr>
          <w:lang w:val="fr-FR"/>
        </w:rPr>
        <w:t xml:space="preserve">Pour résoudre ce problème, </w:t>
      </w:r>
      <w:r w:rsidR="00132FB8">
        <w:rPr>
          <w:lang w:val="fr-FR"/>
        </w:rPr>
        <w:t xml:space="preserve">le </w:t>
      </w:r>
      <w:r w:rsidR="00132FB8" w:rsidRPr="00600143">
        <w:rPr>
          <w:lang w:val="fr-FR"/>
        </w:rPr>
        <w:t>Service fédéral de la propriété intellectuelle de</w:t>
      </w:r>
      <w:r w:rsidR="00132FB8">
        <w:rPr>
          <w:lang w:val="fr-FR"/>
        </w:rPr>
        <w:t xml:space="preserve"> </w:t>
      </w:r>
      <w:r w:rsidR="00132FB8" w:rsidRPr="00600143">
        <w:rPr>
          <w:lang w:val="fr-FR"/>
        </w:rPr>
        <w:t>la Fédération de Russie</w:t>
      </w:r>
      <w:r w:rsidR="00132FB8">
        <w:rPr>
          <w:lang w:val="fr-FR"/>
        </w:rPr>
        <w:t xml:space="preserve"> (</w:t>
      </w:r>
      <w:r>
        <w:rPr>
          <w:lang w:val="fr-FR"/>
        </w:rPr>
        <w:t>ROSPATENT</w:t>
      </w:r>
      <w:r w:rsidR="00132FB8">
        <w:rPr>
          <w:lang w:val="fr-FR"/>
        </w:rPr>
        <w:t>)</w:t>
      </w:r>
      <w:r>
        <w:rPr>
          <w:lang w:val="fr-FR"/>
        </w:rPr>
        <w:t xml:space="preserve"> a proposé, à la réunion de l</w:t>
      </w:r>
      <w:r w:rsidR="000B1EA9">
        <w:rPr>
          <w:lang w:val="fr-FR"/>
        </w:rPr>
        <w:t>’</w:t>
      </w:r>
      <w:r w:rsidR="00497BF8">
        <w:rPr>
          <w:lang w:val="fr-FR"/>
        </w:rPr>
        <w:t>é</w:t>
      </w:r>
      <w:r>
        <w:rPr>
          <w:lang w:val="fr-FR"/>
        </w:rPr>
        <w:t>quipe d</w:t>
      </w:r>
      <w:r w:rsidR="000B1EA9">
        <w:rPr>
          <w:lang w:val="fr-FR"/>
        </w:rPr>
        <w:t>’</w:t>
      </w:r>
      <w:r>
        <w:rPr>
          <w:lang w:val="fr-FR"/>
        </w:rPr>
        <w:t xml:space="preserve">experts organisée à Moscou en </w:t>
      </w:r>
      <w:r w:rsidR="000B1EA9">
        <w:rPr>
          <w:lang w:val="fr-FR"/>
        </w:rPr>
        <w:t>mai 20</w:t>
      </w:r>
      <w:r>
        <w:rPr>
          <w:lang w:val="fr-FR"/>
        </w:rPr>
        <w:t>18, que le Bureau international héberge ces mises en œuvre nationales dans une base de données ou une plateforme centra</w:t>
      </w:r>
      <w:r w:rsidR="001775D4">
        <w:rPr>
          <w:lang w:val="fr-FR"/>
        </w:rPr>
        <w:t>le.  Ce</w:t>
      </w:r>
      <w:r w:rsidR="0001498D">
        <w:rPr>
          <w:lang w:val="fr-FR"/>
        </w:rPr>
        <w:t>tte question a été reprise à la réunion tenue à Genève en octobre de la même ann</w:t>
      </w:r>
      <w:r w:rsidR="001775D4">
        <w:rPr>
          <w:lang w:val="fr-FR"/>
        </w:rPr>
        <w:t>ée.  Le</w:t>
      </w:r>
      <w:r w:rsidR="00D90139">
        <w:rPr>
          <w:lang w:val="fr-FR"/>
        </w:rPr>
        <w:t>s membres de l</w:t>
      </w:r>
      <w:r w:rsidR="000B1EA9">
        <w:rPr>
          <w:lang w:val="fr-FR"/>
        </w:rPr>
        <w:t>’</w:t>
      </w:r>
      <w:r w:rsidR="001775D4">
        <w:rPr>
          <w:lang w:val="fr-FR"/>
        </w:rPr>
        <w:t>É</w:t>
      </w:r>
      <w:r w:rsidR="00D90139">
        <w:rPr>
          <w:lang w:val="fr-FR"/>
        </w:rPr>
        <w:t>quipe d</w:t>
      </w:r>
      <w:r w:rsidR="000B1EA9">
        <w:rPr>
          <w:lang w:val="fr-FR"/>
        </w:rPr>
        <w:t>’</w:t>
      </w:r>
      <w:r w:rsidR="00D90139">
        <w:rPr>
          <w:lang w:val="fr-FR"/>
        </w:rPr>
        <w:t>experts chargée de la norme</w:t>
      </w:r>
      <w:r w:rsidR="009C2815">
        <w:rPr>
          <w:lang w:val="fr-FR"/>
        </w:rPr>
        <w:t> </w:t>
      </w:r>
      <w:r w:rsidR="008904C3" w:rsidRPr="00FD02C1">
        <w:rPr>
          <w:lang w:val="fr-FR"/>
        </w:rPr>
        <w:t>XML4IP</w:t>
      </w:r>
      <w:r w:rsidR="008904C3">
        <w:rPr>
          <w:lang w:val="fr-FR"/>
        </w:rPr>
        <w:t xml:space="preserve"> ont appuyé cette propositi</w:t>
      </w:r>
      <w:r w:rsidR="001775D4">
        <w:rPr>
          <w:lang w:val="fr-FR"/>
        </w:rPr>
        <w:t>on.  Le</w:t>
      </w:r>
      <w:r w:rsidR="008904C3">
        <w:rPr>
          <w:lang w:val="fr-FR"/>
        </w:rPr>
        <w:t xml:space="preserve"> présent document </w:t>
      </w:r>
      <w:r w:rsidR="00563800">
        <w:rPr>
          <w:lang w:val="fr-FR"/>
        </w:rPr>
        <w:t>contient</w:t>
      </w:r>
      <w:r w:rsidR="008904C3">
        <w:rPr>
          <w:lang w:val="fr-FR"/>
        </w:rPr>
        <w:t xml:space="preserve"> les étapes suivantes </w:t>
      </w:r>
      <w:r w:rsidR="00563800">
        <w:rPr>
          <w:lang w:val="fr-FR"/>
        </w:rPr>
        <w:t>proposées par</w:t>
      </w:r>
      <w:r w:rsidR="008904C3">
        <w:rPr>
          <w:lang w:val="fr-FR"/>
        </w:rPr>
        <w:t xml:space="preserve"> le Bureau international pour procéder à la mise en œuvre.</w:t>
      </w:r>
      <w:r w:rsidR="00DF5B05">
        <w:rPr>
          <w:lang w:val="fr-FR"/>
        </w:rPr>
        <w:t xml:space="preserve"> </w:t>
      </w:r>
      <w:r w:rsidR="009C2815">
        <w:rPr>
          <w:lang w:val="fr-FR"/>
        </w:rPr>
        <w:t xml:space="preserve"> </w:t>
      </w:r>
      <w:r w:rsidR="00DF5B05">
        <w:rPr>
          <w:lang w:val="fr-FR"/>
        </w:rPr>
        <w:t>ROSPATEN</w:t>
      </w:r>
      <w:r w:rsidR="00EA31CF">
        <w:rPr>
          <w:lang w:val="fr-FR"/>
        </w:rPr>
        <w:t xml:space="preserve">T, </w:t>
      </w:r>
      <w:r w:rsidR="00132FB8">
        <w:rPr>
          <w:lang w:val="fr-FR"/>
        </w:rPr>
        <w:t>l</w:t>
      </w:r>
      <w:r w:rsidR="000B1EA9">
        <w:rPr>
          <w:lang w:val="fr-FR"/>
        </w:rPr>
        <w:t>’</w:t>
      </w:r>
      <w:r w:rsidR="00132FB8" w:rsidRPr="00132FB8">
        <w:rPr>
          <w:lang w:val="fr-FR"/>
        </w:rPr>
        <w:t>Office des brevets et des marques des États</w:t>
      </w:r>
      <w:r w:rsidR="000B1EA9">
        <w:rPr>
          <w:lang w:val="fr-FR"/>
        </w:rPr>
        <w:t>-</w:t>
      </w:r>
      <w:r w:rsidR="00132FB8" w:rsidRPr="00132FB8">
        <w:rPr>
          <w:lang w:val="fr-FR"/>
        </w:rPr>
        <w:t>Unis d</w:t>
      </w:r>
      <w:r w:rsidR="000B1EA9">
        <w:rPr>
          <w:lang w:val="fr-FR"/>
        </w:rPr>
        <w:t>’</w:t>
      </w:r>
      <w:r w:rsidR="00132FB8" w:rsidRPr="00132FB8">
        <w:rPr>
          <w:lang w:val="fr-FR"/>
        </w:rPr>
        <w:t>Amérique (USPTO)</w:t>
      </w:r>
      <w:r w:rsidR="00B02E36">
        <w:rPr>
          <w:lang w:val="fr-FR"/>
        </w:rPr>
        <w:t xml:space="preserve"> et l</w:t>
      </w:r>
      <w:r w:rsidR="000B1EA9">
        <w:rPr>
          <w:lang w:val="fr-FR"/>
        </w:rPr>
        <w:t>’</w:t>
      </w:r>
      <w:r w:rsidR="00B02E36" w:rsidRPr="00B02E36">
        <w:rPr>
          <w:lang w:val="fr-FR"/>
        </w:rPr>
        <w:t>Office de la propriété intellectuelle du Royaume</w:t>
      </w:r>
      <w:r w:rsidR="009C2815">
        <w:rPr>
          <w:lang w:val="fr-FR"/>
        </w:rPr>
        <w:t>-</w:t>
      </w:r>
      <w:r w:rsidR="00B02E36" w:rsidRPr="00B02E36">
        <w:rPr>
          <w:lang w:val="fr-FR"/>
        </w:rPr>
        <w:t>Uni (UKIPO)</w:t>
      </w:r>
      <w:r w:rsidR="00B02E36">
        <w:rPr>
          <w:lang w:val="fr-FR"/>
        </w:rPr>
        <w:t xml:space="preserve"> ont tous trois</w:t>
      </w:r>
      <w:r w:rsidR="009C2815">
        <w:rPr>
          <w:lang w:val="fr-FR"/>
        </w:rPr>
        <w:t> </w:t>
      </w:r>
      <w:r w:rsidR="00043071">
        <w:rPr>
          <w:lang w:val="fr-FR"/>
        </w:rPr>
        <w:t>collaboré pour créer</w:t>
      </w:r>
      <w:r w:rsidR="00B02E36">
        <w:rPr>
          <w:lang w:val="fr-FR"/>
        </w:rPr>
        <w:t xml:space="preserve"> des exemples de mise en œuvre nationale dans leur propre espace de nommage.</w:t>
      </w:r>
    </w:p>
    <w:p w:rsidR="002F7C4F" w:rsidRDefault="00407E4A" w:rsidP="00A71674">
      <w:pPr>
        <w:pStyle w:val="ONUMFS"/>
        <w:rPr>
          <w:lang w:val="fr-FR"/>
        </w:rPr>
      </w:pPr>
      <w:r>
        <w:rPr>
          <w:lang w:val="fr-FR"/>
        </w:rPr>
        <w:t>Aux fins de la mise en place de</w:t>
      </w:r>
      <w:r w:rsidR="004661AE">
        <w:rPr>
          <w:lang w:val="fr-FR"/>
        </w:rPr>
        <w:t xml:space="preserve"> cette base de données, le Bureau international a </w:t>
      </w:r>
      <w:proofErr w:type="gramStart"/>
      <w:r w:rsidR="004661AE">
        <w:rPr>
          <w:lang w:val="fr-FR"/>
        </w:rPr>
        <w:t>recensé</w:t>
      </w:r>
      <w:proofErr w:type="gramEnd"/>
      <w:r w:rsidR="004661AE">
        <w:rPr>
          <w:lang w:val="fr-FR"/>
        </w:rPr>
        <w:t xml:space="preserve"> trois</w:t>
      </w:r>
      <w:r w:rsidR="009C2815">
        <w:rPr>
          <w:lang w:val="fr-FR"/>
        </w:rPr>
        <w:t> </w:t>
      </w:r>
      <w:r w:rsidR="000623BE">
        <w:rPr>
          <w:lang w:val="fr-FR"/>
        </w:rPr>
        <w:t>domaines,</w:t>
      </w:r>
      <w:r w:rsidR="004661AE">
        <w:rPr>
          <w:lang w:val="fr-FR"/>
        </w:rPr>
        <w:t xml:space="preserve"> examinés plus loin</w:t>
      </w:r>
      <w:r w:rsidR="000623BE">
        <w:rPr>
          <w:lang w:val="fr-FR"/>
        </w:rPr>
        <w:t>, dans lesquels une décision devra être prise</w:t>
      </w:r>
      <w:r w:rsidR="009C2815">
        <w:rPr>
          <w:lang w:val="fr-FR"/>
        </w:rPr>
        <w:t> </w:t>
      </w:r>
      <w:r w:rsidR="004661AE">
        <w:rPr>
          <w:lang w:val="fr-FR"/>
        </w:rPr>
        <w:t>:</w:t>
      </w:r>
    </w:p>
    <w:p w:rsidR="00EA60C1" w:rsidRDefault="00EA60C1" w:rsidP="00A71674">
      <w:pPr>
        <w:pStyle w:val="ONUMFS"/>
        <w:numPr>
          <w:ilvl w:val="1"/>
          <w:numId w:val="4"/>
        </w:numPr>
        <w:rPr>
          <w:lang w:val="fr-FR"/>
        </w:rPr>
      </w:pPr>
      <w:r>
        <w:rPr>
          <w:lang w:val="fr-FR"/>
        </w:rPr>
        <w:t>La plateforme technologique à employer pour numéroter les versions et héberger les données;</w:t>
      </w:r>
    </w:p>
    <w:p w:rsidR="004F22C0" w:rsidRPr="00FD02C1" w:rsidRDefault="00EA60C1" w:rsidP="00A71674">
      <w:pPr>
        <w:pStyle w:val="ONUMFS"/>
        <w:numPr>
          <w:ilvl w:val="1"/>
          <w:numId w:val="4"/>
        </w:numPr>
        <w:rPr>
          <w:lang w:val="fr-FR"/>
        </w:rPr>
      </w:pPr>
      <w:r>
        <w:rPr>
          <w:lang w:val="fr-FR"/>
        </w:rPr>
        <w:t xml:space="preserve">La méthode à employer pour recueillir et mettre à jour les schémas propres à chaque </w:t>
      </w:r>
      <w:proofErr w:type="gramStart"/>
      <w:r>
        <w:rPr>
          <w:lang w:val="fr-FR"/>
        </w:rPr>
        <w:t xml:space="preserve">office; </w:t>
      </w:r>
      <w:r w:rsidR="009C2815">
        <w:rPr>
          <w:lang w:val="fr-FR"/>
        </w:rPr>
        <w:t xml:space="preserve"> </w:t>
      </w:r>
      <w:r>
        <w:rPr>
          <w:lang w:val="fr-FR"/>
        </w:rPr>
        <w:t>et</w:t>
      </w:r>
      <w:proofErr w:type="gramEnd"/>
    </w:p>
    <w:p w:rsidR="004F22C0" w:rsidRPr="00FD02C1" w:rsidRDefault="00EA60C1" w:rsidP="00A71674">
      <w:pPr>
        <w:pStyle w:val="ONUMFS"/>
        <w:numPr>
          <w:ilvl w:val="1"/>
          <w:numId w:val="4"/>
        </w:numPr>
        <w:rPr>
          <w:lang w:val="fr-FR"/>
        </w:rPr>
      </w:pPr>
      <w:r>
        <w:rPr>
          <w:lang w:val="fr-FR"/>
        </w:rPr>
        <w:t>Les autorisations d</w:t>
      </w:r>
      <w:r w:rsidR="000B1EA9">
        <w:rPr>
          <w:lang w:val="fr-FR"/>
        </w:rPr>
        <w:t>’</w:t>
      </w:r>
      <w:r>
        <w:rPr>
          <w:lang w:val="fr-FR"/>
        </w:rPr>
        <w:t>accéder à ces schémas.</w:t>
      </w:r>
    </w:p>
    <w:p w:rsidR="00EA60C1" w:rsidRDefault="00FA5B86" w:rsidP="00A71674">
      <w:pPr>
        <w:pStyle w:val="ONUMFS"/>
        <w:rPr>
          <w:lang w:val="fr-FR"/>
        </w:rPr>
      </w:pPr>
      <w:r>
        <w:rPr>
          <w:lang w:val="fr-FR"/>
        </w:rPr>
        <w:t>L</w:t>
      </w:r>
      <w:r w:rsidR="000B1EA9">
        <w:rPr>
          <w:lang w:val="fr-FR"/>
        </w:rPr>
        <w:t>’</w:t>
      </w:r>
      <w:r>
        <w:rPr>
          <w:lang w:val="fr-FR"/>
        </w:rPr>
        <w:t xml:space="preserve">outil </w:t>
      </w:r>
      <w:r w:rsidR="00653A1D">
        <w:rPr>
          <w:i/>
          <w:iCs/>
          <w:lang w:val="fr-FR"/>
        </w:rPr>
        <w:t>open</w:t>
      </w:r>
      <w:r w:rsidR="009C2815">
        <w:rPr>
          <w:i/>
          <w:iCs/>
          <w:lang w:val="fr-FR"/>
        </w:rPr>
        <w:t>-</w:t>
      </w:r>
      <w:r w:rsidR="00653A1D">
        <w:rPr>
          <w:i/>
          <w:iCs/>
          <w:lang w:val="fr-FR"/>
        </w:rPr>
        <w:t>source</w:t>
      </w:r>
      <w:r w:rsidR="00653A1D">
        <w:rPr>
          <w:lang w:val="fr-FR"/>
        </w:rPr>
        <w:t xml:space="preserve"> </w:t>
      </w:r>
      <w:r>
        <w:rPr>
          <w:lang w:val="fr-FR"/>
        </w:rPr>
        <w:t>Subversion (SVN)</w:t>
      </w:r>
      <w:r w:rsidRPr="00FD02C1">
        <w:rPr>
          <w:rStyle w:val="FootnoteReference"/>
          <w:szCs w:val="22"/>
          <w:lang w:val="fr-FR"/>
        </w:rPr>
        <w:footnoteReference w:id="2"/>
      </w:r>
      <w:r w:rsidR="00653A1D">
        <w:rPr>
          <w:lang w:val="fr-FR"/>
        </w:rPr>
        <w:t xml:space="preserve">, qui est un système centralisé de contrôle des versions, </w:t>
      </w:r>
      <w:r>
        <w:rPr>
          <w:lang w:val="fr-FR"/>
        </w:rPr>
        <w:t>fait partie d</w:t>
      </w:r>
      <w:r w:rsidR="00653A1D">
        <w:rPr>
          <w:lang w:val="fr-FR"/>
        </w:rPr>
        <w:t>e la boîte à outils commune de l</w:t>
      </w:r>
      <w:r w:rsidR="000B1EA9">
        <w:rPr>
          <w:lang w:val="fr-FR"/>
        </w:rPr>
        <w:t>’</w:t>
      </w:r>
      <w:r w:rsidR="00653A1D">
        <w:rPr>
          <w:lang w:val="fr-FR"/>
        </w:rPr>
        <w:t>O</w:t>
      </w:r>
      <w:r w:rsidR="001775D4">
        <w:rPr>
          <w:lang w:val="fr-FR"/>
        </w:rPr>
        <w:t>MPI.  Il</w:t>
      </w:r>
      <w:r w:rsidR="0057117D">
        <w:rPr>
          <w:lang w:val="fr-FR"/>
        </w:rPr>
        <w:t xml:space="preserve"> est généralement employé pour gérer le développement de code sour</w:t>
      </w:r>
      <w:r w:rsidR="001775D4">
        <w:rPr>
          <w:lang w:val="fr-FR"/>
        </w:rPr>
        <w:t>ce.  Il</w:t>
      </w:r>
      <w:r w:rsidR="0057117D">
        <w:rPr>
          <w:lang w:val="fr-FR"/>
        </w:rPr>
        <w:t xml:space="preserve"> </w:t>
      </w:r>
      <w:r w:rsidR="00246507">
        <w:rPr>
          <w:lang w:val="fr-FR"/>
        </w:rPr>
        <w:t>convient</w:t>
      </w:r>
      <w:r w:rsidR="0057117D">
        <w:rPr>
          <w:lang w:val="fr-FR"/>
        </w:rPr>
        <w:t xml:space="preserve"> donc parfaitement à l</w:t>
      </w:r>
      <w:r w:rsidR="000B1EA9">
        <w:rPr>
          <w:lang w:val="fr-FR"/>
        </w:rPr>
        <w:t>’</w:t>
      </w:r>
      <w:r w:rsidR="0057117D">
        <w:rPr>
          <w:lang w:val="fr-FR"/>
        </w:rPr>
        <w:t>hébergement des différentes adaptations</w:t>
      </w:r>
      <w:r w:rsidR="00E629D2">
        <w:rPr>
          <w:lang w:val="fr-FR"/>
        </w:rPr>
        <w:t xml:space="preserve"> des schémas</w:t>
      </w:r>
      <w:r w:rsidR="001775D4">
        <w:rPr>
          <w:lang w:val="fr-FR"/>
        </w:rPr>
        <w:t> </w:t>
      </w:r>
      <w:r w:rsidR="00E629D2">
        <w:rPr>
          <w:lang w:val="fr-FR"/>
        </w:rPr>
        <w:t>ST.96</w:t>
      </w:r>
      <w:r w:rsidR="0057117D">
        <w:rPr>
          <w:lang w:val="fr-FR"/>
        </w:rPr>
        <w:t xml:space="preserve"> effectuées par les offices</w:t>
      </w:r>
      <w:r w:rsidR="00E629D2">
        <w:rPr>
          <w:lang w:val="fr-FR"/>
        </w:rPr>
        <w:t>.</w:t>
      </w:r>
    </w:p>
    <w:p w:rsidR="0010446D" w:rsidRPr="00FD02C1" w:rsidRDefault="00094B64" w:rsidP="00A71674">
      <w:pPr>
        <w:pStyle w:val="ONUMFS"/>
        <w:rPr>
          <w:lang w:val="fr-FR"/>
        </w:rPr>
      </w:pPr>
      <w:r>
        <w:rPr>
          <w:lang w:val="fr-FR"/>
        </w:rPr>
        <w:t xml:space="preserve">Pour que le système SVN puisse être exploité à cette fin, le Bureau international accorderait à chaque office un accès à </w:t>
      </w:r>
      <w:r w:rsidR="00A93335">
        <w:rPr>
          <w:lang w:val="fr-FR"/>
        </w:rPr>
        <w:t>un</w:t>
      </w:r>
      <w:r>
        <w:rPr>
          <w:lang w:val="fr-FR"/>
        </w:rPr>
        <w:t xml:space="preserve"> dossier particulier, dans lequel l</w:t>
      </w:r>
      <w:r w:rsidR="000B1EA9">
        <w:rPr>
          <w:lang w:val="fr-FR"/>
        </w:rPr>
        <w:t>’</w:t>
      </w:r>
      <w:r>
        <w:rPr>
          <w:lang w:val="fr-FR"/>
        </w:rPr>
        <w:t>office pourrait charger ses donné</w:t>
      </w:r>
      <w:r w:rsidR="001775D4">
        <w:rPr>
          <w:lang w:val="fr-FR"/>
        </w:rPr>
        <w:t>es.  Da</w:t>
      </w:r>
      <w:r w:rsidR="00E75367">
        <w:rPr>
          <w:lang w:val="fr-FR"/>
        </w:rPr>
        <w:t>ns ce système</w:t>
      </w:r>
      <w:r w:rsidR="00246A02">
        <w:rPr>
          <w:lang w:val="fr-FR"/>
        </w:rPr>
        <w:t xml:space="preserve"> de transfert de données</w:t>
      </w:r>
      <w:r w:rsidR="00E75367">
        <w:rPr>
          <w:lang w:val="fr-FR"/>
        </w:rPr>
        <w:t xml:space="preserve">, les offices </w:t>
      </w:r>
      <w:r w:rsidR="004D361C">
        <w:rPr>
          <w:lang w:val="fr-FR"/>
        </w:rPr>
        <w:t>auraient donc</w:t>
      </w:r>
      <w:r w:rsidR="00E75367">
        <w:rPr>
          <w:lang w:val="fr-FR"/>
        </w:rPr>
        <w:t xml:space="preserve"> la </w:t>
      </w:r>
      <w:r w:rsidR="00246A02">
        <w:rPr>
          <w:lang w:val="fr-FR"/>
        </w:rPr>
        <w:t>charge de fournir les données</w:t>
      </w:r>
      <w:r w:rsidR="0094517E">
        <w:rPr>
          <w:lang w:val="fr-FR"/>
        </w:rPr>
        <w:t>,</w:t>
      </w:r>
      <w:r w:rsidR="00246A02">
        <w:rPr>
          <w:lang w:val="fr-FR"/>
        </w:rPr>
        <w:t xml:space="preserve"> mais </w:t>
      </w:r>
      <w:r w:rsidR="00161662">
        <w:rPr>
          <w:lang w:val="fr-FR"/>
        </w:rPr>
        <w:t>ils dispose</w:t>
      </w:r>
      <w:r w:rsidR="004D361C">
        <w:rPr>
          <w:lang w:val="fr-FR"/>
        </w:rPr>
        <w:t>raie</w:t>
      </w:r>
      <w:r w:rsidR="00161662">
        <w:rPr>
          <w:lang w:val="fr-FR"/>
        </w:rPr>
        <w:t>nt aussi d</w:t>
      </w:r>
      <w:r w:rsidR="000B1EA9">
        <w:rPr>
          <w:lang w:val="fr-FR"/>
        </w:rPr>
        <w:t>’</w:t>
      </w:r>
      <w:r w:rsidR="00161662">
        <w:rPr>
          <w:lang w:val="fr-FR"/>
        </w:rPr>
        <w:t>un meilleur contrôle de leurs propres données.</w:t>
      </w:r>
    </w:p>
    <w:p w:rsidR="0082105D" w:rsidRPr="00FD02C1" w:rsidRDefault="00136AB7" w:rsidP="00A71674">
      <w:pPr>
        <w:pStyle w:val="ONUMFS"/>
        <w:rPr>
          <w:lang w:val="fr-FR"/>
        </w:rPr>
      </w:pPr>
      <w:r>
        <w:rPr>
          <w:lang w:val="fr-FR"/>
        </w:rPr>
        <w:lastRenderedPageBreak/>
        <w:t>S</w:t>
      </w:r>
      <w:r w:rsidR="000B1EA9">
        <w:rPr>
          <w:lang w:val="fr-FR"/>
        </w:rPr>
        <w:t>’</w:t>
      </w:r>
      <w:r>
        <w:rPr>
          <w:lang w:val="fr-FR"/>
        </w:rPr>
        <w:t>agissant de l</w:t>
      </w:r>
      <w:r w:rsidR="000B1EA9">
        <w:rPr>
          <w:lang w:val="fr-FR"/>
        </w:rPr>
        <w:t>’</w:t>
      </w:r>
      <w:r w:rsidR="00B92074">
        <w:rPr>
          <w:lang w:val="fr-FR"/>
        </w:rPr>
        <w:t>accès aux schémas, il est proposé que le Bureau international dispose, en tant que gestionnaire de la base de données SVN, des droits de lecture et d</w:t>
      </w:r>
      <w:r w:rsidR="000B1EA9">
        <w:rPr>
          <w:lang w:val="fr-FR"/>
        </w:rPr>
        <w:t>’</w:t>
      </w:r>
      <w:r w:rsidR="00B92074">
        <w:rPr>
          <w:lang w:val="fr-FR"/>
        </w:rPr>
        <w:t xml:space="preserve">écriture sur tous </w:t>
      </w:r>
      <w:r w:rsidR="00162BED">
        <w:rPr>
          <w:lang w:val="fr-FR"/>
        </w:rPr>
        <w:t>l</w:t>
      </w:r>
      <w:r w:rsidR="00B92074">
        <w:rPr>
          <w:lang w:val="fr-FR"/>
        </w:rPr>
        <w:t>es dossiers, tandis que les offices de propriété intellectuelle ne pourraient écrire leurs schémas que dans le dossier qui leur a</w:t>
      </w:r>
      <w:r w:rsidR="002C5F6E">
        <w:rPr>
          <w:lang w:val="fr-FR"/>
        </w:rPr>
        <w:t>urait</w:t>
      </w:r>
      <w:r w:rsidR="00B92074">
        <w:rPr>
          <w:lang w:val="fr-FR"/>
        </w:rPr>
        <w:t xml:space="preserve"> été attribué, et pourraient aussi télécharger (accès en lecture) les dossiers des autres offices avec lesquels ils souhaiteraient communiqu</w:t>
      </w:r>
      <w:r w:rsidR="001775D4">
        <w:rPr>
          <w:lang w:val="fr-FR"/>
        </w:rPr>
        <w:t>er.  En</w:t>
      </w:r>
      <w:r w:rsidR="00206417">
        <w:rPr>
          <w:lang w:val="fr-FR"/>
        </w:rPr>
        <w:t xml:space="preserve"> outre, l</w:t>
      </w:r>
      <w:r w:rsidR="000B1EA9">
        <w:rPr>
          <w:lang w:val="fr-FR"/>
        </w:rPr>
        <w:t>’</w:t>
      </w:r>
      <w:r w:rsidR="00292060">
        <w:rPr>
          <w:lang w:val="fr-FR"/>
        </w:rPr>
        <w:t>emploi du système SVN pour créer cette base de données offr</w:t>
      </w:r>
      <w:r w:rsidR="00206417">
        <w:rPr>
          <w:lang w:val="fr-FR"/>
        </w:rPr>
        <w:t>irait</w:t>
      </w:r>
      <w:r w:rsidR="00292060">
        <w:rPr>
          <w:lang w:val="fr-FR"/>
        </w:rPr>
        <w:t xml:space="preserve"> l</w:t>
      </w:r>
      <w:r w:rsidR="000B1EA9">
        <w:rPr>
          <w:lang w:val="fr-FR"/>
        </w:rPr>
        <w:t>’</w:t>
      </w:r>
      <w:r w:rsidR="00292060">
        <w:rPr>
          <w:lang w:val="fr-FR"/>
        </w:rPr>
        <w:t>avantage d</w:t>
      </w:r>
      <w:r w:rsidR="000B1EA9">
        <w:rPr>
          <w:lang w:val="fr-FR"/>
        </w:rPr>
        <w:t>’</w:t>
      </w:r>
      <w:r w:rsidR="00292060">
        <w:rPr>
          <w:lang w:val="fr-FR"/>
        </w:rPr>
        <w:t>avoir un coût négligeab</w:t>
      </w:r>
      <w:r w:rsidR="001775D4">
        <w:rPr>
          <w:lang w:val="fr-FR"/>
        </w:rPr>
        <w:t>le.  Le</w:t>
      </w:r>
      <w:r w:rsidR="001B7162">
        <w:rPr>
          <w:lang w:val="fr-FR"/>
        </w:rPr>
        <w:t xml:space="preserve">s offices de propriété intellectuelle ne devraient pas déposer leurs schémas dans le système avant </w:t>
      </w:r>
      <w:r w:rsidR="00467A97">
        <w:rPr>
          <w:lang w:val="fr-FR"/>
        </w:rPr>
        <w:t>d</w:t>
      </w:r>
      <w:r w:rsidR="000B1EA9">
        <w:rPr>
          <w:lang w:val="fr-FR"/>
        </w:rPr>
        <w:t>’</w:t>
      </w:r>
      <w:r w:rsidR="00467A97">
        <w:rPr>
          <w:lang w:val="fr-FR"/>
        </w:rPr>
        <w:t>en avoir établi la</w:t>
      </w:r>
      <w:r w:rsidR="001B7162">
        <w:rPr>
          <w:lang w:val="fr-FR"/>
        </w:rPr>
        <w:t xml:space="preserve"> version fina</w:t>
      </w:r>
      <w:r w:rsidR="001775D4">
        <w:rPr>
          <w:lang w:val="fr-FR"/>
        </w:rPr>
        <w:t>le.  En</w:t>
      </w:r>
      <w:r w:rsidR="00467A97">
        <w:rPr>
          <w:lang w:val="fr-FR"/>
        </w:rPr>
        <w:t xml:space="preserve"> d</w:t>
      </w:r>
      <w:r w:rsidR="000B1EA9">
        <w:rPr>
          <w:lang w:val="fr-FR"/>
        </w:rPr>
        <w:t>’</w:t>
      </w:r>
      <w:r w:rsidR="00467A97">
        <w:rPr>
          <w:lang w:val="fr-FR"/>
        </w:rPr>
        <w:t xml:space="preserve">autres termes, </w:t>
      </w:r>
      <w:r w:rsidR="00BF4A07">
        <w:rPr>
          <w:lang w:val="fr-FR"/>
        </w:rPr>
        <w:t xml:space="preserve">cette base de données ne devrait pas être considérée comme un </w:t>
      </w:r>
      <w:r w:rsidR="000B1EA9">
        <w:rPr>
          <w:lang w:val="fr-FR"/>
        </w:rPr>
        <w:t>“</w:t>
      </w:r>
      <w:r w:rsidR="00BF4A07">
        <w:rPr>
          <w:lang w:val="fr-FR"/>
        </w:rPr>
        <w:t>brouillon</w:t>
      </w:r>
      <w:r w:rsidR="000B1EA9">
        <w:rPr>
          <w:lang w:val="fr-FR"/>
        </w:rPr>
        <w:t>”</w:t>
      </w:r>
      <w:r w:rsidR="00BF4A07">
        <w:rPr>
          <w:lang w:val="fr-FR"/>
        </w:rPr>
        <w:t>.</w:t>
      </w:r>
    </w:p>
    <w:p w:rsidR="00D17E2E" w:rsidRPr="00FD02C1" w:rsidRDefault="00645751" w:rsidP="00A71674">
      <w:pPr>
        <w:pStyle w:val="ONUMFS"/>
        <w:rPr>
          <w:lang w:val="fr-FR"/>
        </w:rPr>
      </w:pPr>
      <w:r>
        <w:rPr>
          <w:lang w:val="fr-FR"/>
        </w:rPr>
        <w:t>L</w:t>
      </w:r>
      <w:r w:rsidR="000B1EA9">
        <w:rPr>
          <w:lang w:val="fr-FR"/>
        </w:rPr>
        <w:t>’</w:t>
      </w:r>
      <w:r>
        <w:rPr>
          <w:lang w:val="fr-FR"/>
        </w:rPr>
        <w:t>un des principaux avantages de cette méthode tient au fait que lorsque les offices de propriété intellectuelle se seront engagés à fournir leurs données dans cette base de données centrale, le Bureau international sera en mesure d</w:t>
      </w:r>
      <w:r w:rsidR="000B1EA9">
        <w:rPr>
          <w:lang w:val="fr-FR"/>
        </w:rPr>
        <w:t>’</w:t>
      </w:r>
      <w:r>
        <w:rPr>
          <w:lang w:val="fr-FR"/>
        </w:rPr>
        <w:t>effectuer des comparaisons pour détecter les modifications apportées par chaque office et de déterminer s</w:t>
      </w:r>
      <w:r w:rsidR="000B1EA9">
        <w:rPr>
          <w:lang w:val="fr-FR"/>
        </w:rPr>
        <w:t>’</w:t>
      </w:r>
      <w:r>
        <w:rPr>
          <w:lang w:val="fr-FR"/>
        </w:rPr>
        <w:t>il existe de nouvelles composantes commun</w:t>
      </w:r>
      <w:r w:rsidR="001775D4">
        <w:rPr>
          <w:lang w:val="fr-FR"/>
        </w:rPr>
        <w:t>es.  Un</w:t>
      </w:r>
      <w:r w:rsidR="001A7AB1">
        <w:rPr>
          <w:lang w:val="fr-FR"/>
        </w:rPr>
        <w:t>e fois qu</w:t>
      </w:r>
      <w:r w:rsidR="000B1EA9">
        <w:rPr>
          <w:lang w:val="fr-FR"/>
        </w:rPr>
        <w:t>’</w:t>
      </w:r>
      <w:r w:rsidR="001A7AB1">
        <w:rPr>
          <w:lang w:val="fr-FR"/>
        </w:rPr>
        <w:t>ils auront été recensés, ces éléments communs pourr</w:t>
      </w:r>
      <w:r w:rsidR="007A7095">
        <w:rPr>
          <w:lang w:val="fr-FR"/>
        </w:rPr>
        <w:t>o</w:t>
      </w:r>
      <w:r w:rsidR="001A7AB1">
        <w:rPr>
          <w:lang w:val="fr-FR"/>
        </w:rPr>
        <w:t>nt être présentés à l</w:t>
      </w:r>
      <w:r w:rsidR="000B1EA9">
        <w:rPr>
          <w:lang w:val="fr-FR"/>
        </w:rPr>
        <w:t>’</w:t>
      </w:r>
      <w:r w:rsidR="00497BF8">
        <w:rPr>
          <w:lang w:val="fr-FR"/>
        </w:rPr>
        <w:t>é</w:t>
      </w:r>
      <w:r w:rsidR="001A7AB1">
        <w:rPr>
          <w:lang w:val="fr-FR"/>
        </w:rPr>
        <w:t>quipe d</w:t>
      </w:r>
      <w:r w:rsidR="000B1EA9">
        <w:rPr>
          <w:lang w:val="fr-FR"/>
        </w:rPr>
        <w:t>’</w:t>
      </w:r>
      <w:r w:rsidR="001A7AB1">
        <w:rPr>
          <w:lang w:val="fr-FR"/>
        </w:rPr>
        <w:t>experts pour faire l</w:t>
      </w:r>
      <w:r w:rsidR="000B1EA9">
        <w:rPr>
          <w:lang w:val="fr-FR"/>
        </w:rPr>
        <w:t>’</w:t>
      </w:r>
      <w:r w:rsidR="001A7AB1">
        <w:rPr>
          <w:lang w:val="fr-FR"/>
        </w:rPr>
        <w:t>objet de futures mises à jour de la version officielle du schéma</w:t>
      </w:r>
      <w:r w:rsidR="001775D4">
        <w:rPr>
          <w:lang w:val="fr-FR"/>
        </w:rPr>
        <w:t> </w:t>
      </w:r>
      <w:r w:rsidR="001A7AB1">
        <w:rPr>
          <w:lang w:val="fr-FR"/>
        </w:rPr>
        <w:t>ST.96.</w:t>
      </w:r>
    </w:p>
    <w:p w:rsidR="00167E19" w:rsidRPr="00FD02C1" w:rsidRDefault="00E054C0" w:rsidP="00A71674">
      <w:pPr>
        <w:pStyle w:val="ONUMFS"/>
        <w:rPr>
          <w:lang w:val="fr-FR"/>
        </w:rPr>
      </w:pPr>
      <w:r>
        <w:rPr>
          <w:lang w:val="fr-FR"/>
        </w:rPr>
        <w:t>Le système SVN de contrôle des version</w:t>
      </w:r>
      <w:r w:rsidR="001775D4">
        <w:rPr>
          <w:lang w:val="fr-FR"/>
        </w:rPr>
        <w:t xml:space="preserve">s </w:t>
      </w:r>
      <w:r>
        <w:rPr>
          <w:lang w:val="fr-FR"/>
        </w:rPr>
        <w:t>comporte un outil de comparaison appelé</w:t>
      </w:r>
      <w:r w:rsidRPr="00E054C0">
        <w:rPr>
          <w:rFonts w:ascii="Courier New" w:hAnsi="Courier New" w:cs="Courier New"/>
          <w:lang w:val="fr-FR"/>
        </w:rPr>
        <w:t xml:space="preserve"> </w:t>
      </w:r>
      <w:proofErr w:type="spellStart"/>
      <w:r w:rsidRPr="00FD02C1">
        <w:rPr>
          <w:rFonts w:ascii="Courier New" w:hAnsi="Courier New" w:cs="Courier New"/>
          <w:lang w:val="fr-FR"/>
        </w:rPr>
        <w:t>diff</w:t>
      </w:r>
      <w:proofErr w:type="spellEnd"/>
      <w:r w:rsidRPr="00FD02C1">
        <w:rPr>
          <w:rStyle w:val="FootnoteReference"/>
          <w:rFonts w:ascii="Courier New" w:hAnsi="Courier New" w:cs="Courier New"/>
          <w:szCs w:val="22"/>
          <w:lang w:val="fr-FR"/>
        </w:rPr>
        <w:footnoteReference w:id="3"/>
      </w:r>
      <w:r w:rsidRPr="00FD02C1">
        <w:rPr>
          <w:lang w:val="fr-FR"/>
        </w:rPr>
        <w:t xml:space="preserve"> </w:t>
      </w:r>
      <w:r>
        <w:rPr>
          <w:lang w:val="fr-FR"/>
        </w:rPr>
        <w:t>qui permet de comparer différentes révisions entre ell</w:t>
      </w:r>
      <w:r w:rsidR="001775D4">
        <w:rPr>
          <w:lang w:val="fr-FR"/>
        </w:rPr>
        <w:t>es.  Il</w:t>
      </w:r>
      <w:r w:rsidR="00DF48E3">
        <w:rPr>
          <w:lang w:val="fr-FR"/>
        </w:rPr>
        <w:t xml:space="preserve"> permet même de détecter les différences entre deux</w:t>
      </w:r>
      <w:r w:rsidR="009C2815">
        <w:rPr>
          <w:lang w:val="fr-FR"/>
        </w:rPr>
        <w:t> </w:t>
      </w:r>
      <w:r w:rsidR="00DF48E3">
        <w:rPr>
          <w:lang w:val="fr-FR"/>
        </w:rPr>
        <w:t>dossiers, ce qui convient parfaitement à notre object</w:t>
      </w:r>
      <w:r w:rsidR="001775D4">
        <w:rPr>
          <w:lang w:val="fr-FR"/>
        </w:rPr>
        <w:t>if.  No</w:t>
      </w:r>
      <w:r w:rsidR="007F61E4">
        <w:rPr>
          <w:lang w:val="fr-FR"/>
        </w:rPr>
        <w:t>us serons ainsi en mesure de détecter rapidement les composantes qui diffèrent d</w:t>
      </w:r>
      <w:r w:rsidR="000B1EA9">
        <w:rPr>
          <w:lang w:val="fr-FR"/>
        </w:rPr>
        <w:t>’</w:t>
      </w:r>
      <w:r w:rsidR="007F61E4">
        <w:rPr>
          <w:lang w:val="fr-FR"/>
        </w:rPr>
        <w:t>une mise en œuvre nationale à une autre, ou entre la version officielle de la norme</w:t>
      </w:r>
      <w:r w:rsidR="009C2815">
        <w:rPr>
          <w:lang w:val="fr-FR"/>
        </w:rPr>
        <w:t> </w:t>
      </w:r>
      <w:r w:rsidR="007F61E4">
        <w:rPr>
          <w:lang w:val="fr-FR"/>
        </w:rPr>
        <w:t>ST.96 et la version d</w:t>
      </w:r>
      <w:r w:rsidR="000B1EA9">
        <w:rPr>
          <w:lang w:val="fr-FR"/>
        </w:rPr>
        <w:t>’</w:t>
      </w:r>
      <w:r w:rsidR="007F61E4">
        <w:rPr>
          <w:lang w:val="fr-FR"/>
        </w:rPr>
        <w:t>un office particulier.</w:t>
      </w:r>
    </w:p>
    <w:p w:rsidR="00142350" w:rsidRDefault="007A55EA" w:rsidP="00142350">
      <w:pPr>
        <w:pStyle w:val="ONUMFS"/>
        <w:spacing w:after="0"/>
        <w:rPr>
          <w:lang w:val="fr-FR"/>
        </w:rPr>
      </w:pPr>
      <w:r>
        <w:rPr>
          <w:lang w:val="fr-FR"/>
        </w:rPr>
        <w:t>Pour que le Bureau international puisse aller de l</w:t>
      </w:r>
      <w:r w:rsidR="000B1EA9">
        <w:rPr>
          <w:lang w:val="fr-FR"/>
        </w:rPr>
        <w:t>’</w:t>
      </w:r>
      <w:r>
        <w:rPr>
          <w:lang w:val="fr-FR"/>
        </w:rPr>
        <w:t xml:space="preserve">avant dans ce projet, </w:t>
      </w:r>
      <w:r w:rsidR="00852EC7">
        <w:rPr>
          <w:lang w:val="fr-FR"/>
        </w:rPr>
        <w:t>nous devons</w:t>
      </w:r>
      <w:r>
        <w:rPr>
          <w:lang w:val="fr-FR"/>
        </w:rPr>
        <w:t xml:space="preserve"> auparavant encourager les offices de propriété intellectuelle à y particip</w:t>
      </w:r>
      <w:r w:rsidR="001775D4">
        <w:rPr>
          <w:lang w:val="fr-FR"/>
        </w:rPr>
        <w:t>er.  Ta</w:t>
      </w:r>
      <w:r w:rsidR="00852EC7">
        <w:rPr>
          <w:lang w:val="fr-FR"/>
        </w:rPr>
        <w:t>nt que ceux</w:t>
      </w:r>
      <w:r w:rsidR="000B1EA9">
        <w:rPr>
          <w:lang w:val="fr-FR"/>
        </w:rPr>
        <w:t>-</w:t>
      </w:r>
      <w:r w:rsidR="00852EC7">
        <w:rPr>
          <w:lang w:val="fr-FR"/>
        </w:rPr>
        <w:t>ci ne nous ont pas communiqué leurs données, il est inutile de passer à l</w:t>
      </w:r>
      <w:r w:rsidR="000B1EA9">
        <w:rPr>
          <w:lang w:val="fr-FR"/>
        </w:rPr>
        <w:t>’</w:t>
      </w:r>
      <w:r w:rsidR="00852EC7">
        <w:rPr>
          <w:lang w:val="fr-FR"/>
        </w:rPr>
        <w:t>étape suivante de la mise en œuvre.</w:t>
      </w:r>
    </w:p>
    <w:p w:rsidR="00142350" w:rsidRDefault="00142350" w:rsidP="0014235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142350" w:rsidRPr="00142350" w:rsidRDefault="00142350" w:rsidP="0014235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BB6C18" w:rsidRPr="00FD02C1" w:rsidRDefault="00BB6C18" w:rsidP="00BB6C18">
      <w:pPr>
        <w:jc w:val="right"/>
        <w:rPr>
          <w:szCs w:val="22"/>
          <w:lang w:val="fr-FR"/>
        </w:rPr>
      </w:pPr>
      <w:r w:rsidRPr="00FD02C1">
        <w:rPr>
          <w:szCs w:val="22"/>
          <w:lang w:val="fr-FR"/>
        </w:rPr>
        <w:t>[</w:t>
      </w:r>
      <w:r w:rsidR="00D37EB6">
        <w:rPr>
          <w:szCs w:val="22"/>
          <w:lang w:val="fr-FR"/>
        </w:rPr>
        <w:t>L</w:t>
      </w:r>
      <w:r w:rsidR="000B1EA9">
        <w:rPr>
          <w:szCs w:val="22"/>
          <w:lang w:val="fr-FR"/>
        </w:rPr>
        <w:t>’</w:t>
      </w:r>
      <w:r w:rsidR="000B1EA9" w:rsidRPr="00FD02C1">
        <w:rPr>
          <w:szCs w:val="22"/>
          <w:lang w:val="fr-FR"/>
        </w:rPr>
        <w:t>Annex</w:t>
      </w:r>
      <w:r w:rsidR="000B1EA9">
        <w:rPr>
          <w:szCs w:val="22"/>
          <w:lang w:val="fr-FR"/>
        </w:rPr>
        <w:t>e </w:t>
      </w:r>
      <w:r w:rsidR="000B1EA9" w:rsidRPr="00FD02C1">
        <w:rPr>
          <w:szCs w:val="22"/>
          <w:lang w:val="fr-FR"/>
        </w:rPr>
        <w:t>I</w:t>
      </w:r>
      <w:r w:rsidRPr="00FD02C1">
        <w:rPr>
          <w:szCs w:val="22"/>
          <w:lang w:val="fr-FR"/>
        </w:rPr>
        <w:t xml:space="preserve">I </w:t>
      </w:r>
      <w:r w:rsidR="00D37EB6">
        <w:rPr>
          <w:szCs w:val="22"/>
          <w:lang w:val="fr-FR"/>
        </w:rPr>
        <w:t>suit</w:t>
      </w:r>
      <w:r w:rsidRPr="00FD02C1">
        <w:rPr>
          <w:szCs w:val="22"/>
          <w:lang w:val="fr-FR"/>
        </w:rPr>
        <w:t>]</w:t>
      </w:r>
    </w:p>
    <w:sectPr w:rsidR="00BB6C18" w:rsidRPr="00FD02C1" w:rsidSect="00C41D1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9F1" w:rsidRDefault="00E709F1" w:rsidP="002D0FB2">
      <w:r>
        <w:separator/>
      </w:r>
    </w:p>
  </w:endnote>
  <w:endnote w:type="continuationSeparator" w:id="0">
    <w:p w:rsidR="00E709F1" w:rsidRDefault="00E709F1" w:rsidP="002D0FB2">
      <w:r>
        <w:continuationSeparator/>
      </w:r>
    </w:p>
  </w:endnote>
  <w:endnote w:type="continuationNotice" w:id="1">
    <w:p w:rsidR="001775D4" w:rsidRDefault="00177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B2" w:rsidRPr="002D0FB2" w:rsidRDefault="002D0FB2" w:rsidP="002D0FB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82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FB2" w:rsidRDefault="008241EF">
        <w:pPr>
          <w:pStyle w:val="Footer"/>
          <w:jc w:val="right"/>
        </w:pPr>
      </w:p>
    </w:sdtContent>
  </w:sdt>
  <w:p w:rsidR="002D0FB2" w:rsidRDefault="002D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9F1" w:rsidRDefault="00E709F1" w:rsidP="002D0FB2">
      <w:r>
        <w:separator/>
      </w:r>
    </w:p>
  </w:footnote>
  <w:footnote w:type="continuationSeparator" w:id="0">
    <w:p w:rsidR="00E709F1" w:rsidRDefault="00E709F1" w:rsidP="002D0FB2">
      <w:r>
        <w:continuationSeparator/>
      </w:r>
    </w:p>
  </w:footnote>
  <w:footnote w:type="continuationNotice" w:id="1">
    <w:p w:rsidR="001775D4" w:rsidRDefault="001775D4"/>
  </w:footnote>
  <w:footnote w:id="2">
    <w:p w:rsidR="00FA5B86" w:rsidRPr="00116516" w:rsidRDefault="00FA5B86" w:rsidP="00FA5B86">
      <w:pPr>
        <w:pStyle w:val="FootnoteText"/>
        <w:rPr>
          <w:lang w:val="fr-FR"/>
        </w:rPr>
      </w:pPr>
      <w:r w:rsidRPr="00116516">
        <w:rPr>
          <w:rStyle w:val="FootnoteReference"/>
          <w:lang w:val="fr-FR"/>
        </w:rPr>
        <w:footnoteRef/>
      </w:r>
      <w:r w:rsidRPr="00116516">
        <w:rPr>
          <w:lang w:val="fr-FR"/>
        </w:rPr>
        <w:t xml:space="preserve"> Page d</w:t>
      </w:r>
      <w:r w:rsidR="00161A5C">
        <w:rPr>
          <w:lang w:val="fr-FR"/>
        </w:rPr>
        <w:t>’</w:t>
      </w:r>
      <w:r w:rsidRPr="00116516">
        <w:rPr>
          <w:lang w:val="fr-FR"/>
        </w:rPr>
        <w:t>accueil de l</w:t>
      </w:r>
      <w:r w:rsidR="00161A5C">
        <w:rPr>
          <w:lang w:val="fr-FR"/>
        </w:rPr>
        <w:t>’</w:t>
      </w:r>
      <w:r w:rsidRPr="00116516">
        <w:rPr>
          <w:lang w:val="fr-FR"/>
        </w:rPr>
        <w:t>outil Apache Subversion</w:t>
      </w:r>
      <w:r w:rsidR="009C2815">
        <w:rPr>
          <w:lang w:val="fr-FR"/>
        </w:rPr>
        <w:t> </w:t>
      </w:r>
      <w:r w:rsidRPr="00116516">
        <w:rPr>
          <w:lang w:val="fr-FR"/>
        </w:rPr>
        <w:t xml:space="preserve">: </w:t>
      </w:r>
      <w:hyperlink r:id="rId1" w:history="1">
        <w:r w:rsidRPr="00116516">
          <w:rPr>
            <w:rStyle w:val="Hyperlink"/>
            <w:lang w:val="fr-FR"/>
          </w:rPr>
          <w:t>https://subversion.apache.org/</w:t>
        </w:r>
      </w:hyperlink>
      <w:r w:rsidRPr="00116516">
        <w:rPr>
          <w:lang w:val="fr-FR"/>
        </w:rPr>
        <w:t xml:space="preserve"> </w:t>
      </w:r>
    </w:p>
  </w:footnote>
  <w:footnote w:id="3">
    <w:p w:rsidR="00E054C0" w:rsidRPr="00116516" w:rsidRDefault="00E054C0" w:rsidP="00E054C0">
      <w:pPr>
        <w:pStyle w:val="FootnoteText"/>
        <w:rPr>
          <w:lang w:val="fr-FR"/>
        </w:rPr>
      </w:pPr>
      <w:r w:rsidRPr="00116516">
        <w:rPr>
          <w:rStyle w:val="FootnoteReference"/>
          <w:lang w:val="fr-FR"/>
        </w:rPr>
        <w:footnoteRef/>
      </w:r>
      <w:r w:rsidRPr="00116516">
        <w:rPr>
          <w:lang w:val="fr-FR"/>
        </w:rPr>
        <w:t xml:space="preserve"> </w:t>
      </w:r>
      <w:r w:rsidR="003B0B99" w:rsidRPr="00116516">
        <w:rPr>
          <w:lang w:val="fr-FR"/>
        </w:rPr>
        <w:t xml:space="preserve">Le guide de référence de SVN </w:t>
      </w:r>
      <w:proofErr w:type="spellStart"/>
      <w:r w:rsidR="007E29AA" w:rsidRPr="00116516">
        <w:rPr>
          <w:lang w:val="fr-FR"/>
        </w:rPr>
        <w:t>diff</w:t>
      </w:r>
      <w:proofErr w:type="spellEnd"/>
      <w:r w:rsidR="007E29AA" w:rsidRPr="00116516">
        <w:rPr>
          <w:lang w:val="fr-FR"/>
        </w:rPr>
        <w:t xml:space="preserve"> </w:t>
      </w:r>
      <w:r w:rsidR="003B0B99" w:rsidRPr="00116516">
        <w:rPr>
          <w:lang w:val="fr-FR"/>
        </w:rPr>
        <w:t>se trouve à l</w:t>
      </w:r>
      <w:r w:rsidR="00161A5C">
        <w:rPr>
          <w:lang w:val="fr-FR"/>
        </w:rPr>
        <w:t>’</w:t>
      </w:r>
      <w:r w:rsidR="003B0B99" w:rsidRPr="00116516">
        <w:rPr>
          <w:lang w:val="fr-FR"/>
        </w:rPr>
        <w:t>adresse suivante</w:t>
      </w:r>
      <w:r w:rsidR="009C2815">
        <w:rPr>
          <w:lang w:val="fr-FR"/>
        </w:rPr>
        <w:t> </w:t>
      </w:r>
      <w:r w:rsidR="003B0B99" w:rsidRPr="00116516">
        <w:rPr>
          <w:lang w:val="fr-FR"/>
        </w:rPr>
        <w:t>:</w:t>
      </w:r>
      <w:r w:rsidRPr="00116516">
        <w:rPr>
          <w:lang w:val="fr-FR"/>
        </w:rPr>
        <w:t xml:space="preserve"> </w:t>
      </w:r>
      <w:hyperlink r:id="rId2" w:history="1">
        <w:r w:rsidRPr="00116516">
          <w:rPr>
            <w:rStyle w:val="Hyperlink"/>
            <w:lang w:val="fr-FR"/>
          </w:rPr>
          <w:t>http://svnbook.red</w:t>
        </w:r>
        <w:r w:rsidR="00161A5C">
          <w:rPr>
            <w:rStyle w:val="Hyperlink"/>
            <w:lang w:val="fr-FR"/>
          </w:rPr>
          <w:t>-</w:t>
        </w:r>
        <w:r w:rsidRPr="00116516">
          <w:rPr>
            <w:rStyle w:val="Hyperlink"/>
            <w:lang w:val="fr-FR"/>
          </w:rPr>
          <w:t>bean.com/en/1.8/svn.ref.svn.c.diff.html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18" w:rsidRDefault="00BB6C18">
    <w:pPr>
      <w:pStyle w:val="Header"/>
      <w:jc w:val="right"/>
    </w:pPr>
    <w:r>
      <w:t>CWS/7/3</w:t>
    </w:r>
    <w:r w:rsidR="00B11563">
      <w:t> Rev.</w:t>
    </w:r>
  </w:p>
  <w:p w:rsidR="00BB6C18" w:rsidRDefault="00BB6C18">
    <w:pPr>
      <w:pStyle w:val="Header"/>
      <w:jc w:val="right"/>
    </w:pPr>
    <w:proofErr w:type="spellStart"/>
    <w:r>
      <w:t>Annex</w:t>
    </w:r>
    <w:r w:rsidR="001775D4">
      <w:t>e</w:t>
    </w:r>
    <w:proofErr w:type="spellEnd"/>
    <w:r w:rsidR="001775D4">
      <w:t xml:space="preserve"> </w:t>
    </w:r>
    <w:r>
      <w:t xml:space="preserve">I, page </w:t>
    </w:r>
    <w:sdt>
      <w:sdtPr>
        <w:id w:val="-99988263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851B0" w:rsidRPr="001851B0">
          <w:rPr>
            <w:noProof/>
            <w:lang w:val="de-DE"/>
          </w:rPr>
          <w:t>2</w:t>
        </w:r>
        <w:r>
          <w:fldChar w:fldCharType="end"/>
        </w:r>
      </w:sdtContent>
    </w:sdt>
  </w:p>
  <w:p w:rsidR="00F912C9" w:rsidRDefault="00F912C9" w:rsidP="00F912C9">
    <w:pPr>
      <w:pStyle w:val="Header"/>
      <w:jc w:val="right"/>
    </w:pPr>
  </w:p>
  <w:p w:rsidR="00BB6C18" w:rsidRDefault="00BB6C18" w:rsidP="00F912C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15" w:rsidRPr="00116516" w:rsidRDefault="00C41D15" w:rsidP="00C41D15">
    <w:pPr>
      <w:pStyle w:val="Header"/>
      <w:jc w:val="right"/>
      <w:rPr>
        <w:lang w:val="fr-FR"/>
      </w:rPr>
    </w:pPr>
    <w:r w:rsidRPr="00116516">
      <w:rPr>
        <w:lang w:val="fr-FR"/>
      </w:rPr>
      <w:t>CWS/7/3</w:t>
    </w:r>
    <w:r w:rsidR="005566B4">
      <w:rPr>
        <w:lang w:val="fr-FR"/>
      </w:rPr>
      <w:t> </w:t>
    </w:r>
    <w:proofErr w:type="spellStart"/>
    <w:r w:rsidR="005566B4">
      <w:rPr>
        <w:lang w:val="fr-FR"/>
      </w:rPr>
      <w:t>Rev</w:t>
    </w:r>
    <w:proofErr w:type="spellEnd"/>
    <w:r w:rsidR="005566B4">
      <w:rPr>
        <w:lang w:val="fr-FR"/>
      </w:rPr>
      <w:t>.</w:t>
    </w:r>
  </w:p>
  <w:p w:rsidR="00C41D15" w:rsidRPr="00116516" w:rsidRDefault="00C41D15" w:rsidP="00C41D15">
    <w:pPr>
      <w:pStyle w:val="Header"/>
      <w:jc w:val="right"/>
      <w:rPr>
        <w:lang w:val="fr-FR"/>
      </w:rPr>
    </w:pPr>
    <w:r w:rsidRPr="00116516">
      <w:rPr>
        <w:lang w:val="fr-FR"/>
      </w:rPr>
      <w:t>ANNEX</w:t>
    </w:r>
    <w:r w:rsidR="00F868BD" w:rsidRPr="00116516">
      <w:rPr>
        <w:lang w:val="fr-FR"/>
      </w:rPr>
      <w:t>E</w:t>
    </w:r>
    <w:r w:rsidRPr="00116516">
      <w:rPr>
        <w:lang w:val="fr-FR"/>
      </w:rPr>
      <w:t xml:space="preserve"> I</w:t>
    </w:r>
  </w:p>
  <w:p w:rsidR="00C41D15" w:rsidRPr="00116516" w:rsidRDefault="00C41D15" w:rsidP="00C41D15">
    <w:pPr>
      <w:pStyle w:val="Header"/>
      <w:jc w:val="right"/>
      <w:rPr>
        <w:lang w:val="fr-FR"/>
      </w:rPr>
    </w:pPr>
  </w:p>
  <w:p w:rsidR="00C41D15" w:rsidRPr="00116516" w:rsidRDefault="00C41D15" w:rsidP="00C41D15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4E492A"/>
    <w:multiLevelType w:val="hybridMultilevel"/>
    <w:tmpl w:val="DC0AEF70"/>
    <w:lvl w:ilvl="0" w:tplc="25FCA3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698B4F2C"/>
    <w:multiLevelType w:val="hybridMultilevel"/>
    <w:tmpl w:val="B6847A00"/>
    <w:lvl w:ilvl="0" w:tplc="7B8E8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3"/>
    <w:rsid w:val="0001498D"/>
    <w:rsid w:val="00043071"/>
    <w:rsid w:val="00050E3D"/>
    <w:rsid w:val="000623BE"/>
    <w:rsid w:val="00072D7C"/>
    <w:rsid w:val="00085AFD"/>
    <w:rsid w:val="00094B64"/>
    <w:rsid w:val="000B1EA9"/>
    <w:rsid w:val="000C672D"/>
    <w:rsid w:val="000F5E56"/>
    <w:rsid w:val="0010446D"/>
    <w:rsid w:val="0010594E"/>
    <w:rsid w:val="00116516"/>
    <w:rsid w:val="00132FB8"/>
    <w:rsid w:val="00136AB7"/>
    <w:rsid w:val="00142350"/>
    <w:rsid w:val="00161662"/>
    <w:rsid w:val="00161A5C"/>
    <w:rsid w:val="00162BED"/>
    <w:rsid w:val="00167E19"/>
    <w:rsid w:val="001775D4"/>
    <w:rsid w:val="001851B0"/>
    <w:rsid w:val="001A44FB"/>
    <w:rsid w:val="001A6499"/>
    <w:rsid w:val="001A7AB1"/>
    <w:rsid w:val="001B7162"/>
    <w:rsid w:val="00206417"/>
    <w:rsid w:val="00222201"/>
    <w:rsid w:val="00246507"/>
    <w:rsid w:val="00246A02"/>
    <w:rsid w:val="00292060"/>
    <w:rsid w:val="002B6B11"/>
    <w:rsid w:val="002C5F6E"/>
    <w:rsid w:val="002D0FB2"/>
    <w:rsid w:val="002F7C4F"/>
    <w:rsid w:val="00334F3A"/>
    <w:rsid w:val="00341187"/>
    <w:rsid w:val="00355A2B"/>
    <w:rsid w:val="00371643"/>
    <w:rsid w:val="003A7987"/>
    <w:rsid w:val="003B0B99"/>
    <w:rsid w:val="003E6531"/>
    <w:rsid w:val="00407E4A"/>
    <w:rsid w:val="00431118"/>
    <w:rsid w:val="00432DDF"/>
    <w:rsid w:val="00463F3F"/>
    <w:rsid w:val="004661AE"/>
    <w:rsid w:val="00467713"/>
    <w:rsid w:val="00467A97"/>
    <w:rsid w:val="00480EA9"/>
    <w:rsid w:val="00493E92"/>
    <w:rsid w:val="00497BF8"/>
    <w:rsid w:val="004A6398"/>
    <w:rsid w:val="004B20FE"/>
    <w:rsid w:val="004B4C17"/>
    <w:rsid w:val="004D361C"/>
    <w:rsid w:val="004F22C0"/>
    <w:rsid w:val="005009E3"/>
    <w:rsid w:val="00504C24"/>
    <w:rsid w:val="005564A2"/>
    <w:rsid w:val="005566B4"/>
    <w:rsid w:val="00563800"/>
    <w:rsid w:val="0057117D"/>
    <w:rsid w:val="005B45AF"/>
    <w:rsid w:val="005C44FE"/>
    <w:rsid w:val="005F1FB4"/>
    <w:rsid w:val="00611FA0"/>
    <w:rsid w:val="006177FC"/>
    <w:rsid w:val="00645751"/>
    <w:rsid w:val="00653A1D"/>
    <w:rsid w:val="006D7308"/>
    <w:rsid w:val="007430A8"/>
    <w:rsid w:val="00761340"/>
    <w:rsid w:val="007A55EA"/>
    <w:rsid w:val="007A7095"/>
    <w:rsid w:val="007B240C"/>
    <w:rsid w:val="007B26AD"/>
    <w:rsid w:val="007C7634"/>
    <w:rsid w:val="007D53C7"/>
    <w:rsid w:val="007E29AA"/>
    <w:rsid w:val="007F61E4"/>
    <w:rsid w:val="00804DB7"/>
    <w:rsid w:val="0082105D"/>
    <w:rsid w:val="008241EF"/>
    <w:rsid w:val="0083182C"/>
    <w:rsid w:val="00840A9B"/>
    <w:rsid w:val="00852EC7"/>
    <w:rsid w:val="008632FE"/>
    <w:rsid w:val="008904C3"/>
    <w:rsid w:val="008E45C2"/>
    <w:rsid w:val="00927481"/>
    <w:rsid w:val="0094517E"/>
    <w:rsid w:val="00947EFA"/>
    <w:rsid w:val="0095007D"/>
    <w:rsid w:val="00983953"/>
    <w:rsid w:val="009C2815"/>
    <w:rsid w:val="009F293E"/>
    <w:rsid w:val="00A71674"/>
    <w:rsid w:val="00A83A6F"/>
    <w:rsid w:val="00A93335"/>
    <w:rsid w:val="00AC5CC8"/>
    <w:rsid w:val="00AD33BD"/>
    <w:rsid w:val="00B02E36"/>
    <w:rsid w:val="00B11563"/>
    <w:rsid w:val="00B66365"/>
    <w:rsid w:val="00B703D1"/>
    <w:rsid w:val="00B81A5D"/>
    <w:rsid w:val="00B853BA"/>
    <w:rsid w:val="00B92074"/>
    <w:rsid w:val="00BB6C18"/>
    <w:rsid w:val="00BE53B7"/>
    <w:rsid w:val="00BF4A07"/>
    <w:rsid w:val="00C17BE1"/>
    <w:rsid w:val="00C232C7"/>
    <w:rsid w:val="00C34660"/>
    <w:rsid w:val="00C41D15"/>
    <w:rsid w:val="00C4305A"/>
    <w:rsid w:val="00C46B41"/>
    <w:rsid w:val="00C54A98"/>
    <w:rsid w:val="00C554EC"/>
    <w:rsid w:val="00C713C0"/>
    <w:rsid w:val="00C80908"/>
    <w:rsid w:val="00C96D8C"/>
    <w:rsid w:val="00CA12A4"/>
    <w:rsid w:val="00CA4868"/>
    <w:rsid w:val="00CD1384"/>
    <w:rsid w:val="00CE0A79"/>
    <w:rsid w:val="00CE5761"/>
    <w:rsid w:val="00D17E2E"/>
    <w:rsid w:val="00D37EB6"/>
    <w:rsid w:val="00D400BE"/>
    <w:rsid w:val="00D641FC"/>
    <w:rsid w:val="00D90139"/>
    <w:rsid w:val="00DF48E3"/>
    <w:rsid w:val="00DF5B05"/>
    <w:rsid w:val="00DF6112"/>
    <w:rsid w:val="00E054C0"/>
    <w:rsid w:val="00E15EAE"/>
    <w:rsid w:val="00E32896"/>
    <w:rsid w:val="00E470B3"/>
    <w:rsid w:val="00E5404C"/>
    <w:rsid w:val="00E54B12"/>
    <w:rsid w:val="00E629D2"/>
    <w:rsid w:val="00E709F1"/>
    <w:rsid w:val="00E75367"/>
    <w:rsid w:val="00E92524"/>
    <w:rsid w:val="00E93CE7"/>
    <w:rsid w:val="00EA31CF"/>
    <w:rsid w:val="00EA5975"/>
    <w:rsid w:val="00EA60C1"/>
    <w:rsid w:val="00ED3795"/>
    <w:rsid w:val="00ED7C84"/>
    <w:rsid w:val="00EE0065"/>
    <w:rsid w:val="00F12AF4"/>
    <w:rsid w:val="00F425D5"/>
    <w:rsid w:val="00F42DB7"/>
    <w:rsid w:val="00F467C3"/>
    <w:rsid w:val="00F51D79"/>
    <w:rsid w:val="00F52DCB"/>
    <w:rsid w:val="00F868BD"/>
    <w:rsid w:val="00F912C9"/>
    <w:rsid w:val="00FA0710"/>
    <w:rsid w:val="00FA5B86"/>
    <w:rsid w:val="00FD02C1"/>
    <w:rsid w:val="00FD2B6D"/>
    <w:rsid w:val="00FD4A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24EBDE1"/>
  <w15:chartTrackingRefBased/>
  <w15:docId w15:val="{0761D5FC-1674-45B5-BB94-E17125C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8210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E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D0FB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CA48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E1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1B49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C46B4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B6C1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vnbook.red-bean.com/en/1.8/svn.ref.svn.c.diff.html" TargetMode="External"/><Relationship Id="rId1" Type="http://schemas.openxmlformats.org/officeDocument/2006/relationships/hyperlink" Target="https://subversion.apac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9F1C-7371-40D3-ACB1-9B7D2BF7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CWS/7/3 REV. Annex I (in French)</vt:lpstr>
      <vt:lpstr>CWS/7/3 Annex I (in English)</vt:lpstr>
    </vt:vector>
  </TitlesOfParts>
  <Company>World Intellectual Property Organization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 (in French)</dc:title>
  <dc:subject>PROPOSITION DE CRÉATION D’UNE BASE DE DONNÉES CENTRALE POUR LES COMPOSANTES DE LA NORME ST.96 PROPRES AUX OFFICES</dc:subject>
  <dc:creator>WIPO</dc:creator>
  <cp:keywords>CWS, WIPO</cp:keywords>
  <dc:description/>
  <cp:lastModifiedBy>DRAKE Sophie</cp:lastModifiedBy>
  <cp:revision>12</cp:revision>
  <dcterms:created xsi:type="dcterms:W3CDTF">2019-06-14T14:21:00Z</dcterms:created>
  <dcterms:modified xsi:type="dcterms:W3CDTF">2019-06-21T07:31:00Z</dcterms:modified>
</cp:coreProperties>
</file>