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35249" w:rsidRPr="00735249" w14:paraId="4C4A4191" w14:textId="77777777" w:rsidTr="00830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00D3AA6" w14:textId="77777777" w:rsidR="00735249" w:rsidRPr="00735249" w:rsidRDefault="00735249" w:rsidP="0083095E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68F9347" w14:textId="77777777" w:rsidR="00735249" w:rsidRPr="00735249" w:rsidRDefault="00735249" w:rsidP="0083095E">
            <w:pPr>
              <w:rPr>
                <w:lang w:val="fr-FR"/>
              </w:rPr>
            </w:pPr>
            <w:r w:rsidRPr="00735249">
              <w:rPr>
                <w:noProof/>
                <w:lang w:val="de-DE" w:eastAsia="de-DE"/>
              </w:rPr>
              <w:drawing>
                <wp:inline distT="0" distB="0" distL="0" distR="0" wp14:anchorId="26ABF469" wp14:editId="2DCC18F1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D11BB47" w14:textId="77777777" w:rsidR="00735249" w:rsidRPr="00735249" w:rsidRDefault="00735249" w:rsidP="0083095E">
            <w:pPr>
              <w:jc w:val="right"/>
              <w:rPr>
                <w:lang w:val="fr-FR"/>
              </w:rPr>
            </w:pPr>
            <w:r w:rsidRPr="0073524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35249" w:rsidRPr="00735249" w14:paraId="50BE7D71" w14:textId="77777777" w:rsidTr="0083095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7C236D5" w14:textId="1E1145AD" w:rsidR="00735249" w:rsidRPr="00735249" w:rsidRDefault="00735249" w:rsidP="0083095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35249">
              <w:rPr>
                <w:rFonts w:ascii="Arial Black" w:hAnsi="Arial Black"/>
                <w:caps/>
                <w:sz w:val="15"/>
                <w:lang w:val="fr-FR"/>
              </w:rPr>
              <w:t>CWS/7/</w:t>
            </w:r>
            <w:bookmarkStart w:id="1" w:name="Code"/>
            <w:bookmarkEnd w:id="1"/>
            <w:r w:rsidRPr="00735249">
              <w:rPr>
                <w:rFonts w:ascii="Arial Black" w:hAnsi="Arial Black"/>
                <w:caps/>
                <w:sz w:val="15"/>
                <w:lang w:val="fr-FR"/>
              </w:rPr>
              <w:t>19</w:t>
            </w:r>
          </w:p>
        </w:tc>
      </w:tr>
      <w:tr w:rsidR="00735249" w:rsidRPr="00735249" w14:paraId="2D9D9193" w14:textId="77777777" w:rsidTr="0083095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6DF3FC1" w14:textId="38FFA19E" w:rsidR="00735249" w:rsidRPr="00735249" w:rsidRDefault="00735249" w:rsidP="0083095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3524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11E54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3524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735249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735249" w:rsidRPr="00735249" w14:paraId="78954A90" w14:textId="77777777" w:rsidTr="0083095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10E692AA" w14:textId="6AF4AE2E" w:rsidR="00735249" w:rsidRPr="00735249" w:rsidRDefault="00735249" w:rsidP="0073524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3524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11E54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3524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735249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811E54" w:rsidRPr="00735249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811E5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11E54" w:rsidRPr="00735249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 w:rsidR="00811E5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811E54" w:rsidRPr="00735249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735249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14:paraId="125A691B" w14:textId="77777777" w:rsidR="00735249" w:rsidRPr="00735249" w:rsidRDefault="00735249" w:rsidP="00735249">
      <w:pPr>
        <w:rPr>
          <w:lang w:val="fr-FR"/>
        </w:rPr>
      </w:pPr>
    </w:p>
    <w:p w14:paraId="317EEEC7" w14:textId="77777777" w:rsidR="00735249" w:rsidRPr="00735249" w:rsidRDefault="00735249" w:rsidP="00735249">
      <w:pPr>
        <w:rPr>
          <w:lang w:val="fr-FR"/>
        </w:rPr>
      </w:pPr>
    </w:p>
    <w:p w14:paraId="6D9B0415" w14:textId="77777777" w:rsidR="00735249" w:rsidRPr="00735249" w:rsidRDefault="00735249" w:rsidP="00735249">
      <w:pPr>
        <w:rPr>
          <w:lang w:val="fr-FR"/>
        </w:rPr>
      </w:pPr>
    </w:p>
    <w:p w14:paraId="6EF897E1" w14:textId="77777777" w:rsidR="00735249" w:rsidRPr="00735249" w:rsidRDefault="00735249" w:rsidP="00735249">
      <w:pPr>
        <w:rPr>
          <w:lang w:val="fr-FR"/>
        </w:rPr>
      </w:pPr>
    </w:p>
    <w:p w14:paraId="51E7957D" w14:textId="77777777" w:rsidR="00735249" w:rsidRPr="00735249" w:rsidRDefault="00735249" w:rsidP="00735249">
      <w:pPr>
        <w:rPr>
          <w:lang w:val="fr-FR"/>
        </w:rPr>
      </w:pPr>
    </w:p>
    <w:p w14:paraId="3C5EB4E7" w14:textId="77404E6F" w:rsidR="00735249" w:rsidRPr="00735249" w:rsidRDefault="00735249" w:rsidP="00735249">
      <w:pPr>
        <w:rPr>
          <w:b/>
          <w:sz w:val="28"/>
          <w:szCs w:val="28"/>
          <w:lang w:val="fr-FR"/>
        </w:rPr>
      </w:pPr>
      <w:r w:rsidRPr="00735249">
        <w:rPr>
          <w:b/>
          <w:sz w:val="28"/>
          <w:szCs w:val="28"/>
          <w:lang w:val="fr-FR"/>
        </w:rPr>
        <w:t>Comité des normes de l</w:t>
      </w:r>
      <w:r w:rsidR="00811E54">
        <w:rPr>
          <w:b/>
          <w:sz w:val="28"/>
          <w:szCs w:val="28"/>
          <w:lang w:val="fr-FR"/>
        </w:rPr>
        <w:t>’</w:t>
      </w:r>
      <w:r w:rsidRPr="00735249">
        <w:rPr>
          <w:b/>
          <w:sz w:val="28"/>
          <w:szCs w:val="28"/>
          <w:lang w:val="fr-FR"/>
        </w:rPr>
        <w:t>OMPI (CWS)</w:t>
      </w:r>
    </w:p>
    <w:p w14:paraId="184EC941" w14:textId="77777777" w:rsidR="00735249" w:rsidRPr="00735249" w:rsidRDefault="00735249" w:rsidP="00735249">
      <w:pPr>
        <w:rPr>
          <w:lang w:val="fr-FR"/>
        </w:rPr>
      </w:pPr>
    </w:p>
    <w:p w14:paraId="218B7318" w14:textId="77777777" w:rsidR="00735249" w:rsidRPr="00735249" w:rsidRDefault="00735249" w:rsidP="00735249">
      <w:pPr>
        <w:rPr>
          <w:lang w:val="fr-FR"/>
        </w:rPr>
      </w:pPr>
    </w:p>
    <w:p w14:paraId="7DCB2732" w14:textId="5CA7A713" w:rsidR="00735249" w:rsidRPr="00735249" w:rsidRDefault="00735249" w:rsidP="00735249">
      <w:pPr>
        <w:rPr>
          <w:b/>
          <w:sz w:val="24"/>
          <w:szCs w:val="24"/>
          <w:lang w:val="fr-FR"/>
        </w:rPr>
      </w:pPr>
      <w:r w:rsidRPr="00735249">
        <w:rPr>
          <w:b/>
          <w:sz w:val="24"/>
          <w:szCs w:val="24"/>
          <w:lang w:val="fr-FR"/>
        </w:rPr>
        <w:t>Sept</w:t>
      </w:r>
      <w:r w:rsidR="00811E54">
        <w:rPr>
          <w:b/>
          <w:sz w:val="24"/>
          <w:szCs w:val="24"/>
          <w:lang w:val="fr-FR"/>
        </w:rPr>
        <w:t>ième session</w:t>
      </w:r>
    </w:p>
    <w:p w14:paraId="75ABB44E" w14:textId="59E004DD" w:rsidR="00735249" w:rsidRPr="00735249" w:rsidRDefault="00735249" w:rsidP="00735249">
      <w:pPr>
        <w:rPr>
          <w:b/>
          <w:sz w:val="24"/>
          <w:szCs w:val="24"/>
          <w:lang w:val="fr-FR"/>
        </w:rPr>
      </w:pPr>
      <w:r w:rsidRPr="00735249">
        <w:rPr>
          <w:b/>
          <w:sz w:val="24"/>
          <w:szCs w:val="24"/>
          <w:lang w:val="fr-FR"/>
        </w:rPr>
        <w:t>Genève,</w:t>
      </w:r>
      <w:r w:rsidR="00811E54">
        <w:rPr>
          <w:b/>
          <w:sz w:val="24"/>
          <w:szCs w:val="24"/>
          <w:lang w:val="fr-FR"/>
        </w:rPr>
        <w:t xml:space="preserve"> 1</w:t>
      </w:r>
      <w:r w:rsidR="00811E54" w:rsidRPr="00811E54">
        <w:rPr>
          <w:b/>
          <w:sz w:val="24"/>
          <w:szCs w:val="24"/>
          <w:vertAlign w:val="superscript"/>
          <w:lang w:val="fr-FR"/>
        </w:rPr>
        <w:t>er</w:t>
      </w:r>
      <w:r w:rsidR="00811E54">
        <w:rPr>
          <w:b/>
          <w:sz w:val="24"/>
          <w:szCs w:val="24"/>
          <w:lang w:val="fr-FR"/>
        </w:rPr>
        <w:t> </w:t>
      </w:r>
      <w:r w:rsidRPr="00735249">
        <w:rPr>
          <w:b/>
          <w:sz w:val="24"/>
          <w:szCs w:val="24"/>
          <w:lang w:val="fr-FR"/>
        </w:rPr>
        <w:t>– 5 juillet 2019</w:t>
      </w:r>
    </w:p>
    <w:p w14:paraId="5730FA03" w14:textId="77777777" w:rsidR="00735249" w:rsidRPr="00735249" w:rsidRDefault="00735249" w:rsidP="00735249">
      <w:pPr>
        <w:rPr>
          <w:lang w:val="fr-FR"/>
        </w:rPr>
      </w:pPr>
    </w:p>
    <w:p w14:paraId="0CF431AA" w14:textId="77777777" w:rsidR="00735249" w:rsidRPr="00735249" w:rsidRDefault="00735249" w:rsidP="00735249">
      <w:pPr>
        <w:rPr>
          <w:lang w:val="fr-FR"/>
        </w:rPr>
      </w:pPr>
    </w:p>
    <w:p w14:paraId="0F2201CE" w14:textId="77777777" w:rsidR="00735249" w:rsidRPr="00735249" w:rsidRDefault="00735249" w:rsidP="00735249">
      <w:pPr>
        <w:rPr>
          <w:lang w:val="fr-FR"/>
        </w:rPr>
      </w:pPr>
    </w:p>
    <w:p w14:paraId="7DE52B8C" w14:textId="2934D715" w:rsidR="003304FE" w:rsidRPr="00735249" w:rsidRDefault="00735249" w:rsidP="00DC47E8">
      <w:pPr>
        <w:rPr>
          <w:caps/>
          <w:sz w:val="24"/>
          <w:lang w:val="fr-FR"/>
        </w:rPr>
      </w:pPr>
      <w:bookmarkStart w:id="4" w:name="_GoBack"/>
      <w:r w:rsidRPr="00735249">
        <w:rPr>
          <w:caps/>
          <w:sz w:val="24"/>
          <w:lang w:val="fr-FR"/>
        </w:rPr>
        <w:t xml:space="preserve">Révision </w:t>
      </w:r>
      <w:r w:rsidR="00DC47E8" w:rsidRPr="00735249">
        <w:rPr>
          <w:caps/>
          <w:sz w:val="24"/>
          <w:lang w:val="fr-FR"/>
        </w:rPr>
        <w:t>de la norme ST.60 de l</w:t>
      </w:r>
      <w:r w:rsidR="00811E54">
        <w:rPr>
          <w:caps/>
          <w:sz w:val="24"/>
          <w:lang w:val="fr-FR"/>
        </w:rPr>
        <w:t>’</w:t>
      </w:r>
      <w:r w:rsidR="00DC47E8" w:rsidRPr="00735249">
        <w:rPr>
          <w:caps/>
          <w:sz w:val="24"/>
          <w:lang w:val="fr-FR"/>
        </w:rPr>
        <w:t>OMPI</w:t>
      </w:r>
    </w:p>
    <w:bookmarkEnd w:id="4"/>
    <w:p w14:paraId="5BC49B8F" w14:textId="77777777" w:rsidR="003304FE" w:rsidRPr="00735249" w:rsidRDefault="003304FE" w:rsidP="008B2CC1">
      <w:pPr>
        <w:rPr>
          <w:lang w:val="fr-FR"/>
        </w:rPr>
      </w:pPr>
    </w:p>
    <w:p w14:paraId="6862791E" w14:textId="77777777" w:rsidR="003304FE" w:rsidRPr="00735249" w:rsidRDefault="0015282A" w:rsidP="0015282A">
      <w:pPr>
        <w:rPr>
          <w:i/>
          <w:lang w:val="fr-FR"/>
        </w:rPr>
      </w:pPr>
      <w:bookmarkStart w:id="5" w:name="Prepared"/>
      <w:bookmarkEnd w:id="5"/>
      <w:r w:rsidRPr="00735249">
        <w:rPr>
          <w:i/>
          <w:lang w:val="fr-FR"/>
        </w:rPr>
        <w:t>Document établi par le Bureau international</w:t>
      </w:r>
    </w:p>
    <w:p w14:paraId="24CD6BDC" w14:textId="77777777" w:rsidR="003304FE" w:rsidRPr="00735249" w:rsidRDefault="003304FE">
      <w:pPr>
        <w:rPr>
          <w:lang w:val="fr-FR"/>
        </w:rPr>
      </w:pPr>
    </w:p>
    <w:p w14:paraId="77AFA957" w14:textId="77777777" w:rsidR="003304FE" w:rsidRPr="00735249" w:rsidRDefault="003304FE">
      <w:pPr>
        <w:rPr>
          <w:lang w:val="fr-FR"/>
        </w:rPr>
      </w:pPr>
    </w:p>
    <w:p w14:paraId="29006751" w14:textId="77777777" w:rsidR="003304FE" w:rsidRPr="00735249" w:rsidRDefault="003304FE">
      <w:pPr>
        <w:rPr>
          <w:u w:val="single"/>
          <w:lang w:val="fr-FR"/>
        </w:rPr>
      </w:pPr>
    </w:p>
    <w:p w14:paraId="0F8859E2" w14:textId="77777777" w:rsidR="003304FE" w:rsidRPr="00735249" w:rsidRDefault="003304FE">
      <w:pPr>
        <w:rPr>
          <w:lang w:val="fr-FR"/>
        </w:rPr>
      </w:pPr>
    </w:p>
    <w:p w14:paraId="7CECE334" w14:textId="77777777" w:rsidR="003304FE" w:rsidRPr="00735249" w:rsidRDefault="003304FE">
      <w:pPr>
        <w:rPr>
          <w:lang w:val="fr-FR"/>
        </w:rPr>
      </w:pPr>
    </w:p>
    <w:p w14:paraId="5C1C3E12" w14:textId="30941D1A" w:rsidR="003304FE" w:rsidRDefault="00D875FC" w:rsidP="00BD7BEA">
      <w:pPr>
        <w:pStyle w:val="Heading2"/>
        <w:spacing w:before="0"/>
        <w:rPr>
          <w:lang w:val="fr-FR"/>
        </w:rPr>
      </w:pPr>
      <w:r w:rsidRPr="00735249">
        <w:rPr>
          <w:caps w:val="0"/>
          <w:lang w:val="fr-FR"/>
        </w:rPr>
        <w:t>RAP</w:t>
      </w:r>
      <w:r>
        <w:rPr>
          <w:caps w:val="0"/>
          <w:lang w:val="fr-FR"/>
        </w:rPr>
        <w:t>PE</w:t>
      </w:r>
      <w:r w:rsidRPr="00735249">
        <w:rPr>
          <w:caps w:val="0"/>
          <w:lang w:val="fr-FR"/>
        </w:rPr>
        <w:t>L</w:t>
      </w:r>
    </w:p>
    <w:p w14:paraId="2F02A7D0" w14:textId="3D2555CF" w:rsidR="003304FE" w:rsidRPr="00735249" w:rsidRDefault="00D6538E" w:rsidP="00735249">
      <w:pPr>
        <w:pStyle w:val="ONUMFS"/>
        <w:rPr>
          <w:iCs/>
          <w:szCs w:val="22"/>
          <w:lang w:val="fr-FR"/>
        </w:rPr>
      </w:pPr>
      <w:r w:rsidRPr="00735249">
        <w:rPr>
          <w:lang w:val="fr-FR"/>
        </w:rPr>
        <w:t>À sa six</w:t>
      </w:r>
      <w:r w:rsidR="00811E54">
        <w:rPr>
          <w:lang w:val="fr-FR"/>
        </w:rPr>
        <w:t>ième session</w:t>
      </w:r>
      <w:r w:rsidRPr="00735249">
        <w:rPr>
          <w:lang w:val="fr-FR"/>
        </w:rPr>
        <w:t xml:space="preserve"> tenue en 2018, le Comité des normes de l</w:t>
      </w:r>
      <w:r w:rsidR="00811E54">
        <w:rPr>
          <w:lang w:val="fr-FR"/>
        </w:rPr>
        <w:t>’</w:t>
      </w:r>
      <w:r w:rsidRPr="00735249">
        <w:rPr>
          <w:lang w:val="fr-FR"/>
        </w:rPr>
        <w:t>OMPI (CWS) a examiné des prop</w:t>
      </w:r>
      <w:r w:rsidR="008A3423" w:rsidRPr="00735249">
        <w:rPr>
          <w:lang w:val="fr-FR"/>
        </w:rPr>
        <w:t>ositions de l</w:t>
      </w:r>
      <w:r w:rsidR="00811E54">
        <w:rPr>
          <w:lang w:val="fr-FR"/>
        </w:rPr>
        <w:t>’</w:t>
      </w:r>
      <w:r w:rsidR="008A3423" w:rsidRPr="00735249">
        <w:rPr>
          <w:lang w:val="fr-FR"/>
        </w:rPr>
        <w:t>Office de l</w:t>
      </w:r>
      <w:r w:rsidR="00811E54">
        <w:rPr>
          <w:lang w:val="fr-FR"/>
        </w:rPr>
        <w:t>’</w:t>
      </w:r>
      <w:r w:rsidR="008A3423" w:rsidRPr="00735249">
        <w:rPr>
          <w:lang w:val="fr-FR"/>
        </w:rPr>
        <w:t>Union </w:t>
      </w:r>
      <w:r w:rsidRPr="00735249">
        <w:rPr>
          <w:lang w:val="fr-FR"/>
        </w:rPr>
        <w:t xml:space="preserve">européenne pour la propriété intellectuelle (EUIPO) visant à </w:t>
      </w:r>
      <w:r w:rsidR="008A3423" w:rsidRPr="00735249">
        <w:rPr>
          <w:lang w:val="fr-FR"/>
        </w:rPr>
        <w:t>réviser</w:t>
      </w:r>
      <w:r w:rsidRPr="00735249">
        <w:rPr>
          <w:lang w:val="fr-FR"/>
        </w:rPr>
        <w:t xml:space="preserve"> la norme ST.60 de l</w:t>
      </w:r>
      <w:r w:rsidR="00811E54">
        <w:rPr>
          <w:lang w:val="fr-FR"/>
        </w:rPr>
        <w:t>’</w:t>
      </w:r>
      <w:r w:rsidRPr="00735249">
        <w:rPr>
          <w:lang w:val="fr-FR"/>
        </w:rPr>
        <w:t>OMPI portant sur la “</w:t>
      </w:r>
      <w:r w:rsidRPr="00735249">
        <w:rPr>
          <w:i/>
          <w:lang w:val="fr-FR"/>
        </w:rPr>
        <w:t>Recommandation relative aux données bibliographiques concernant les marques</w:t>
      </w:r>
      <w:r w:rsidRPr="00735249">
        <w:rPr>
          <w:lang w:val="fr-FR"/>
        </w:rPr>
        <w:t>” (voir le document CWS/6/20).</w:t>
      </w:r>
      <w:r w:rsidR="009E1E4E" w:rsidRPr="00735249">
        <w:rPr>
          <w:iCs/>
          <w:szCs w:val="22"/>
          <w:lang w:val="fr-FR"/>
        </w:rPr>
        <w:t xml:space="preserve"> </w:t>
      </w:r>
      <w:r w:rsidR="00811E54" w:rsidRPr="00735249">
        <w:rPr>
          <w:iCs/>
          <w:szCs w:val="22"/>
          <w:lang w:val="fr-FR"/>
        </w:rPr>
        <w:t xml:space="preserve"> Le</w:t>
      </w:r>
      <w:r w:rsidR="00811E54">
        <w:rPr>
          <w:iCs/>
          <w:szCs w:val="22"/>
          <w:lang w:val="fr-FR"/>
        </w:rPr>
        <w:t> </w:t>
      </w:r>
      <w:r w:rsidR="00811E54" w:rsidRPr="00735249">
        <w:rPr>
          <w:iCs/>
          <w:szCs w:val="22"/>
          <w:lang w:val="fr-FR"/>
        </w:rPr>
        <w:t>CWS</w:t>
      </w:r>
      <w:r w:rsidR="00DD7603" w:rsidRPr="00735249">
        <w:rPr>
          <w:iCs/>
          <w:szCs w:val="22"/>
          <w:lang w:val="fr-FR"/>
        </w:rPr>
        <w:t xml:space="preserve"> a adopté la proposition </w:t>
      </w:r>
      <w:r w:rsidR="00811E54">
        <w:rPr>
          <w:iCs/>
          <w:szCs w:val="22"/>
          <w:lang w:val="fr-FR"/>
        </w:rPr>
        <w:t>“</w:t>
      </w:r>
      <w:r w:rsidR="00811E54" w:rsidRPr="00735249">
        <w:rPr>
          <w:iCs/>
          <w:szCs w:val="22"/>
          <w:lang w:val="fr-FR"/>
        </w:rPr>
        <w:t>o</w:t>
      </w:r>
      <w:r w:rsidR="00DD7603" w:rsidRPr="00735249">
        <w:rPr>
          <w:iCs/>
          <w:szCs w:val="22"/>
          <w:lang w:val="fr-FR"/>
        </w:rPr>
        <w:t>ptimal</w:t>
      </w:r>
      <w:r w:rsidR="00811E54" w:rsidRPr="00735249">
        <w:rPr>
          <w:iCs/>
          <w:szCs w:val="22"/>
          <w:lang w:val="fr-FR"/>
        </w:rPr>
        <w:t>e</w:t>
      </w:r>
      <w:r w:rsidR="00811E54">
        <w:rPr>
          <w:iCs/>
          <w:szCs w:val="22"/>
          <w:lang w:val="fr-FR"/>
        </w:rPr>
        <w:t>”</w:t>
      </w:r>
      <w:r w:rsidR="00DD7603" w:rsidRPr="00735249">
        <w:rPr>
          <w:iCs/>
          <w:szCs w:val="22"/>
          <w:lang w:val="fr-FR"/>
        </w:rPr>
        <w:t xml:space="preserve"> de l</w:t>
      </w:r>
      <w:r w:rsidR="00811E54">
        <w:rPr>
          <w:iCs/>
          <w:szCs w:val="22"/>
          <w:lang w:val="fr-FR"/>
        </w:rPr>
        <w:t>’</w:t>
      </w:r>
      <w:r w:rsidR="00DD7603" w:rsidRPr="00735249">
        <w:rPr>
          <w:iCs/>
          <w:szCs w:val="22"/>
          <w:lang w:val="fr-FR"/>
        </w:rPr>
        <w:t xml:space="preserve">EUIPO, </w:t>
      </w:r>
      <w:r w:rsidR="00BB27AC" w:rsidRPr="00735249">
        <w:rPr>
          <w:iCs/>
          <w:szCs w:val="22"/>
          <w:lang w:val="fr-FR"/>
        </w:rPr>
        <w:t xml:space="preserve">sauf en ce qui concerne </w:t>
      </w:r>
      <w:r w:rsidR="00DD7603" w:rsidRPr="00735249">
        <w:rPr>
          <w:iCs/>
          <w:szCs w:val="22"/>
          <w:lang w:val="fr-FR"/>
        </w:rPr>
        <w:t>l</w:t>
      </w:r>
      <w:r w:rsidR="00811E54">
        <w:rPr>
          <w:iCs/>
          <w:szCs w:val="22"/>
          <w:lang w:val="fr-FR"/>
        </w:rPr>
        <w:t>’</w:t>
      </w:r>
      <w:r w:rsidR="00DD7603" w:rsidRPr="00735249">
        <w:rPr>
          <w:iCs/>
          <w:szCs w:val="22"/>
          <w:lang w:val="fr-FR"/>
        </w:rPr>
        <w:t xml:space="preserve">attribution de codes </w:t>
      </w:r>
      <w:r w:rsidR="00C97A29" w:rsidRPr="00735249">
        <w:rPr>
          <w:iCs/>
          <w:szCs w:val="22"/>
          <w:lang w:val="fr-FR"/>
        </w:rPr>
        <w:t>d</w:t>
      </w:r>
      <w:r w:rsidR="00811E54">
        <w:rPr>
          <w:iCs/>
          <w:szCs w:val="22"/>
          <w:lang w:val="fr-FR"/>
        </w:rPr>
        <w:t>’</w:t>
      </w:r>
      <w:r w:rsidR="00C97A29" w:rsidRPr="00735249">
        <w:rPr>
          <w:iCs/>
          <w:szCs w:val="22"/>
          <w:lang w:val="fr-FR"/>
        </w:rPr>
        <w:t xml:space="preserve">identification numérique internationalement agréée en matière de données bibliographiques (codes INID) </w:t>
      </w:r>
      <w:r w:rsidR="00705DFD" w:rsidRPr="00735249">
        <w:rPr>
          <w:iCs/>
          <w:szCs w:val="22"/>
          <w:lang w:val="fr-FR"/>
        </w:rPr>
        <w:t xml:space="preserve">aux </w:t>
      </w:r>
      <w:r w:rsidR="00DD7603" w:rsidRPr="00735249">
        <w:rPr>
          <w:iCs/>
          <w:szCs w:val="22"/>
          <w:lang w:val="fr-FR"/>
        </w:rPr>
        <w:t xml:space="preserve">marques verbales et </w:t>
      </w:r>
      <w:r w:rsidR="00705DFD" w:rsidRPr="00735249">
        <w:rPr>
          <w:iCs/>
          <w:szCs w:val="22"/>
          <w:lang w:val="fr-FR"/>
        </w:rPr>
        <w:t xml:space="preserve">aux </w:t>
      </w:r>
      <w:r w:rsidR="00DD7603" w:rsidRPr="00735249">
        <w:rPr>
          <w:iCs/>
          <w:szCs w:val="22"/>
          <w:lang w:val="fr-FR"/>
        </w:rPr>
        <w:t>marques figurativ</w:t>
      </w:r>
      <w:r w:rsidR="003216DC" w:rsidRPr="00735249">
        <w:rPr>
          <w:iCs/>
          <w:szCs w:val="22"/>
          <w:lang w:val="fr-FR"/>
        </w:rPr>
        <w:t>es</w:t>
      </w:r>
      <w:r w:rsidR="003216DC">
        <w:rPr>
          <w:iCs/>
          <w:szCs w:val="22"/>
          <w:lang w:val="fr-FR"/>
        </w:rPr>
        <w:t xml:space="preserve">.  </w:t>
      </w:r>
      <w:r w:rsidR="003216DC" w:rsidRPr="00735249">
        <w:rPr>
          <w:lang w:val="fr-FR"/>
        </w:rPr>
        <w:t>Pl</w:t>
      </w:r>
      <w:r w:rsidR="00D07AA4" w:rsidRPr="00735249">
        <w:rPr>
          <w:lang w:val="fr-FR"/>
        </w:rPr>
        <w:t>usieurs autres propositions ont été faites au cours de la session plénière et nécessitaient un examen plus approfondi (voir les paragraphes 128 à 130 du document CWS/6/34).</w:t>
      </w:r>
    </w:p>
    <w:p w14:paraId="792CDD1D" w14:textId="6F23AEDE" w:rsidR="003304FE" w:rsidRPr="00735249" w:rsidRDefault="009C3F15" w:rsidP="00735249">
      <w:pPr>
        <w:pStyle w:val="ONUMFS"/>
        <w:rPr>
          <w:iCs/>
          <w:szCs w:val="22"/>
          <w:lang w:val="fr-FR"/>
        </w:rPr>
      </w:pPr>
      <w:r w:rsidRPr="00735249">
        <w:rPr>
          <w:lang w:val="fr-FR"/>
        </w:rPr>
        <w:t>Comme suite à ces propositions,</w:t>
      </w:r>
      <w:r w:rsidR="00811E54" w:rsidRPr="00735249">
        <w:rPr>
          <w:lang w:val="fr-FR"/>
        </w:rPr>
        <w:t xml:space="preserve"> le</w:t>
      </w:r>
      <w:r w:rsidR="00811E54">
        <w:rPr>
          <w:lang w:val="fr-FR"/>
        </w:rPr>
        <w:t> </w:t>
      </w:r>
      <w:r w:rsidR="00811E54" w:rsidRPr="00735249">
        <w:rPr>
          <w:lang w:val="fr-FR"/>
        </w:rPr>
        <w:t>CWS</w:t>
      </w:r>
      <w:r w:rsidRPr="00735249">
        <w:rPr>
          <w:lang w:val="fr-FR"/>
        </w:rPr>
        <w:t xml:space="preserve"> a créé la tâche n° 60</w:t>
      </w:r>
      <w:r w:rsidR="00BB27AC" w:rsidRPr="00735249">
        <w:rPr>
          <w:lang w:val="fr-FR"/>
        </w:rPr>
        <w:t>,</w:t>
      </w:r>
      <w:r w:rsidRPr="00735249">
        <w:rPr>
          <w:lang w:val="fr-FR"/>
        </w:rPr>
        <w:t xml:space="preserve"> dont la description est libellée comme suit</w:t>
      </w:r>
      <w:r w:rsidR="00811E54">
        <w:rPr>
          <w:lang w:val="fr-FR"/>
        </w:rPr>
        <w:t> :</w:t>
      </w:r>
    </w:p>
    <w:p w14:paraId="29C902C2" w14:textId="48062C9B" w:rsidR="003304FE" w:rsidRPr="00735249" w:rsidRDefault="00811E54" w:rsidP="00735249">
      <w:pPr>
        <w:pStyle w:val="ONUMFS"/>
        <w:numPr>
          <w:ilvl w:val="0"/>
          <w:numId w:val="0"/>
        </w:numPr>
        <w:ind w:left="567"/>
        <w:rPr>
          <w:lang w:val="fr-FR"/>
        </w:rPr>
      </w:pPr>
      <w:r>
        <w:rPr>
          <w:lang w:val="fr-FR"/>
        </w:rPr>
        <w:t>“</w:t>
      </w:r>
      <w:r w:rsidRPr="00735249">
        <w:rPr>
          <w:lang w:val="fr-FR"/>
        </w:rPr>
        <w:t>É</w:t>
      </w:r>
      <w:r w:rsidR="00492E2E" w:rsidRPr="00735249">
        <w:rPr>
          <w:lang w:val="fr-FR"/>
        </w:rPr>
        <w:t>tablir une proposition relative à la numérotation des codes INID concernant les marques verbales et les marques figuratives;  sur la division du code INID (551) et l</w:t>
      </w:r>
      <w:r>
        <w:rPr>
          <w:lang w:val="fr-FR"/>
        </w:rPr>
        <w:t>’</w:t>
      </w:r>
      <w:r w:rsidR="00492E2E" w:rsidRPr="00735249">
        <w:rPr>
          <w:lang w:val="fr-FR"/>
        </w:rPr>
        <w:t>éventuelle création d</w:t>
      </w:r>
      <w:r>
        <w:rPr>
          <w:lang w:val="fr-FR"/>
        </w:rPr>
        <w:t>’</w:t>
      </w:r>
      <w:r w:rsidR="00492E2E" w:rsidRPr="00735249">
        <w:rPr>
          <w:lang w:val="fr-FR"/>
        </w:rPr>
        <w:t>un code INID pour les marques combinée</w:t>
      </w:r>
      <w:r w:rsidRPr="00735249">
        <w:rPr>
          <w:lang w:val="fr-FR"/>
        </w:rPr>
        <w:t>s</w:t>
      </w:r>
      <w:r>
        <w:rPr>
          <w:lang w:val="fr-FR"/>
        </w:rPr>
        <w:t>”</w:t>
      </w:r>
      <w:r w:rsidR="00492E2E" w:rsidRPr="00735249">
        <w:rPr>
          <w:lang w:val="fr-FR"/>
        </w:rPr>
        <w:t>.</w:t>
      </w:r>
    </w:p>
    <w:p w14:paraId="60E29A0F" w14:textId="6F2C5B84" w:rsidR="003304FE" w:rsidRPr="00735249" w:rsidRDefault="00492E2E" w:rsidP="00735249">
      <w:pPr>
        <w:pStyle w:val="ONUMFS"/>
        <w:numPr>
          <w:ilvl w:val="0"/>
          <w:numId w:val="0"/>
        </w:numPr>
        <w:rPr>
          <w:lang w:val="fr-FR"/>
        </w:rPr>
      </w:pPr>
      <w:r w:rsidRPr="00735249">
        <w:rPr>
          <w:lang w:val="fr-FR"/>
        </w:rPr>
        <w:t>Le CWS a confié la nouvelle tâche n° 60 à l</w:t>
      </w:r>
      <w:r w:rsidR="00811E54">
        <w:rPr>
          <w:lang w:val="fr-FR"/>
        </w:rPr>
        <w:t>’</w:t>
      </w:r>
      <w:r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Pr="00735249">
        <w:rPr>
          <w:lang w:val="fr-FR"/>
        </w:rPr>
        <w:t xml:space="preserve">experts chargée des normes relatives aux marques </w:t>
      </w:r>
      <w:r w:rsidR="004F3272" w:rsidRPr="00735249">
        <w:rPr>
          <w:lang w:val="fr-FR"/>
        </w:rPr>
        <w:t>afin</w:t>
      </w:r>
      <w:r w:rsidR="00E74645" w:rsidRPr="00735249">
        <w:rPr>
          <w:lang w:val="fr-FR"/>
        </w:rPr>
        <w:t xml:space="preserve"> qu</w:t>
      </w:r>
      <w:r w:rsidR="00811E54">
        <w:rPr>
          <w:lang w:val="fr-FR"/>
        </w:rPr>
        <w:t>’</w:t>
      </w:r>
      <w:r w:rsidR="00E74645" w:rsidRPr="00735249">
        <w:rPr>
          <w:lang w:val="fr-FR"/>
        </w:rPr>
        <w:t>elle l</w:t>
      </w:r>
      <w:r w:rsidR="00811E54">
        <w:rPr>
          <w:lang w:val="fr-FR"/>
        </w:rPr>
        <w:t>’</w:t>
      </w:r>
      <w:r w:rsidR="00E74645" w:rsidRPr="00735249">
        <w:rPr>
          <w:lang w:val="fr-FR"/>
        </w:rPr>
        <w:t xml:space="preserve">examine de façon plus approfondie, </w:t>
      </w:r>
      <w:r w:rsidRPr="00735249">
        <w:rPr>
          <w:lang w:val="fr-FR"/>
        </w:rPr>
        <w:t xml:space="preserve">et a </w:t>
      </w:r>
      <w:r w:rsidR="00E74645" w:rsidRPr="00735249">
        <w:rPr>
          <w:lang w:val="fr-FR"/>
        </w:rPr>
        <w:t xml:space="preserve">prié </w:t>
      </w:r>
      <w:r w:rsidRPr="00735249">
        <w:rPr>
          <w:lang w:val="fr-FR"/>
        </w:rPr>
        <w:t>l</w:t>
      </w:r>
      <w:r w:rsidR="00811E54">
        <w:rPr>
          <w:lang w:val="fr-FR"/>
        </w:rPr>
        <w:t>’</w:t>
      </w:r>
      <w:r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Pr="00735249">
        <w:rPr>
          <w:lang w:val="fr-FR"/>
        </w:rPr>
        <w:t xml:space="preserve">experts de présenter une proposition ou un rapport </w:t>
      </w:r>
      <w:r w:rsidR="00E74645" w:rsidRPr="00735249">
        <w:rPr>
          <w:lang w:val="fr-FR"/>
        </w:rPr>
        <w:t>sur l</w:t>
      </w:r>
      <w:r w:rsidR="00811E54">
        <w:rPr>
          <w:lang w:val="fr-FR"/>
        </w:rPr>
        <w:t>’</w:t>
      </w:r>
      <w:r w:rsidR="00E74645" w:rsidRPr="00735249">
        <w:rPr>
          <w:lang w:val="fr-FR"/>
        </w:rPr>
        <w:t xml:space="preserve">état </w:t>
      </w:r>
      <w:r w:rsidRPr="00735249">
        <w:rPr>
          <w:lang w:val="fr-FR"/>
        </w:rPr>
        <w:t>d</w:t>
      </w:r>
      <w:r w:rsidR="00811E54">
        <w:rPr>
          <w:lang w:val="fr-FR"/>
        </w:rPr>
        <w:t>’</w:t>
      </w:r>
      <w:r w:rsidRPr="00735249">
        <w:rPr>
          <w:lang w:val="fr-FR"/>
        </w:rPr>
        <w:t>avancement de</w:t>
      </w:r>
      <w:r w:rsidR="00E74645" w:rsidRPr="00735249">
        <w:rPr>
          <w:lang w:val="fr-FR"/>
        </w:rPr>
        <w:t xml:space="preserve"> ses</w:t>
      </w:r>
      <w:r w:rsidRPr="00735249">
        <w:rPr>
          <w:lang w:val="fr-FR"/>
        </w:rPr>
        <w:t xml:space="preserve"> travaux à </w:t>
      </w:r>
      <w:r w:rsidR="00BB27AC" w:rsidRPr="00735249">
        <w:rPr>
          <w:lang w:val="fr-FR"/>
        </w:rPr>
        <w:t>la</w:t>
      </w:r>
      <w:r w:rsidRPr="00735249">
        <w:rPr>
          <w:lang w:val="fr-FR"/>
        </w:rPr>
        <w:t xml:space="preserve"> sept</w:t>
      </w:r>
      <w:r w:rsidR="00811E54">
        <w:rPr>
          <w:lang w:val="fr-FR"/>
        </w:rPr>
        <w:t>ième session</w:t>
      </w:r>
      <w:r w:rsidRPr="00735249">
        <w:rPr>
          <w:lang w:val="fr-FR"/>
        </w:rPr>
        <w:t xml:space="preserve"> </w:t>
      </w:r>
      <w:r w:rsidR="00BB27AC" w:rsidRPr="00735249">
        <w:rPr>
          <w:lang w:val="fr-FR"/>
        </w:rPr>
        <w:t xml:space="preserve">du comité </w:t>
      </w:r>
      <w:r w:rsidRPr="00735249">
        <w:rPr>
          <w:lang w:val="fr-FR"/>
        </w:rPr>
        <w:t>(voir les paragraphes 128 à 133 du document CWS/6/34).</w:t>
      </w:r>
    </w:p>
    <w:p w14:paraId="74989D01" w14:textId="4EC8766D" w:rsidR="003304FE" w:rsidRDefault="00D875FC" w:rsidP="00735249">
      <w:pPr>
        <w:pStyle w:val="Heading2"/>
        <w:rPr>
          <w:lang w:val="fr-FR"/>
        </w:rPr>
      </w:pPr>
      <w:r w:rsidRPr="00735249">
        <w:rPr>
          <w:caps w:val="0"/>
          <w:lang w:val="fr-FR"/>
        </w:rPr>
        <w:lastRenderedPageBreak/>
        <w:t>REVISION PROPOSEE</w:t>
      </w:r>
    </w:p>
    <w:p w14:paraId="3B4436B4" w14:textId="7E81732B" w:rsidR="003304FE" w:rsidRPr="00735249" w:rsidRDefault="00A54E47" w:rsidP="00735249">
      <w:pPr>
        <w:pStyle w:val="ONUMFS"/>
        <w:rPr>
          <w:lang w:val="fr-FR"/>
        </w:rPr>
      </w:pPr>
      <w:r w:rsidRPr="00735249">
        <w:rPr>
          <w:lang w:val="fr-FR"/>
        </w:rPr>
        <w:t>Dans le cadre de la tâche n° 60, l</w:t>
      </w:r>
      <w:r w:rsidR="00811E54">
        <w:rPr>
          <w:lang w:val="fr-FR"/>
        </w:rPr>
        <w:t>’</w:t>
      </w:r>
      <w:r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Pr="00735249">
        <w:rPr>
          <w:lang w:val="fr-FR"/>
        </w:rPr>
        <w:t>experts chargée des normes relatives aux marques a examiné les trois</w:t>
      </w:r>
      <w:r w:rsidR="006C6164" w:rsidRPr="00735249">
        <w:rPr>
          <w:lang w:val="fr-FR"/>
        </w:rPr>
        <w:t> éléments</w:t>
      </w:r>
      <w:r w:rsidRPr="00735249">
        <w:rPr>
          <w:lang w:val="fr-FR"/>
        </w:rPr>
        <w:t xml:space="preserve"> de la tâche</w:t>
      </w:r>
      <w:r w:rsidR="006C6164" w:rsidRPr="00735249">
        <w:rPr>
          <w:lang w:val="fr-FR"/>
        </w:rPr>
        <w:t xml:space="preserve"> en question</w:t>
      </w:r>
      <w:r w:rsidRPr="00735249">
        <w:rPr>
          <w:lang w:val="fr-FR"/>
        </w:rPr>
        <w:t xml:space="preserve"> et a tenu des discussions en ligne à leur suj</w:t>
      </w:r>
      <w:r w:rsidR="003216DC" w:rsidRPr="00735249">
        <w:rPr>
          <w:lang w:val="fr-FR"/>
        </w:rPr>
        <w:t>et</w:t>
      </w:r>
      <w:r w:rsidR="003216DC">
        <w:rPr>
          <w:lang w:val="fr-FR"/>
        </w:rPr>
        <w:t xml:space="preserve">.  </w:t>
      </w:r>
      <w:r w:rsidR="003216DC" w:rsidRPr="00735249">
        <w:rPr>
          <w:lang w:val="fr-FR"/>
        </w:rPr>
        <w:t>Le</w:t>
      </w:r>
      <w:r w:rsidRPr="00735249">
        <w:rPr>
          <w:lang w:val="fr-FR"/>
        </w:rPr>
        <w:t xml:space="preserve"> Bureau international a également mené des discussions internes sur ces </w:t>
      </w:r>
      <w:r w:rsidR="006C6164" w:rsidRPr="00735249">
        <w:rPr>
          <w:lang w:val="fr-FR"/>
        </w:rPr>
        <w:t>éléments</w:t>
      </w:r>
      <w:r w:rsidRPr="00735249">
        <w:rPr>
          <w:lang w:val="fr-FR"/>
        </w:rPr>
        <w:t xml:space="preserve"> avec les unités administratives concernées, notamment celle chargée du système de Madrid.</w:t>
      </w:r>
    </w:p>
    <w:p w14:paraId="0D7476D4" w14:textId="52F3203E" w:rsidR="003304FE" w:rsidRPr="00735249" w:rsidRDefault="00215BB1" w:rsidP="00735249">
      <w:pPr>
        <w:pStyle w:val="ONUMFS"/>
        <w:rPr>
          <w:lang w:val="fr-FR"/>
        </w:rPr>
      </w:pPr>
      <w:r w:rsidRPr="00735249">
        <w:rPr>
          <w:lang w:val="fr-FR"/>
        </w:rPr>
        <w:t>En ce qui concerne la recherche de codes INID appropriés pour les marques verbales et les marques figuratives, l</w:t>
      </w:r>
      <w:r w:rsidR="00811E54">
        <w:rPr>
          <w:lang w:val="fr-FR"/>
        </w:rPr>
        <w:t>’</w:t>
      </w:r>
      <w:r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Pr="00735249">
        <w:rPr>
          <w:lang w:val="fr-FR"/>
        </w:rPr>
        <w:t xml:space="preserve">experts </w:t>
      </w:r>
      <w:r w:rsidR="00520555" w:rsidRPr="00735249">
        <w:rPr>
          <w:lang w:val="fr-FR"/>
        </w:rPr>
        <w:t>s</w:t>
      </w:r>
      <w:r w:rsidR="00811E54">
        <w:rPr>
          <w:lang w:val="fr-FR"/>
        </w:rPr>
        <w:t>’</w:t>
      </w:r>
      <w:r w:rsidR="00520555" w:rsidRPr="00735249">
        <w:rPr>
          <w:lang w:val="fr-FR"/>
        </w:rPr>
        <w:t xml:space="preserve">est penchée sur </w:t>
      </w:r>
      <w:r w:rsidRPr="00735249">
        <w:rPr>
          <w:lang w:val="fr-FR"/>
        </w:rPr>
        <w:t>les plages de numérotation</w:t>
      </w:r>
      <w:r w:rsidR="00520555" w:rsidRPr="00735249">
        <w:rPr>
          <w:lang w:val="fr-FR"/>
        </w:rPr>
        <w:t xml:space="preserve"> de la norme ST.60 de l</w:t>
      </w:r>
      <w:r w:rsidR="00811E54">
        <w:rPr>
          <w:lang w:val="fr-FR"/>
        </w:rPr>
        <w:t>’</w:t>
      </w:r>
      <w:r w:rsidR="00520555" w:rsidRPr="00735249">
        <w:rPr>
          <w:lang w:val="fr-FR"/>
        </w:rPr>
        <w:t>OMPI</w:t>
      </w:r>
      <w:r w:rsidRPr="00735249">
        <w:rPr>
          <w:lang w:val="fr-FR"/>
        </w:rPr>
        <w:t xml:space="preserve"> </w:t>
      </w:r>
      <w:r w:rsidR="00520555" w:rsidRPr="00735249">
        <w:rPr>
          <w:lang w:val="fr-FR"/>
        </w:rPr>
        <w:t>qui pourraient être utilisé</w:t>
      </w:r>
      <w:r w:rsidR="003216DC" w:rsidRPr="00735249">
        <w:rPr>
          <w:lang w:val="fr-FR"/>
        </w:rPr>
        <w:t>es</w:t>
      </w:r>
      <w:r w:rsidR="003216DC">
        <w:rPr>
          <w:lang w:val="fr-FR"/>
        </w:rPr>
        <w:t xml:space="preserve">.  </w:t>
      </w:r>
      <w:r w:rsidR="003216DC" w:rsidRPr="00735249">
        <w:rPr>
          <w:lang w:val="fr-FR"/>
        </w:rPr>
        <w:t>Il</w:t>
      </w:r>
      <w:r w:rsidR="006747BA" w:rsidRPr="00735249">
        <w:rPr>
          <w:lang w:val="fr-FR"/>
        </w:rPr>
        <w:t xml:space="preserve"> semble que la plage </w:t>
      </w:r>
      <w:r w:rsidRPr="00735249">
        <w:rPr>
          <w:lang w:val="fr-FR"/>
        </w:rPr>
        <w:t xml:space="preserve">59x </w:t>
      </w:r>
      <w:r w:rsidR="006747BA" w:rsidRPr="00735249">
        <w:rPr>
          <w:lang w:val="fr-FR"/>
        </w:rPr>
        <w:t xml:space="preserve">est celle qui se prête le mieux à la création de </w:t>
      </w:r>
      <w:r w:rsidRPr="00735249">
        <w:rPr>
          <w:lang w:val="fr-FR"/>
        </w:rPr>
        <w:t>nouveaux cod</w:t>
      </w:r>
      <w:r w:rsidR="003216DC" w:rsidRPr="00735249">
        <w:rPr>
          <w:lang w:val="fr-FR"/>
        </w:rPr>
        <w:t>es</w:t>
      </w:r>
      <w:r w:rsidR="003216DC">
        <w:rPr>
          <w:lang w:val="fr-FR"/>
        </w:rPr>
        <w:t xml:space="preserve">.  </w:t>
      </w:r>
      <w:r w:rsidR="003216DC" w:rsidRPr="00735249">
        <w:rPr>
          <w:lang w:val="fr-FR"/>
        </w:rPr>
        <w:t>Le</w:t>
      </w:r>
      <w:r w:rsidR="006747BA" w:rsidRPr="00735249">
        <w:rPr>
          <w:lang w:val="fr-FR"/>
        </w:rPr>
        <w:t xml:space="preserve">s </w:t>
      </w:r>
      <w:r w:rsidR="00BE4CFB" w:rsidRPr="00735249">
        <w:rPr>
          <w:lang w:val="fr-FR"/>
        </w:rPr>
        <w:t>plage</w:t>
      </w:r>
      <w:r w:rsidR="006747BA" w:rsidRPr="00735249">
        <w:rPr>
          <w:lang w:val="fr-FR"/>
        </w:rPr>
        <w:t>s </w:t>
      </w:r>
      <w:r w:rsidR="00BE4CFB" w:rsidRPr="00735249">
        <w:rPr>
          <w:lang w:val="fr-FR"/>
        </w:rPr>
        <w:t xml:space="preserve">53x </w:t>
      </w:r>
      <w:r w:rsidR="006747BA" w:rsidRPr="00735249">
        <w:rPr>
          <w:lang w:val="fr-FR"/>
        </w:rPr>
        <w:t>à </w:t>
      </w:r>
      <w:r w:rsidR="00BE4CFB" w:rsidRPr="00735249">
        <w:rPr>
          <w:lang w:val="fr-FR"/>
        </w:rPr>
        <w:t xml:space="preserve">59x </w:t>
      </w:r>
      <w:r w:rsidR="006747BA" w:rsidRPr="00735249">
        <w:rPr>
          <w:lang w:val="fr-FR"/>
        </w:rPr>
        <w:t xml:space="preserve">de la norme ST.60 sont déjà toutes </w:t>
      </w:r>
      <w:r w:rsidR="00BE4CFB" w:rsidRPr="00735249">
        <w:rPr>
          <w:lang w:val="fr-FR"/>
        </w:rPr>
        <w:t>utilisée</w:t>
      </w:r>
      <w:r w:rsidR="006747BA" w:rsidRPr="00735249">
        <w:rPr>
          <w:lang w:val="fr-FR"/>
        </w:rPr>
        <w:t>s</w:t>
      </w:r>
      <w:r w:rsidR="00811E54">
        <w:rPr>
          <w:lang w:val="fr-FR"/>
        </w:rPr>
        <w:t> :</w:t>
      </w:r>
    </w:p>
    <w:p w14:paraId="2A9A4674" w14:textId="4703047D" w:rsidR="003304FE" w:rsidRPr="00735249" w:rsidRDefault="00693D80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>Les codes INID 531 à </w:t>
      </w:r>
      <w:r w:rsidR="00BE4CFB" w:rsidRPr="00735249">
        <w:rPr>
          <w:lang w:val="fr-FR"/>
        </w:rPr>
        <w:t>591 sont utilisés pour les descriptions des éléments de la marque.</w:t>
      </w:r>
    </w:p>
    <w:p w14:paraId="03ECFD4D" w14:textId="0EC97D37" w:rsidR="003304FE" w:rsidRPr="00735249" w:rsidRDefault="00BE4CFB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>Les codes</w:t>
      </w:r>
      <w:r w:rsidR="00693D80" w:rsidRPr="00735249">
        <w:rPr>
          <w:lang w:val="fr-FR"/>
        </w:rPr>
        <w:t> </w:t>
      </w:r>
      <w:r w:rsidRPr="00735249">
        <w:rPr>
          <w:lang w:val="fr-FR"/>
        </w:rPr>
        <w:t>53x sont utilisés pour le type de classification.</w:t>
      </w:r>
    </w:p>
    <w:p w14:paraId="59DEA692" w14:textId="77777777" w:rsidR="003304FE" w:rsidRPr="00735249" w:rsidRDefault="00BE4CFB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>Les codes 54x sont utilisés pour les reproductions de la marque.</w:t>
      </w:r>
    </w:p>
    <w:p w14:paraId="6A13E268" w14:textId="288E9EB1" w:rsidR="003304FE" w:rsidRPr="00735249" w:rsidRDefault="00BE4CFB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>Les codes 55x indiquent le type de marq</w:t>
      </w:r>
      <w:r w:rsidR="003216DC" w:rsidRPr="00735249">
        <w:rPr>
          <w:lang w:val="fr-FR"/>
        </w:rPr>
        <w:t>ue</w:t>
      </w:r>
      <w:r w:rsidR="003216DC">
        <w:rPr>
          <w:lang w:val="fr-FR"/>
        </w:rPr>
        <w:t xml:space="preserve">.  </w:t>
      </w:r>
      <w:r w:rsidR="003216DC" w:rsidRPr="00735249">
        <w:rPr>
          <w:lang w:val="fr-FR"/>
        </w:rPr>
        <w:t>To</w:t>
      </w:r>
      <w:r w:rsidRPr="00735249">
        <w:rPr>
          <w:lang w:val="fr-FR"/>
        </w:rPr>
        <w:t>us les codes sont utilisés.</w:t>
      </w:r>
    </w:p>
    <w:p w14:paraId="45718784" w14:textId="6D56FB82" w:rsidR="003304FE" w:rsidRPr="00735249" w:rsidRDefault="00693D80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>Les codes 561 et </w:t>
      </w:r>
      <w:r w:rsidR="00BE4CFB" w:rsidRPr="00735249">
        <w:rPr>
          <w:lang w:val="fr-FR"/>
        </w:rPr>
        <w:t xml:space="preserve">566 </w:t>
      </w:r>
      <w:r w:rsidRPr="00735249">
        <w:rPr>
          <w:lang w:val="fr-FR"/>
        </w:rPr>
        <w:t xml:space="preserve">concernent </w:t>
      </w:r>
      <w:r w:rsidR="00BE4CFB" w:rsidRPr="00735249">
        <w:rPr>
          <w:lang w:val="fr-FR"/>
        </w:rPr>
        <w:t xml:space="preserve">la traduction </w:t>
      </w:r>
      <w:r w:rsidRPr="00735249">
        <w:rPr>
          <w:lang w:val="fr-FR"/>
        </w:rPr>
        <w:t xml:space="preserve">et </w:t>
      </w:r>
      <w:r w:rsidR="00BE4CFB" w:rsidRPr="00735249">
        <w:rPr>
          <w:lang w:val="fr-FR"/>
        </w:rPr>
        <w:t>la translittération.</w:t>
      </w:r>
    </w:p>
    <w:p w14:paraId="5DA2BA73" w14:textId="7C589DC1" w:rsidR="003304FE" w:rsidRPr="00735249" w:rsidRDefault="00BE4CFB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 xml:space="preserve">Le code 571 </w:t>
      </w:r>
      <w:r w:rsidR="00723568" w:rsidRPr="00735249">
        <w:rPr>
          <w:lang w:val="fr-FR"/>
        </w:rPr>
        <w:t xml:space="preserve">concerne </w:t>
      </w:r>
      <w:r w:rsidRPr="00735249">
        <w:rPr>
          <w:lang w:val="fr-FR"/>
        </w:rPr>
        <w:t>la description de la marque.</w:t>
      </w:r>
    </w:p>
    <w:p w14:paraId="5F25B1F1" w14:textId="504B56D4" w:rsidR="003304FE" w:rsidRPr="00735249" w:rsidRDefault="00BE4CFB" w:rsidP="00735249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735249">
        <w:rPr>
          <w:lang w:val="fr-FR"/>
        </w:rPr>
        <w:t xml:space="preserve">Les codes 58x </w:t>
      </w:r>
      <w:r w:rsidR="00D93A9C" w:rsidRPr="00735249">
        <w:rPr>
          <w:lang w:val="fr-FR"/>
        </w:rPr>
        <w:t>sont utilisés pour l</w:t>
      </w:r>
      <w:r w:rsidRPr="00735249">
        <w:rPr>
          <w:lang w:val="fr-FR"/>
        </w:rPr>
        <w:t>es informations relatives aux dates.</w:t>
      </w:r>
    </w:p>
    <w:p w14:paraId="59F0E9AF" w14:textId="425E9A43" w:rsidR="003304FE" w:rsidRPr="00735249" w:rsidRDefault="00BE4CFB" w:rsidP="00735249">
      <w:pPr>
        <w:pStyle w:val="ListParagraph"/>
        <w:numPr>
          <w:ilvl w:val="0"/>
          <w:numId w:val="16"/>
        </w:numPr>
        <w:spacing w:after="220"/>
        <w:ind w:left="1134" w:hanging="567"/>
        <w:contextualSpacing w:val="0"/>
        <w:rPr>
          <w:lang w:val="fr-FR"/>
        </w:rPr>
      </w:pPr>
      <w:r w:rsidRPr="00735249">
        <w:rPr>
          <w:lang w:val="fr-FR"/>
        </w:rPr>
        <w:t xml:space="preserve">Le code 591 </w:t>
      </w:r>
      <w:r w:rsidR="00FE09C6" w:rsidRPr="00735249">
        <w:rPr>
          <w:lang w:val="fr-FR"/>
        </w:rPr>
        <w:t>se rapporte aux</w:t>
      </w:r>
      <w:r w:rsidRPr="00735249">
        <w:rPr>
          <w:lang w:val="fr-FR"/>
        </w:rPr>
        <w:t xml:space="preserve"> couleurs de la marq</w:t>
      </w:r>
      <w:r w:rsidR="003216DC" w:rsidRPr="00735249">
        <w:rPr>
          <w:lang w:val="fr-FR"/>
        </w:rPr>
        <w:t>ue</w:t>
      </w:r>
      <w:r w:rsidR="003216DC">
        <w:rPr>
          <w:lang w:val="fr-FR"/>
        </w:rPr>
        <w:t xml:space="preserve">.  </w:t>
      </w:r>
      <w:r w:rsidR="003216DC" w:rsidRPr="00735249">
        <w:rPr>
          <w:lang w:val="fr-FR"/>
        </w:rPr>
        <w:t>Le</w:t>
      </w:r>
      <w:r w:rsidR="00550D0D" w:rsidRPr="00735249">
        <w:rPr>
          <w:lang w:val="fr-FR"/>
        </w:rPr>
        <w:t xml:space="preserve">s autres codes </w:t>
      </w:r>
      <w:r w:rsidR="00855095" w:rsidRPr="00735249">
        <w:rPr>
          <w:lang w:val="fr-FR"/>
        </w:rPr>
        <w:t>de la plage</w:t>
      </w:r>
      <w:r w:rsidR="00550D0D" w:rsidRPr="00735249">
        <w:rPr>
          <w:lang w:val="fr-FR"/>
        </w:rPr>
        <w:t> </w:t>
      </w:r>
      <w:r w:rsidR="00855095" w:rsidRPr="00735249">
        <w:rPr>
          <w:lang w:val="fr-FR"/>
        </w:rPr>
        <w:t>59x ne sont pas utilisés.</w:t>
      </w:r>
    </w:p>
    <w:p w14:paraId="1ADB97AD" w14:textId="42877054" w:rsidR="003304FE" w:rsidRPr="00735249" w:rsidRDefault="00BA0AF7" w:rsidP="00735249">
      <w:pPr>
        <w:pStyle w:val="ONUMFS"/>
        <w:rPr>
          <w:lang w:val="fr-FR"/>
        </w:rPr>
      </w:pPr>
      <w:r w:rsidRPr="00735249">
        <w:rPr>
          <w:lang w:val="fr-FR"/>
        </w:rPr>
        <w:t>É</w:t>
      </w:r>
      <w:r w:rsidR="006C1652" w:rsidRPr="00735249">
        <w:rPr>
          <w:lang w:val="fr-FR"/>
        </w:rPr>
        <w:t xml:space="preserve">tant donné que tous les codes de la plage 55x sont </w:t>
      </w:r>
      <w:r w:rsidR="001D1229" w:rsidRPr="00735249">
        <w:rPr>
          <w:lang w:val="fr-FR"/>
        </w:rPr>
        <w:t>en usage</w:t>
      </w:r>
      <w:r w:rsidR="006C1652" w:rsidRPr="00735249">
        <w:rPr>
          <w:lang w:val="fr-FR"/>
        </w:rPr>
        <w:t>, et que les</w:t>
      </w:r>
      <w:r w:rsidRPr="00735249">
        <w:rPr>
          <w:lang w:val="fr-FR"/>
        </w:rPr>
        <w:t xml:space="preserve"> autres plages comprises entre 53x et </w:t>
      </w:r>
      <w:r w:rsidR="006C1652" w:rsidRPr="00735249">
        <w:rPr>
          <w:lang w:val="fr-FR"/>
        </w:rPr>
        <w:t>58x sont utilisées pour différents types d</w:t>
      </w:r>
      <w:r w:rsidR="00811E54">
        <w:rPr>
          <w:lang w:val="fr-FR"/>
        </w:rPr>
        <w:t>’</w:t>
      </w:r>
      <w:r w:rsidR="006C1652" w:rsidRPr="00735249">
        <w:rPr>
          <w:lang w:val="fr-FR"/>
        </w:rPr>
        <w:t>informations qui n</w:t>
      </w:r>
      <w:r w:rsidR="00811E54">
        <w:rPr>
          <w:lang w:val="fr-FR"/>
        </w:rPr>
        <w:t>’</w:t>
      </w:r>
      <w:r w:rsidRPr="00735249">
        <w:rPr>
          <w:lang w:val="fr-FR"/>
        </w:rPr>
        <w:t xml:space="preserve">ont pas seulement trait au </w:t>
      </w:r>
      <w:r w:rsidR="006C1652" w:rsidRPr="00735249">
        <w:rPr>
          <w:lang w:val="fr-FR"/>
        </w:rPr>
        <w:t>type de marque, l</w:t>
      </w:r>
      <w:r w:rsidR="00811E54">
        <w:rPr>
          <w:lang w:val="fr-FR"/>
        </w:rPr>
        <w:t>’</w:t>
      </w:r>
      <w:r w:rsidR="006C1652"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="006C1652" w:rsidRPr="00735249">
        <w:rPr>
          <w:lang w:val="fr-FR"/>
        </w:rPr>
        <w:t xml:space="preserve">experts a estimé que la plage 59x était celle qui </w:t>
      </w:r>
      <w:r w:rsidR="00344BCE" w:rsidRPr="00735249">
        <w:rPr>
          <w:lang w:val="fr-FR"/>
        </w:rPr>
        <w:t>se prêtait le mieux à la création de</w:t>
      </w:r>
      <w:r w:rsidR="006C1652" w:rsidRPr="00735249">
        <w:rPr>
          <w:lang w:val="fr-FR"/>
        </w:rPr>
        <w:t xml:space="preserve"> nouveaux codes concernant les marques verbales et les marques figuratives.</w:t>
      </w:r>
    </w:p>
    <w:p w14:paraId="13EDD7FF" w14:textId="328EB39A" w:rsidR="003304FE" w:rsidRPr="00735249" w:rsidRDefault="004757E2" w:rsidP="00735249">
      <w:pPr>
        <w:pStyle w:val="ONUMFS"/>
        <w:rPr>
          <w:lang w:val="fr-FR"/>
        </w:rPr>
      </w:pPr>
      <w:r w:rsidRPr="00735249">
        <w:rPr>
          <w:lang w:val="fr-FR"/>
        </w:rPr>
        <w:t>L</w:t>
      </w:r>
      <w:r w:rsidR="00811E54">
        <w:rPr>
          <w:lang w:val="fr-FR"/>
        </w:rPr>
        <w:t>’</w:t>
      </w:r>
      <w:r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Pr="00735249">
        <w:rPr>
          <w:lang w:val="fr-FR"/>
        </w:rPr>
        <w:t>experts propose d</w:t>
      </w:r>
      <w:r w:rsidR="00811E54">
        <w:rPr>
          <w:lang w:val="fr-FR"/>
        </w:rPr>
        <w:t>’</w:t>
      </w:r>
      <w:r w:rsidRPr="00735249">
        <w:rPr>
          <w:lang w:val="fr-FR"/>
        </w:rPr>
        <w:t>ajouter les codes suivants à la norme ST.60 de l</w:t>
      </w:r>
      <w:r w:rsidR="00811E54">
        <w:rPr>
          <w:lang w:val="fr-FR"/>
        </w:rPr>
        <w:t>’</w:t>
      </w:r>
      <w:r w:rsidRPr="00735249">
        <w:rPr>
          <w:lang w:val="fr-FR"/>
        </w:rPr>
        <w:t>OMPI, et d</w:t>
      </w:r>
      <w:r w:rsidR="00811E54">
        <w:rPr>
          <w:lang w:val="fr-FR"/>
        </w:rPr>
        <w:t>’</w:t>
      </w:r>
      <w:r w:rsidRPr="00735249">
        <w:rPr>
          <w:lang w:val="fr-FR"/>
        </w:rPr>
        <w:t>insérer une note y relative dans le registre des modifications qui figure à l</w:t>
      </w:r>
      <w:r w:rsidR="00811E54">
        <w:rPr>
          <w:lang w:val="fr-FR"/>
        </w:rPr>
        <w:t>’</w:t>
      </w:r>
      <w:r w:rsidRPr="00735249">
        <w:rPr>
          <w:lang w:val="fr-FR"/>
        </w:rPr>
        <w:t>appendice 2 de la norme ST.60 de l</w:t>
      </w:r>
      <w:r w:rsidR="00811E54">
        <w:rPr>
          <w:lang w:val="fr-FR"/>
        </w:rPr>
        <w:t>’</w:t>
      </w:r>
      <w:r w:rsidRPr="00735249">
        <w:rPr>
          <w:lang w:val="fr-FR"/>
        </w:rPr>
        <w:t>OMPI</w:t>
      </w:r>
      <w:r w:rsidR="00811E54">
        <w:rPr>
          <w:lang w:val="fr-FR"/>
        </w:rPr>
        <w:t> :</w:t>
      </w:r>
    </w:p>
    <w:p w14:paraId="689BBD16" w14:textId="25EFB18C" w:rsidR="003304FE" w:rsidRPr="00735249" w:rsidRDefault="004757E2" w:rsidP="00735249">
      <w:pPr>
        <w:pStyle w:val="ONUMFS"/>
        <w:numPr>
          <w:ilvl w:val="0"/>
          <w:numId w:val="0"/>
        </w:numPr>
        <w:rPr>
          <w:lang w:val="fr-FR"/>
        </w:rPr>
      </w:pPr>
      <w:r w:rsidRPr="00735249">
        <w:rPr>
          <w:lang w:val="fr-FR"/>
        </w:rPr>
        <w:t>page 4</w:t>
      </w:r>
    </w:p>
    <w:p w14:paraId="78694FBE" w14:textId="77777777" w:rsidR="003304FE" w:rsidRPr="00735249" w:rsidRDefault="004757E2" w:rsidP="004757E2">
      <w:pPr>
        <w:keepNext/>
        <w:ind w:left="567"/>
        <w:rPr>
          <w:lang w:val="fr-FR"/>
        </w:rPr>
      </w:pPr>
      <w:r w:rsidRPr="00735249">
        <w:rPr>
          <w:lang w:val="fr-FR"/>
        </w:rPr>
        <w:t>Description des éléments figuratifs de la marque</w:t>
      </w:r>
    </w:p>
    <w:p w14:paraId="5A2D3544" w14:textId="2A349396" w:rsidR="003304FE" w:rsidRPr="00735249" w:rsidRDefault="004757E2" w:rsidP="00735249">
      <w:pPr>
        <w:keepNext/>
        <w:ind w:left="567" w:firstLine="567"/>
        <w:rPr>
          <w:lang w:val="fr-FR"/>
        </w:rPr>
      </w:pPr>
      <w:r w:rsidRPr="00735249">
        <w:rPr>
          <w:lang w:val="fr-FR"/>
        </w:rPr>
        <w:t>[…]</w:t>
      </w:r>
    </w:p>
    <w:p w14:paraId="06E88B76" w14:textId="77777777" w:rsidR="005F1B05" w:rsidRDefault="00CF3DB6" w:rsidP="005F1B05">
      <w:pPr>
        <w:keepNext/>
        <w:ind w:left="1701" w:hanging="567"/>
        <w:rPr>
          <w:lang w:val="fr-FR"/>
        </w:rPr>
      </w:pPr>
      <w:r w:rsidRPr="00735249">
        <w:rPr>
          <w:lang w:val="fr-FR"/>
        </w:rPr>
        <w:t>(581)</w:t>
      </w:r>
      <w:r w:rsidRPr="00735249">
        <w:rPr>
          <w:lang w:val="fr-FR"/>
        </w:rPr>
        <w:tab/>
        <w:t xml:space="preserve">Date </w:t>
      </w:r>
      <w:r w:rsidR="004757E2" w:rsidRPr="00735249">
        <w:rPr>
          <w:lang w:val="fr-FR"/>
        </w:rPr>
        <w:t>de</w:t>
      </w:r>
      <w:r w:rsidRPr="00735249">
        <w:rPr>
          <w:lang w:val="fr-FR"/>
        </w:rPr>
        <w:t xml:space="preserve"> notification </w:t>
      </w:r>
      <w:r w:rsidR="004757E2" w:rsidRPr="00735249">
        <w:rPr>
          <w:lang w:val="fr-FR"/>
        </w:rPr>
        <w:t xml:space="preserve">par le </w:t>
      </w:r>
      <w:r w:rsidRPr="00735249">
        <w:rPr>
          <w:lang w:val="fr-FR"/>
        </w:rPr>
        <w:t xml:space="preserve">Bureau </w:t>
      </w:r>
      <w:r w:rsidR="004757E2" w:rsidRPr="00735249">
        <w:rPr>
          <w:lang w:val="fr-FR"/>
        </w:rPr>
        <w:t>international aux parties contractantes désignées</w:t>
      </w:r>
    </w:p>
    <w:p w14:paraId="163FE94F" w14:textId="455FCA81" w:rsidR="003304FE" w:rsidRPr="00735249" w:rsidRDefault="00CF3DB6" w:rsidP="005F1B05">
      <w:pPr>
        <w:keepNext/>
        <w:ind w:left="1701" w:hanging="567"/>
        <w:rPr>
          <w:lang w:val="fr-FR"/>
        </w:rPr>
      </w:pPr>
      <w:r w:rsidRPr="00735249">
        <w:rPr>
          <w:lang w:val="fr-FR"/>
        </w:rPr>
        <w:t>(591)</w:t>
      </w:r>
      <w:r w:rsidRPr="00735249">
        <w:rPr>
          <w:lang w:val="fr-FR"/>
        </w:rPr>
        <w:tab/>
        <w:t>Information</w:t>
      </w:r>
      <w:r w:rsidR="004757E2" w:rsidRPr="00735249">
        <w:rPr>
          <w:lang w:val="fr-FR"/>
        </w:rPr>
        <w:t>s concernant les couleurs revendiquées</w:t>
      </w:r>
    </w:p>
    <w:p w14:paraId="181F46D4" w14:textId="3B96FF3A" w:rsidR="003304FE" w:rsidRPr="00735249" w:rsidRDefault="00CF3DB6" w:rsidP="005F1B05">
      <w:pPr>
        <w:keepNext/>
        <w:ind w:left="1701" w:hanging="567"/>
        <w:rPr>
          <w:u w:val="single"/>
          <w:lang w:val="fr-FR"/>
        </w:rPr>
      </w:pPr>
      <w:r w:rsidRPr="00735249">
        <w:rPr>
          <w:lang w:val="fr-FR"/>
        </w:rPr>
        <w:t>(</w:t>
      </w:r>
      <w:r w:rsidR="005F1B05">
        <w:rPr>
          <w:u w:val="single"/>
          <w:lang w:val="fr-FR"/>
        </w:rPr>
        <w:t>592)</w:t>
      </w:r>
      <w:r w:rsidR="005F1B05">
        <w:rPr>
          <w:u w:val="single"/>
          <w:lang w:val="fr-FR"/>
        </w:rPr>
        <w:tab/>
      </w:r>
      <w:r w:rsidR="004757E2" w:rsidRPr="00735249">
        <w:rPr>
          <w:u w:val="single"/>
          <w:lang w:val="fr-FR"/>
        </w:rPr>
        <w:t>Marque verbale</w:t>
      </w:r>
    </w:p>
    <w:p w14:paraId="589A9BAE" w14:textId="4D26A263" w:rsidR="003304FE" w:rsidRPr="00735249" w:rsidRDefault="00CF3DB6" w:rsidP="005F1B05">
      <w:pPr>
        <w:ind w:left="1701" w:hanging="567"/>
        <w:rPr>
          <w:u w:val="single"/>
          <w:lang w:val="fr-FR"/>
        </w:rPr>
      </w:pPr>
      <w:r w:rsidRPr="00735249">
        <w:rPr>
          <w:u w:val="single"/>
          <w:lang w:val="fr-FR"/>
        </w:rPr>
        <w:t>(593)</w:t>
      </w:r>
      <w:r w:rsidR="005F1B05">
        <w:rPr>
          <w:u w:val="single"/>
          <w:lang w:val="fr-FR"/>
        </w:rPr>
        <w:tab/>
      </w:r>
      <w:r w:rsidR="004757E2" w:rsidRPr="00735249">
        <w:rPr>
          <w:u w:val="single"/>
          <w:lang w:val="fr-FR"/>
        </w:rPr>
        <w:t>Marque figurative</w:t>
      </w:r>
    </w:p>
    <w:p w14:paraId="3E5353E1" w14:textId="77777777" w:rsidR="003304FE" w:rsidRPr="00735249" w:rsidRDefault="003304FE" w:rsidP="005F1B05">
      <w:pPr>
        <w:ind w:left="1134" w:hanging="567"/>
        <w:rPr>
          <w:u w:val="single"/>
          <w:lang w:val="fr-FR"/>
        </w:rPr>
      </w:pPr>
    </w:p>
    <w:p w14:paraId="46214D9C" w14:textId="6369EDC7" w:rsidR="003304FE" w:rsidRPr="00735249" w:rsidRDefault="00CF3DB6" w:rsidP="004757E2">
      <w:pPr>
        <w:ind w:left="572" w:firstLine="562"/>
        <w:rPr>
          <w:i/>
          <w:lang w:val="fr-FR"/>
        </w:rPr>
      </w:pPr>
      <w:r w:rsidRPr="00735249">
        <w:rPr>
          <w:i/>
          <w:lang w:val="fr-FR"/>
        </w:rPr>
        <w:t>(600)</w:t>
      </w:r>
      <w:r w:rsidRPr="00735249">
        <w:rPr>
          <w:i/>
          <w:lang w:val="fr-FR"/>
        </w:rPr>
        <w:tab/>
      </w:r>
      <w:r w:rsidR="004757E2" w:rsidRPr="00735249">
        <w:rPr>
          <w:i/>
          <w:lang w:val="fr-FR"/>
        </w:rPr>
        <w:t>Références à d</w:t>
      </w:r>
      <w:r w:rsidR="00811E54">
        <w:rPr>
          <w:i/>
          <w:lang w:val="fr-FR"/>
        </w:rPr>
        <w:t>’</w:t>
      </w:r>
      <w:r w:rsidR="004757E2" w:rsidRPr="00735249">
        <w:rPr>
          <w:i/>
          <w:lang w:val="fr-FR"/>
        </w:rPr>
        <w:t>autres dépôts et enregistrements de marques juridiquement apparentés</w:t>
      </w:r>
    </w:p>
    <w:p w14:paraId="06AB2CC5" w14:textId="77777777" w:rsidR="003304FE" w:rsidRPr="00735249" w:rsidRDefault="003304FE" w:rsidP="00CF3DB6">
      <w:pPr>
        <w:rPr>
          <w:u w:val="single"/>
          <w:lang w:val="fr-FR"/>
        </w:rPr>
      </w:pPr>
    </w:p>
    <w:p w14:paraId="30437B92" w14:textId="62A95A13" w:rsidR="003304FE" w:rsidRPr="00735249" w:rsidRDefault="004757E2" w:rsidP="00735249">
      <w:pPr>
        <w:keepNext/>
        <w:rPr>
          <w:lang w:val="fr-FR"/>
        </w:rPr>
      </w:pPr>
      <w:r w:rsidRPr="00735249">
        <w:rPr>
          <w:lang w:val="fr-FR"/>
        </w:rPr>
        <w:lastRenderedPageBreak/>
        <w:t>page 11</w:t>
      </w:r>
    </w:p>
    <w:p w14:paraId="192A3A50" w14:textId="796FEF1E" w:rsidR="003304FE" w:rsidRDefault="00D875FC" w:rsidP="00735249">
      <w:pPr>
        <w:pStyle w:val="Heading2"/>
        <w:rPr>
          <w:lang w:val="fr-FR"/>
        </w:rPr>
      </w:pPr>
      <w:r w:rsidRPr="00735249">
        <w:rPr>
          <w:caps w:val="0"/>
          <w:lang w:val="fr-FR"/>
        </w:rPr>
        <w:t>APPENDICE 2</w:t>
      </w:r>
    </w:p>
    <w:p w14:paraId="45172E8F" w14:textId="77777777" w:rsidR="00735249" w:rsidRPr="00735249" w:rsidRDefault="00735249" w:rsidP="00735249">
      <w:pPr>
        <w:keepNext/>
        <w:rPr>
          <w:lang w:val="fr-FR"/>
        </w:rPr>
      </w:pPr>
    </w:p>
    <w:tbl>
      <w:tblPr>
        <w:tblW w:w="490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48"/>
        <w:gridCol w:w="2552"/>
        <w:gridCol w:w="1874"/>
        <w:gridCol w:w="1701"/>
        <w:gridCol w:w="2268"/>
      </w:tblGrid>
      <w:tr w:rsidR="00735249" w:rsidRPr="00735249" w14:paraId="14F288AE" w14:textId="77777777" w:rsidTr="00735249">
        <w:trPr>
          <w:tblHeader/>
          <w:jc w:val="center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88D765" w14:textId="1170ACD0" w:rsidR="00CF3DB6" w:rsidRPr="00735249" w:rsidRDefault="00CF3DB6" w:rsidP="00735249">
            <w:pPr>
              <w:pStyle w:val="TrowF"/>
              <w:spacing w:before="0"/>
              <w:jc w:val="center"/>
              <w:rPr>
                <w:b/>
                <w:lang w:val="fr-FR"/>
              </w:rPr>
            </w:pPr>
            <w:r w:rsidRPr="00735249">
              <w:rPr>
                <w:b/>
                <w:lang w:val="fr-FR"/>
              </w:rPr>
              <w:t>Code</w:t>
            </w:r>
            <w:r w:rsidR="004757E2" w:rsidRPr="00735249">
              <w:rPr>
                <w:b/>
                <w:lang w:val="fr-FR"/>
              </w:rPr>
              <w:t xml:space="preserve"> INID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14:paraId="6BBBF643" w14:textId="0202C762" w:rsidR="00CF3DB6" w:rsidRPr="00735249" w:rsidRDefault="004757E2" w:rsidP="00735249">
            <w:pPr>
              <w:pStyle w:val="TrowF"/>
              <w:spacing w:before="0"/>
              <w:jc w:val="center"/>
              <w:rPr>
                <w:b/>
                <w:lang w:val="fr-FR"/>
              </w:rPr>
            </w:pPr>
            <w:r w:rsidRPr="00735249">
              <w:rPr>
                <w:b/>
                <w:lang w:val="fr-FR"/>
              </w:rPr>
              <w:t>Définition antérieure du code</w:t>
            </w:r>
          </w:p>
        </w:tc>
        <w:tc>
          <w:tcPr>
            <w:tcW w:w="1874" w:type="dxa"/>
            <w:tcBorders>
              <w:top w:val="single" w:sz="12" w:space="0" w:color="auto"/>
              <w:bottom w:val="single" w:sz="12" w:space="0" w:color="auto"/>
            </w:tcBorders>
          </w:tcPr>
          <w:p w14:paraId="24E34780" w14:textId="24686726" w:rsidR="00CF3DB6" w:rsidRPr="00735249" w:rsidRDefault="004757E2" w:rsidP="00735249">
            <w:pPr>
              <w:pStyle w:val="TrowF"/>
              <w:spacing w:before="0"/>
              <w:jc w:val="center"/>
              <w:rPr>
                <w:b/>
                <w:lang w:val="fr-FR"/>
              </w:rPr>
            </w:pPr>
            <w:r w:rsidRPr="00735249">
              <w:rPr>
                <w:b/>
                <w:lang w:val="fr-FR"/>
              </w:rPr>
              <w:t>Note pertinente antérieure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E3AC75A" w14:textId="2ED75C5C" w:rsidR="00CF3DB6" w:rsidRPr="00735249" w:rsidRDefault="00CF3DB6" w:rsidP="00735249">
            <w:pPr>
              <w:pStyle w:val="TrowF"/>
              <w:spacing w:before="0"/>
              <w:jc w:val="center"/>
              <w:rPr>
                <w:b/>
                <w:lang w:val="fr-FR"/>
              </w:rPr>
            </w:pPr>
            <w:r w:rsidRPr="00735249">
              <w:rPr>
                <w:b/>
                <w:lang w:val="fr-FR"/>
              </w:rPr>
              <w:t>D</w:t>
            </w:r>
            <w:r w:rsidR="00662198" w:rsidRPr="00735249">
              <w:rPr>
                <w:b/>
                <w:lang w:val="fr-FR"/>
              </w:rPr>
              <w:t>ate de la suppression ou modification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E96F8" w14:textId="6AF62515" w:rsidR="00CF3DB6" w:rsidRPr="00735249" w:rsidRDefault="00662198" w:rsidP="00735249">
            <w:pPr>
              <w:pStyle w:val="TrowF"/>
              <w:spacing w:before="0"/>
              <w:jc w:val="center"/>
              <w:rPr>
                <w:b/>
                <w:lang w:val="fr-FR"/>
              </w:rPr>
            </w:pPr>
            <w:r w:rsidRPr="00735249">
              <w:rPr>
                <w:b/>
                <w:lang w:val="fr-FR"/>
              </w:rPr>
              <w:t>Type de changement</w:t>
            </w:r>
          </w:p>
        </w:tc>
      </w:tr>
      <w:tr w:rsidR="00735249" w:rsidRPr="00735249" w14:paraId="30FF9A76" w14:textId="77777777" w:rsidTr="00735249">
        <w:trPr>
          <w:jc w:val="center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4257" w14:textId="77777777" w:rsidR="003304FE" w:rsidRPr="00735249" w:rsidRDefault="00CF3DB6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>(592)</w:t>
            </w:r>
          </w:p>
          <w:p w14:paraId="10752AEB" w14:textId="77777777" w:rsidR="003304FE" w:rsidRPr="00735249" w:rsidRDefault="00662198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>et</w:t>
            </w:r>
          </w:p>
          <w:p w14:paraId="17841969" w14:textId="1A7EE072" w:rsidR="00CF3DB6" w:rsidRPr="00735249" w:rsidRDefault="00CF3DB6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>(593)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933B" w14:textId="77777777" w:rsidR="00CF3DB6" w:rsidRPr="00735249" w:rsidRDefault="00CF3DB6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>–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2037" w14:textId="77777777" w:rsidR="00CF3DB6" w:rsidRPr="00735249" w:rsidRDefault="00CF3DB6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>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0B965" w14:textId="27EDB038" w:rsidR="00CF3DB6" w:rsidRPr="00735249" w:rsidRDefault="00662198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>xx juillet </w:t>
            </w:r>
            <w:r w:rsidR="00CF3DB6" w:rsidRPr="00735249">
              <w:rPr>
                <w:u w:val="single"/>
                <w:lang w:val="fr-FR"/>
              </w:rPr>
              <w:t>2019, CWS/7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2240" w14:textId="2D74C609" w:rsidR="00CF3DB6" w:rsidRPr="00735249" w:rsidRDefault="00CF3DB6" w:rsidP="00735249">
            <w:pPr>
              <w:pStyle w:val="TrowF"/>
              <w:spacing w:before="0"/>
              <w:rPr>
                <w:u w:val="single"/>
                <w:lang w:val="fr-FR"/>
              </w:rPr>
            </w:pPr>
            <w:r w:rsidRPr="00735249">
              <w:rPr>
                <w:u w:val="single"/>
                <w:lang w:val="fr-FR"/>
              </w:rPr>
              <w:t xml:space="preserve">Code </w:t>
            </w:r>
            <w:r w:rsidR="00662198" w:rsidRPr="00735249">
              <w:rPr>
                <w:u w:val="single"/>
                <w:lang w:val="fr-FR"/>
              </w:rPr>
              <w:t>ajouté</w:t>
            </w:r>
          </w:p>
        </w:tc>
      </w:tr>
    </w:tbl>
    <w:p w14:paraId="79FC2101" w14:textId="77777777" w:rsidR="003304FE" w:rsidRPr="00735249" w:rsidRDefault="003304FE" w:rsidP="006C2347">
      <w:pPr>
        <w:rPr>
          <w:u w:val="single"/>
          <w:lang w:val="fr-FR"/>
        </w:rPr>
      </w:pPr>
    </w:p>
    <w:p w14:paraId="4F3B2AE8" w14:textId="7516EFFD" w:rsidR="003304FE" w:rsidRPr="00735249" w:rsidRDefault="003304FE" w:rsidP="00735249">
      <w:pPr>
        <w:pStyle w:val="ONUMFS"/>
        <w:rPr>
          <w:lang w:val="fr-FR"/>
        </w:rPr>
      </w:pPr>
      <w:r w:rsidRPr="00735249">
        <w:rPr>
          <w:lang w:val="fr-FR"/>
        </w:rPr>
        <w:t xml:space="preserve">En ce qui concerne les deux autres </w:t>
      </w:r>
      <w:r w:rsidR="00A238AB" w:rsidRPr="00735249">
        <w:rPr>
          <w:lang w:val="fr-FR"/>
        </w:rPr>
        <w:t>éléments</w:t>
      </w:r>
      <w:r w:rsidRPr="00735249">
        <w:rPr>
          <w:lang w:val="fr-FR"/>
        </w:rPr>
        <w:t xml:space="preserve"> de la tâche n° 60, </w:t>
      </w:r>
      <w:r w:rsidR="00811E54">
        <w:rPr>
          <w:lang w:val="fr-FR"/>
        </w:rPr>
        <w:t>à savoir</w:t>
      </w:r>
      <w:r w:rsidRPr="00735249">
        <w:rPr>
          <w:lang w:val="fr-FR"/>
        </w:rPr>
        <w:t xml:space="preserve"> la division du code INID (551) et l</w:t>
      </w:r>
      <w:r w:rsidR="00811E54">
        <w:rPr>
          <w:lang w:val="fr-FR"/>
        </w:rPr>
        <w:t>’</w:t>
      </w:r>
      <w:r w:rsidRPr="00735249">
        <w:rPr>
          <w:lang w:val="fr-FR"/>
        </w:rPr>
        <w:t>éventuelle création d</w:t>
      </w:r>
      <w:r w:rsidR="00811E54">
        <w:rPr>
          <w:lang w:val="fr-FR"/>
        </w:rPr>
        <w:t>’</w:t>
      </w:r>
      <w:r w:rsidRPr="00735249">
        <w:rPr>
          <w:lang w:val="fr-FR"/>
        </w:rPr>
        <w:t xml:space="preserve">un code INID pour les marques combinées, </w:t>
      </w:r>
      <w:r w:rsidR="00C07BE5" w:rsidRPr="00735249">
        <w:rPr>
          <w:lang w:val="fr-FR"/>
        </w:rPr>
        <w:t>l</w:t>
      </w:r>
      <w:r w:rsidR="00811E54">
        <w:rPr>
          <w:lang w:val="fr-FR"/>
        </w:rPr>
        <w:t>’</w:t>
      </w:r>
      <w:r w:rsidR="00C07BE5" w:rsidRPr="00735249">
        <w:rPr>
          <w:lang w:val="fr-FR"/>
        </w:rPr>
        <w:t>équipe d</w:t>
      </w:r>
      <w:r w:rsidR="00811E54">
        <w:rPr>
          <w:lang w:val="fr-FR"/>
        </w:rPr>
        <w:t>’</w:t>
      </w:r>
      <w:r w:rsidR="00C07BE5" w:rsidRPr="00735249">
        <w:rPr>
          <w:lang w:val="fr-FR"/>
        </w:rPr>
        <w:t xml:space="preserve">experts </w:t>
      </w:r>
      <w:r w:rsidRPr="00735249">
        <w:rPr>
          <w:lang w:val="fr-FR"/>
        </w:rPr>
        <w:t>propose qu</w:t>
      </w:r>
      <w:r w:rsidR="00811E54">
        <w:rPr>
          <w:lang w:val="fr-FR"/>
        </w:rPr>
        <w:t>’</w:t>
      </w:r>
      <w:r w:rsidRPr="00735249">
        <w:rPr>
          <w:lang w:val="fr-FR"/>
        </w:rPr>
        <w:t>aucune modification ne soit effectuée (voir le document CWS/7/18).</w:t>
      </w:r>
    </w:p>
    <w:p w14:paraId="5E88C41C" w14:textId="203A2B06" w:rsidR="003304FE" w:rsidRPr="00735249" w:rsidRDefault="003304FE" w:rsidP="00735249">
      <w:pPr>
        <w:pStyle w:val="ONUMFS"/>
        <w:ind w:left="5533"/>
        <w:rPr>
          <w:i/>
          <w:lang w:val="fr-FR"/>
        </w:rPr>
      </w:pPr>
      <w:r w:rsidRPr="00735249">
        <w:rPr>
          <w:i/>
          <w:lang w:val="fr-FR"/>
        </w:rPr>
        <w:t>Le CWS est invité</w:t>
      </w:r>
    </w:p>
    <w:p w14:paraId="65DD479B" w14:textId="38C53AFB" w:rsidR="003304FE" w:rsidRPr="00735249" w:rsidRDefault="003304FE" w:rsidP="00735249">
      <w:pPr>
        <w:pStyle w:val="ONUMFS"/>
        <w:numPr>
          <w:ilvl w:val="1"/>
          <w:numId w:val="11"/>
        </w:numPr>
        <w:ind w:left="5533"/>
        <w:rPr>
          <w:i/>
          <w:lang w:val="fr-FR"/>
        </w:rPr>
      </w:pPr>
      <w:r w:rsidRPr="00735249">
        <w:rPr>
          <w:i/>
          <w:lang w:val="fr-FR"/>
        </w:rPr>
        <w:t>à prendre note du contenu du présent document et</w:t>
      </w:r>
    </w:p>
    <w:p w14:paraId="2552EF33" w14:textId="37EC484A" w:rsidR="003304FE" w:rsidRPr="00735249" w:rsidRDefault="003304FE" w:rsidP="00BD7BEA">
      <w:pPr>
        <w:pStyle w:val="ONUMFS"/>
        <w:numPr>
          <w:ilvl w:val="1"/>
          <w:numId w:val="11"/>
        </w:numPr>
        <w:spacing w:after="0"/>
        <w:ind w:left="5533"/>
        <w:rPr>
          <w:i/>
          <w:lang w:val="fr-FR"/>
        </w:rPr>
      </w:pPr>
      <w:r w:rsidRPr="00735249">
        <w:rPr>
          <w:i/>
          <w:lang w:val="fr-FR"/>
        </w:rPr>
        <w:t xml:space="preserve">à adopter la proposition </w:t>
      </w:r>
      <w:r w:rsidR="00C07BE5" w:rsidRPr="00735249">
        <w:rPr>
          <w:i/>
          <w:lang w:val="fr-FR"/>
        </w:rPr>
        <w:t xml:space="preserve">visant à </w:t>
      </w:r>
      <w:r w:rsidRPr="00735249">
        <w:rPr>
          <w:i/>
          <w:lang w:val="fr-FR"/>
        </w:rPr>
        <w:t xml:space="preserve">créer </w:t>
      </w:r>
      <w:r w:rsidR="00C07BE5" w:rsidRPr="00735249">
        <w:rPr>
          <w:i/>
          <w:lang w:val="fr-FR"/>
        </w:rPr>
        <w:t>de</w:t>
      </w:r>
      <w:r w:rsidRPr="00735249">
        <w:rPr>
          <w:i/>
          <w:lang w:val="fr-FR"/>
        </w:rPr>
        <w:t xml:space="preserve"> nouveaux codes INID concernant les marques verbales et les marques figuratives </w:t>
      </w:r>
      <w:r w:rsidR="00C07BE5" w:rsidRPr="00735249">
        <w:rPr>
          <w:i/>
          <w:lang w:val="fr-FR"/>
        </w:rPr>
        <w:t>tels qu</w:t>
      </w:r>
      <w:r w:rsidR="00811E54">
        <w:rPr>
          <w:i/>
          <w:lang w:val="fr-FR"/>
        </w:rPr>
        <w:t>’</w:t>
      </w:r>
      <w:r w:rsidR="00C07BE5" w:rsidRPr="00735249">
        <w:rPr>
          <w:i/>
          <w:lang w:val="fr-FR"/>
        </w:rPr>
        <w:t>ils figurent</w:t>
      </w:r>
      <w:r w:rsidRPr="00735249">
        <w:rPr>
          <w:i/>
          <w:lang w:val="fr-FR"/>
        </w:rPr>
        <w:t xml:space="preserve"> au paragraphe 6 ci</w:t>
      </w:r>
      <w:r w:rsidR="00811E54">
        <w:rPr>
          <w:i/>
          <w:lang w:val="fr-FR"/>
        </w:rPr>
        <w:t>-</w:t>
      </w:r>
      <w:r w:rsidRPr="00735249">
        <w:rPr>
          <w:i/>
          <w:lang w:val="fr-FR"/>
        </w:rPr>
        <w:t>dessus.</w:t>
      </w:r>
    </w:p>
    <w:p w14:paraId="79AF442D" w14:textId="77777777" w:rsidR="003304FE" w:rsidRPr="00735249" w:rsidRDefault="003304FE" w:rsidP="00BD7BEA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0"/>
        <w:rPr>
          <w:i/>
          <w:lang w:val="fr-FR"/>
        </w:rPr>
      </w:pPr>
    </w:p>
    <w:p w14:paraId="53D76B95" w14:textId="77777777" w:rsidR="003304FE" w:rsidRPr="00735249" w:rsidRDefault="003304FE" w:rsidP="00BD7BEA">
      <w:pPr>
        <w:pStyle w:val="BodyText"/>
        <w:keepNext/>
        <w:keepLines/>
        <w:tabs>
          <w:tab w:val="left" w:pos="6160"/>
          <w:tab w:val="left" w:pos="6710"/>
        </w:tabs>
        <w:spacing w:after="0"/>
        <w:ind w:left="5530"/>
        <w:rPr>
          <w:i/>
          <w:lang w:val="fr-FR"/>
        </w:rPr>
      </w:pPr>
    </w:p>
    <w:p w14:paraId="043BD000" w14:textId="3379DBCD" w:rsidR="008B7A90" w:rsidRPr="00735249" w:rsidRDefault="003304FE" w:rsidP="00735249">
      <w:pPr>
        <w:pStyle w:val="Endofdocument-Annex"/>
      </w:pPr>
      <w:r w:rsidRPr="00735249">
        <w:t>[Fin du document]</w:t>
      </w:r>
    </w:p>
    <w:sectPr w:rsidR="008B7A90" w:rsidRPr="00735249" w:rsidSect="00735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EAA2B" w14:textId="77777777" w:rsidR="00C87649" w:rsidRDefault="00C87649">
      <w:r>
        <w:separator/>
      </w:r>
    </w:p>
  </w:endnote>
  <w:endnote w:type="continuationSeparator" w:id="0">
    <w:p w14:paraId="4028CCA0" w14:textId="77777777" w:rsidR="00C87649" w:rsidRDefault="00C87649" w:rsidP="003B38C1">
      <w:r>
        <w:separator/>
      </w:r>
    </w:p>
    <w:p w14:paraId="783ED9B5" w14:textId="77777777" w:rsidR="00C87649" w:rsidRPr="00BD7BEA" w:rsidRDefault="00C87649" w:rsidP="003B38C1">
      <w:pPr>
        <w:spacing w:after="60"/>
        <w:rPr>
          <w:sz w:val="17"/>
          <w:lang w:val="en-US"/>
        </w:rPr>
      </w:pPr>
      <w:r w:rsidRPr="00BD7BEA">
        <w:rPr>
          <w:sz w:val="17"/>
          <w:lang w:val="en-US"/>
        </w:rPr>
        <w:t>[Endnote continued from previous page]</w:t>
      </w:r>
    </w:p>
  </w:endnote>
  <w:endnote w:type="continuationNotice" w:id="1">
    <w:p w14:paraId="2300775C" w14:textId="77777777" w:rsidR="00C87649" w:rsidRPr="00BD7BEA" w:rsidRDefault="00C87649" w:rsidP="003B38C1">
      <w:pPr>
        <w:spacing w:before="60"/>
        <w:jc w:val="right"/>
        <w:rPr>
          <w:sz w:val="17"/>
          <w:szCs w:val="17"/>
          <w:lang w:val="en-US"/>
        </w:rPr>
      </w:pPr>
      <w:r w:rsidRPr="00BD7BEA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5EE8D" w14:textId="77777777" w:rsidR="00C27867" w:rsidRDefault="00C27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CF1EE" w14:textId="77777777" w:rsidR="003216DC" w:rsidRDefault="003216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EB83" w14:textId="77777777" w:rsidR="00C27867" w:rsidRDefault="00C27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C543" w14:textId="77777777" w:rsidR="00C87649" w:rsidRDefault="00C87649">
      <w:r>
        <w:separator/>
      </w:r>
    </w:p>
  </w:footnote>
  <w:footnote w:type="continuationSeparator" w:id="0">
    <w:p w14:paraId="28F2DF38" w14:textId="77777777" w:rsidR="00C87649" w:rsidRDefault="00C87649" w:rsidP="008B60B2">
      <w:r>
        <w:separator/>
      </w:r>
    </w:p>
    <w:p w14:paraId="086A1DAC" w14:textId="77777777" w:rsidR="00C87649" w:rsidRPr="00BD7BEA" w:rsidRDefault="00C87649" w:rsidP="008B60B2">
      <w:pPr>
        <w:spacing w:after="60"/>
        <w:rPr>
          <w:sz w:val="17"/>
          <w:szCs w:val="17"/>
          <w:lang w:val="en-US"/>
        </w:rPr>
      </w:pPr>
      <w:r w:rsidRPr="00BD7BEA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42125D9A" w14:textId="77777777" w:rsidR="00C87649" w:rsidRPr="00BD7BEA" w:rsidRDefault="00C87649" w:rsidP="008B60B2">
      <w:pPr>
        <w:spacing w:before="60"/>
        <w:jc w:val="right"/>
        <w:rPr>
          <w:sz w:val="17"/>
          <w:szCs w:val="17"/>
          <w:lang w:val="en-US"/>
        </w:rPr>
      </w:pPr>
      <w:r w:rsidRPr="00BD7BEA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5A7D" w14:textId="77777777" w:rsidR="00C27867" w:rsidRDefault="00C27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125D" w14:textId="3698C26A" w:rsidR="00EC4E49" w:rsidRDefault="003D38D1" w:rsidP="00477D6B">
    <w:pPr>
      <w:jc w:val="right"/>
    </w:pPr>
    <w:bookmarkStart w:id="6" w:name="Code2"/>
    <w:bookmarkEnd w:id="6"/>
    <w:r>
      <w:t>CWS/</w:t>
    </w:r>
    <w:r w:rsidR="006A26F2">
      <w:t>7/19</w:t>
    </w:r>
  </w:p>
  <w:p w14:paraId="7B7776FD" w14:textId="113CA92E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E3EFB">
      <w:rPr>
        <w:noProof/>
      </w:rPr>
      <w:t>2</w:t>
    </w:r>
    <w:r>
      <w:fldChar w:fldCharType="end"/>
    </w:r>
  </w:p>
  <w:p w14:paraId="311CB5C2" w14:textId="77777777" w:rsidR="00EC4E49" w:rsidRDefault="00EC4E49" w:rsidP="00477D6B">
    <w:pPr>
      <w:jc w:val="right"/>
    </w:pPr>
  </w:p>
  <w:p w14:paraId="3575920B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2A73" w14:textId="77777777" w:rsidR="00C27867" w:rsidRDefault="00C27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738E5"/>
    <w:multiLevelType w:val="hybridMultilevel"/>
    <w:tmpl w:val="B254C33E"/>
    <w:lvl w:ilvl="0" w:tplc="066CB9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0CFA"/>
    <w:multiLevelType w:val="hybridMultilevel"/>
    <w:tmpl w:val="9A94C4D6"/>
    <w:lvl w:ilvl="0" w:tplc="F9B663D2">
      <w:start w:val="1"/>
      <w:numFmt w:val="lowerLetter"/>
      <w:lvlText w:val="(%1)"/>
      <w:lvlJc w:val="left"/>
      <w:pPr>
        <w:ind w:left="687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7594" w:hanging="360"/>
      </w:pPr>
    </w:lvl>
    <w:lvl w:ilvl="2" w:tplc="0409001B" w:tentative="1">
      <w:start w:val="1"/>
      <w:numFmt w:val="lowerRoman"/>
      <w:lvlText w:val="%3."/>
      <w:lvlJc w:val="right"/>
      <w:pPr>
        <w:ind w:left="8314" w:hanging="180"/>
      </w:pPr>
    </w:lvl>
    <w:lvl w:ilvl="3" w:tplc="0409000F" w:tentative="1">
      <w:start w:val="1"/>
      <w:numFmt w:val="decimal"/>
      <w:lvlText w:val="%4."/>
      <w:lvlJc w:val="left"/>
      <w:pPr>
        <w:ind w:left="9034" w:hanging="360"/>
      </w:pPr>
    </w:lvl>
    <w:lvl w:ilvl="4" w:tplc="04090019" w:tentative="1">
      <w:start w:val="1"/>
      <w:numFmt w:val="lowerLetter"/>
      <w:lvlText w:val="%5."/>
      <w:lvlJc w:val="left"/>
      <w:pPr>
        <w:ind w:left="9754" w:hanging="360"/>
      </w:pPr>
    </w:lvl>
    <w:lvl w:ilvl="5" w:tplc="0409001B" w:tentative="1">
      <w:start w:val="1"/>
      <w:numFmt w:val="lowerRoman"/>
      <w:lvlText w:val="%6."/>
      <w:lvlJc w:val="right"/>
      <w:pPr>
        <w:ind w:left="10474" w:hanging="180"/>
      </w:pPr>
    </w:lvl>
    <w:lvl w:ilvl="6" w:tplc="0409000F" w:tentative="1">
      <w:start w:val="1"/>
      <w:numFmt w:val="decimal"/>
      <w:lvlText w:val="%7."/>
      <w:lvlJc w:val="left"/>
      <w:pPr>
        <w:ind w:left="11194" w:hanging="360"/>
      </w:pPr>
    </w:lvl>
    <w:lvl w:ilvl="7" w:tplc="04090019" w:tentative="1">
      <w:start w:val="1"/>
      <w:numFmt w:val="lowerLetter"/>
      <w:lvlText w:val="%8."/>
      <w:lvlJc w:val="left"/>
      <w:pPr>
        <w:ind w:left="11914" w:hanging="360"/>
      </w:pPr>
    </w:lvl>
    <w:lvl w:ilvl="8" w:tplc="0409001B" w:tentative="1">
      <w:start w:val="1"/>
      <w:numFmt w:val="lowerRoman"/>
      <w:lvlText w:val="%9."/>
      <w:lvlJc w:val="right"/>
      <w:pPr>
        <w:ind w:left="12634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3D5315"/>
    <w:multiLevelType w:val="hybridMultilevel"/>
    <w:tmpl w:val="44E473F0"/>
    <w:lvl w:ilvl="0" w:tplc="9BCC64E0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4F6D54"/>
    <w:multiLevelType w:val="hybridMultilevel"/>
    <w:tmpl w:val="D9342478"/>
    <w:lvl w:ilvl="0" w:tplc="066CB9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4C85663"/>
    <w:multiLevelType w:val="hybridMultilevel"/>
    <w:tmpl w:val="F30A711E"/>
    <w:lvl w:ilvl="0" w:tplc="066CB9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14EE"/>
    <w:multiLevelType w:val="hybridMultilevel"/>
    <w:tmpl w:val="463AA548"/>
    <w:lvl w:ilvl="0" w:tplc="066CB9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E05CE3"/>
    <w:multiLevelType w:val="hybridMultilevel"/>
    <w:tmpl w:val="5AC0F72E"/>
    <w:lvl w:ilvl="0" w:tplc="066CB9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C2693"/>
    <w:multiLevelType w:val="hybridMultilevel"/>
    <w:tmpl w:val="3F585D9A"/>
    <w:lvl w:ilvl="0" w:tplc="E1D8A5F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DB146CB"/>
    <w:multiLevelType w:val="hybridMultilevel"/>
    <w:tmpl w:val="2B54B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3"/>
  </w:num>
  <w:num w:numId="6">
    <w:abstractNumId w:val="7"/>
  </w:num>
  <w:num w:numId="7">
    <w:abstractNumId w:val="13"/>
  </w:num>
  <w:num w:numId="8">
    <w:abstractNumId w:val="2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1"/>
  </w:num>
  <w:num w:numId="14">
    <w:abstractNumId w:val="12"/>
  </w:num>
  <w:num w:numId="15">
    <w:abstractNumId w:val="8"/>
  </w:num>
  <w:num w:numId="16">
    <w:abstractNumId w:val="5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Default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3D38D1"/>
    <w:rsid w:val="00005505"/>
    <w:rsid w:val="00043CAA"/>
    <w:rsid w:val="00066BA1"/>
    <w:rsid w:val="000700ED"/>
    <w:rsid w:val="00075432"/>
    <w:rsid w:val="00084C62"/>
    <w:rsid w:val="00090443"/>
    <w:rsid w:val="000968ED"/>
    <w:rsid w:val="000C31AC"/>
    <w:rsid w:val="000E4059"/>
    <w:rsid w:val="000F5E56"/>
    <w:rsid w:val="001250EB"/>
    <w:rsid w:val="001362EE"/>
    <w:rsid w:val="0015282A"/>
    <w:rsid w:val="001647D5"/>
    <w:rsid w:val="001832A6"/>
    <w:rsid w:val="001D1229"/>
    <w:rsid w:val="001E77BC"/>
    <w:rsid w:val="00210958"/>
    <w:rsid w:val="0021217E"/>
    <w:rsid w:val="00215BB1"/>
    <w:rsid w:val="002634C4"/>
    <w:rsid w:val="00286713"/>
    <w:rsid w:val="002928D3"/>
    <w:rsid w:val="002E1F5C"/>
    <w:rsid w:val="002F1FE6"/>
    <w:rsid w:val="002F4E68"/>
    <w:rsid w:val="00312F7F"/>
    <w:rsid w:val="003142B2"/>
    <w:rsid w:val="00316DFE"/>
    <w:rsid w:val="003216DC"/>
    <w:rsid w:val="003304FE"/>
    <w:rsid w:val="00344BCE"/>
    <w:rsid w:val="0035121A"/>
    <w:rsid w:val="0035210B"/>
    <w:rsid w:val="00361450"/>
    <w:rsid w:val="003673CF"/>
    <w:rsid w:val="003845C1"/>
    <w:rsid w:val="003A6F89"/>
    <w:rsid w:val="003B38C1"/>
    <w:rsid w:val="003D38D1"/>
    <w:rsid w:val="00423E3E"/>
    <w:rsid w:val="00427AF4"/>
    <w:rsid w:val="004647DA"/>
    <w:rsid w:val="00474062"/>
    <w:rsid w:val="004757E2"/>
    <w:rsid w:val="00475DAA"/>
    <w:rsid w:val="00477D6B"/>
    <w:rsid w:val="00492E2E"/>
    <w:rsid w:val="00493E4F"/>
    <w:rsid w:val="004B6D1A"/>
    <w:rsid w:val="004C4F81"/>
    <w:rsid w:val="004E5E8D"/>
    <w:rsid w:val="004F3272"/>
    <w:rsid w:val="005019FF"/>
    <w:rsid w:val="00520555"/>
    <w:rsid w:val="0053057A"/>
    <w:rsid w:val="0053274D"/>
    <w:rsid w:val="00537BA5"/>
    <w:rsid w:val="00550D0D"/>
    <w:rsid w:val="00560A29"/>
    <w:rsid w:val="005767DB"/>
    <w:rsid w:val="005C6649"/>
    <w:rsid w:val="005F1B05"/>
    <w:rsid w:val="00605827"/>
    <w:rsid w:val="00646050"/>
    <w:rsid w:val="00662198"/>
    <w:rsid w:val="006713CA"/>
    <w:rsid w:val="006747BA"/>
    <w:rsid w:val="00676C5C"/>
    <w:rsid w:val="00684CCE"/>
    <w:rsid w:val="00693D80"/>
    <w:rsid w:val="006A26F2"/>
    <w:rsid w:val="006A730D"/>
    <w:rsid w:val="006C1652"/>
    <w:rsid w:val="006C2347"/>
    <w:rsid w:val="006C6164"/>
    <w:rsid w:val="006E6B36"/>
    <w:rsid w:val="00705DFD"/>
    <w:rsid w:val="00723568"/>
    <w:rsid w:val="00735249"/>
    <w:rsid w:val="00743339"/>
    <w:rsid w:val="007D1613"/>
    <w:rsid w:val="007E0ACC"/>
    <w:rsid w:val="007E3EFB"/>
    <w:rsid w:val="007E4C0E"/>
    <w:rsid w:val="007F7AD1"/>
    <w:rsid w:val="00811E54"/>
    <w:rsid w:val="00816380"/>
    <w:rsid w:val="00855095"/>
    <w:rsid w:val="008746A2"/>
    <w:rsid w:val="00892CD6"/>
    <w:rsid w:val="008A134B"/>
    <w:rsid w:val="008A3423"/>
    <w:rsid w:val="008A55F7"/>
    <w:rsid w:val="008A6A79"/>
    <w:rsid w:val="008B2CC1"/>
    <w:rsid w:val="008B60B2"/>
    <w:rsid w:val="008B7A90"/>
    <w:rsid w:val="009017C6"/>
    <w:rsid w:val="0090731E"/>
    <w:rsid w:val="00916EE2"/>
    <w:rsid w:val="00953770"/>
    <w:rsid w:val="00966A22"/>
    <w:rsid w:val="0096722F"/>
    <w:rsid w:val="00980843"/>
    <w:rsid w:val="009A09E4"/>
    <w:rsid w:val="009C3F15"/>
    <w:rsid w:val="009C7DB0"/>
    <w:rsid w:val="009E1E4E"/>
    <w:rsid w:val="009E2791"/>
    <w:rsid w:val="009E3F6F"/>
    <w:rsid w:val="009F499F"/>
    <w:rsid w:val="00A007E6"/>
    <w:rsid w:val="00A238AB"/>
    <w:rsid w:val="00A37342"/>
    <w:rsid w:val="00A42DAF"/>
    <w:rsid w:val="00A45BD8"/>
    <w:rsid w:val="00A54E47"/>
    <w:rsid w:val="00A556F6"/>
    <w:rsid w:val="00A60ACB"/>
    <w:rsid w:val="00A76E0F"/>
    <w:rsid w:val="00A85F0A"/>
    <w:rsid w:val="00A869B7"/>
    <w:rsid w:val="00AC205C"/>
    <w:rsid w:val="00AE49A4"/>
    <w:rsid w:val="00AF0A6B"/>
    <w:rsid w:val="00B002F8"/>
    <w:rsid w:val="00B05A69"/>
    <w:rsid w:val="00B7768C"/>
    <w:rsid w:val="00B9734B"/>
    <w:rsid w:val="00BA0AF7"/>
    <w:rsid w:val="00BA30E2"/>
    <w:rsid w:val="00BB27AC"/>
    <w:rsid w:val="00BD7BEA"/>
    <w:rsid w:val="00BE4CFB"/>
    <w:rsid w:val="00C0065B"/>
    <w:rsid w:val="00C020C9"/>
    <w:rsid w:val="00C07BE5"/>
    <w:rsid w:val="00C11BFE"/>
    <w:rsid w:val="00C124C5"/>
    <w:rsid w:val="00C27867"/>
    <w:rsid w:val="00C5068F"/>
    <w:rsid w:val="00C86D74"/>
    <w:rsid w:val="00C87649"/>
    <w:rsid w:val="00C97A29"/>
    <w:rsid w:val="00CD04F1"/>
    <w:rsid w:val="00CD59F2"/>
    <w:rsid w:val="00CD7C48"/>
    <w:rsid w:val="00CF3DB6"/>
    <w:rsid w:val="00D060E6"/>
    <w:rsid w:val="00D07AA4"/>
    <w:rsid w:val="00D16647"/>
    <w:rsid w:val="00D3124F"/>
    <w:rsid w:val="00D45252"/>
    <w:rsid w:val="00D62C3B"/>
    <w:rsid w:val="00D6538E"/>
    <w:rsid w:val="00D71B4D"/>
    <w:rsid w:val="00D875FC"/>
    <w:rsid w:val="00D93A9C"/>
    <w:rsid w:val="00D93D55"/>
    <w:rsid w:val="00D942DE"/>
    <w:rsid w:val="00DC47E8"/>
    <w:rsid w:val="00DD7603"/>
    <w:rsid w:val="00E00069"/>
    <w:rsid w:val="00E06C6A"/>
    <w:rsid w:val="00E1219A"/>
    <w:rsid w:val="00E15015"/>
    <w:rsid w:val="00E32CC2"/>
    <w:rsid w:val="00E335FE"/>
    <w:rsid w:val="00E74645"/>
    <w:rsid w:val="00EA7D6E"/>
    <w:rsid w:val="00EC4E49"/>
    <w:rsid w:val="00ED77FB"/>
    <w:rsid w:val="00EE45FA"/>
    <w:rsid w:val="00EF7925"/>
    <w:rsid w:val="00F13852"/>
    <w:rsid w:val="00F254DC"/>
    <w:rsid w:val="00F46E6A"/>
    <w:rsid w:val="00F66152"/>
    <w:rsid w:val="00FA5395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F1CE1A"/>
  <w15:docId w15:val="{643D561A-C9EC-4E50-916B-85117BC3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24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3524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3524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3524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35249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735249"/>
    <w:pPr>
      <w:ind w:left="5534"/>
    </w:pPr>
    <w:rPr>
      <w:lang w:val="en-US"/>
    </w:rPr>
  </w:style>
  <w:style w:type="paragraph" w:styleId="BodyText">
    <w:name w:val="Body Text"/>
    <w:basedOn w:val="Normal"/>
    <w:link w:val="BodyTextChar"/>
    <w:rsid w:val="00735249"/>
    <w:pPr>
      <w:spacing w:after="220"/>
    </w:pPr>
  </w:style>
  <w:style w:type="paragraph" w:styleId="Caption">
    <w:name w:val="caption"/>
    <w:basedOn w:val="Normal"/>
    <w:next w:val="Normal"/>
    <w:qFormat/>
    <w:rsid w:val="0073524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35249"/>
    <w:rPr>
      <w:sz w:val="18"/>
    </w:rPr>
  </w:style>
  <w:style w:type="paragraph" w:styleId="EndnoteText">
    <w:name w:val="endnote text"/>
    <w:basedOn w:val="Normal"/>
    <w:semiHidden/>
    <w:rsid w:val="00735249"/>
    <w:rPr>
      <w:sz w:val="18"/>
    </w:rPr>
  </w:style>
  <w:style w:type="paragraph" w:styleId="Footer">
    <w:name w:val="footer"/>
    <w:basedOn w:val="Normal"/>
    <w:semiHidden/>
    <w:rsid w:val="0073524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35249"/>
    <w:rPr>
      <w:sz w:val="18"/>
    </w:rPr>
  </w:style>
  <w:style w:type="paragraph" w:styleId="Header">
    <w:name w:val="header"/>
    <w:basedOn w:val="Normal"/>
    <w:semiHidden/>
    <w:rsid w:val="0073524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735249"/>
    <w:pPr>
      <w:numPr>
        <w:numId w:val="9"/>
      </w:numPr>
    </w:pPr>
  </w:style>
  <w:style w:type="paragraph" w:customStyle="1" w:styleId="ONUME">
    <w:name w:val="ONUM E"/>
    <w:basedOn w:val="BodyText"/>
    <w:link w:val="ONUMEChar"/>
    <w:rsid w:val="00735249"/>
    <w:pPr>
      <w:numPr>
        <w:numId w:val="10"/>
      </w:numPr>
    </w:pPr>
  </w:style>
  <w:style w:type="paragraph" w:customStyle="1" w:styleId="ONUMFS">
    <w:name w:val="ONUM FS"/>
    <w:basedOn w:val="BodyText"/>
    <w:rsid w:val="00735249"/>
    <w:pPr>
      <w:numPr>
        <w:numId w:val="11"/>
      </w:numPr>
    </w:pPr>
  </w:style>
  <w:style w:type="paragraph" w:styleId="Salutation">
    <w:name w:val="Salutation"/>
    <w:basedOn w:val="Normal"/>
    <w:next w:val="Normal"/>
    <w:semiHidden/>
    <w:rsid w:val="00735249"/>
  </w:style>
  <w:style w:type="paragraph" w:styleId="Signature">
    <w:name w:val="Signature"/>
    <w:basedOn w:val="Normal"/>
    <w:semiHidden/>
    <w:rsid w:val="00735249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084C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84C62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3D38D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38D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38D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D38D1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ONUMEChar">
    <w:name w:val="ONUM E Char"/>
    <w:link w:val="ONUME"/>
    <w:rsid w:val="003D38D1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73524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3D38D1"/>
    <w:rPr>
      <w:rFonts w:ascii="Arial" w:eastAsia="SimSun" w:hAnsi="Arial" w:cs="Arial"/>
      <w:sz w:val="22"/>
      <w:lang w:eastAsia="zh-CN"/>
    </w:rPr>
  </w:style>
  <w:style w:type="paragraph" w:customStyle="1" w:styleId="TrowF">
    <w:name w:val="TrowF"/>
    <w:basedOn w:val="Normal"/>
    <w:rsid w:val="00475DAA"/>
    <w:pPr>
      <w:spacing w:before="60"/>
    </w:pPr>
    <w:rPr>
      <w:rFonts w:eastAsia="Times New Roman" w:cs="Times New Roman"/>
      <w:sz w:val="17"/>
      <w:lang w:eastAsia="en-US"/>
    </w:rPr>
  </w:style>
  <w:style w:type="paragraph" w:customStyle="1" w:styleId="Meetingplacedate">
    <w:name w:val="Meeting place &amp; date"/>
    <w:basedOn w:val="Normal"/>
    <w:next w:val="Normal"/>
    <w:rsid w:val="00735249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735249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73524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35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E2EC-334F-4FD7-9FAA-63128213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CWS/7/19 (in French)</vt:lpstr>
    </vt:vector>
  </TitlesOfParts>
  <Company>WIPO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CWS/7/19 (in French)</dc:title>
  <dc:subject>REVISION DE LA NORME ST.60 DE L’OMPI</dc:subject>
  <dc:creator>WIPO</dc:creator>
  <cp:keywords>CWS, WIPO</cp:keywords>
  <cp:lastModifiedBy>DRAKE Sophie</cp:lastModifiedBy>
  <cp:revision>55</cp:revision>
  <cp:lastPrinted>2011-02-15T11:56:00Z</cp:lastPrinted>
  <dcterms:created xsi:type="dcterms:W3CDTF">2019-05-20T09:31:00Z</dcterms:created>
  <dcterms:modified xsi:type="dcterms:W3CDTF">2019-06-11T12:14:00Z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393a2225-5d6b-4e4e-b796-1a4ecd225729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