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10803" w:rsidRPr="00780334" w14:paraId="2E8C25A2" w14:textId="77777777" w:rsidTr="008F5E62">
        <w:tc>
          <w:tcPr>
            <w:tcW w:w="4513" w:type="dxa"/>
            <w:tcBorders>
              <w:bottom w:val="single" w:sz="4" w:space="0" w:color="auto"/>
            </w:tcBorders>
            <w:tcMar>
              <w:bottom w:w="170" w:type="dxa"/>
            </w:tcMar>
          </w:tcPr>
          <w:p w14:paraId="25C316CF" w14:textId="77777777" w:rsidR="00410803" w:rsidRPr="00780334" w:rsidRDefault="00410803" w:rsidP="008F5E62">
            <w:pPr>
              <w:rPr>
                <w:lang w:val="fr-FR"/>
              </w:rPr>
            </w:pPr>
            <w:bookmarkStart w:id="0" w:name="TitleOfDoc"/>
            <w:bookmarkEnd w:id="0"/>
          </w:p>
        </w:tc>
        <w:tc>
          <w:tcPr>
            <w:tcW w:w="4337" w:type="dxa"/>
            <w:tcBorders>
              <w:bottom w:val="single" w:sz="4" w:space="0" w:color="auto"/>
            </w:tcBorders>
            <w:tcMar>
              <w:left w:w="0" w:type="dxa"/>
              <w:right w:w="0" w:type="dxa"/>
            </w:tcMar>
          </w:tcPr>
          <w:p w14:paraId="484ED8FE" w14:textId="77777777" w:rsidR="00410803" w:rsidRPr="00780334" w:rsidRDefault="00410803" w:rsidP="008F5E62">
            <w:pPr>
              <w:rPr>
                <w:lang w:val="fr-FR"/>
              </w:rPr>
            </w:pPr>
            <w:r w:rsidRPr="00780334">
              <w:rPr>
                <w:noProof/>
                <w:lang w:val="de-DE" w:eastAsia="de-DE"/>
              </w:rPr>
              <w:drawing>
                <wp:inline distT="0" distB="0" distL="0" distR="0" wp14:anchorId="0B7B42C3" wp14:editId="12BCF69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3E7614B" w14:textId="77777777" w:rsidR="00410803" w:rsidRPr="00780334" w:rsidRDefault="00410803" w:rsidP="008F5E62">
            <w:pPr>
              <w:jc w:val="right"/>
              <w:rPr>
                <w:lang w:val="fr-FR"/>
              </w:rPr>
            </w:pPr>
            <w:r w:rsidRPr="00780334">
              <w:rPr>
                <w:b/>
                <w:sz w:val="40"/>
                <w:szCs w:val="40"/>
                <w:lang w:val="fr-FR"/>
              </w:rPr>
              <w:t>F</w:t>
            </w:r>
          </w:p>
        </w:tc>
      </w:tr>
      <w:tr w:rsidR="00410803" w:rsidRPr="00780334" w14:paraId="13F85BF0" w14:textId="77777777" w:rsidTr="008F5E62">
        <w:trPr>
          <w:trHeight w:hRule="exact" w:val="357"/>
        </w:trPr>
        <w:tc>
          <w:tcPr>
            <w:tcW w:w="9356" w:type="dxa"/>
            <w:gridSpan w:val="3"/>
            <w:tcBorders>
              <w:top w:val="single" w:sz="4" w:space="0" w:color="auto"/>
            </w:tcBorders>
            <w:tcMar>
              <w:top w:w="170" w:type="dxa"/>
              <w:left w:w="0" w:type="dxa"/>
              <w:right w:w="0" w:type="dxa"/>
            </w:tcMar>
            <w:vAlign w:val="bottom"/>
          </w:tcPr>
          <w:p w14:paraId="518C71D8" w14:textId="77777777" w:rsidR="00410803" w:rsidRPr="00780334" w:rsidRDefault="00410803" w:rsidP="008F5E62">
            <w:pPr>
              <w:jc w:val="right"/>
              <w:rPr>
                <w:rFonts w:ascii="Arial Black" w:hAnsi="Arial Black"/>
                <w:caps/>
                <w:sz w:val="15"/>
                <w:lang w:val="fr-FR"/>
              </w:rPr>
            </w:pPr>
            <w:r w:rsidRPr="00780334">
              <w:rPr>
                <w:rFonts w:ascii="Arial Black" w:hAnsi="Arial Black"/>
                <w:caps/>
                <w:sz w:val="15"/>
                <w:lang w:val="fr-FR"/>
              </w:rPr>
              <w:t>CWS/7/</w:t>
            </w:r>
            <w:bookmarkStart w:id="1" w:name="Code"/>
            <w:bookmarkEnd w:id="1"/>
            <w:r w:rsidRPr="00780334">
              <w:rPr>
                <w:rFonts w:ascii="Arial Black" w:hAnsi="Arial Black"/>
                <w:caps/>
                <w:sz w:val="15"/>
                <w:lang w:val="fr-FR"/>
              </w:rPr>
              <w:t>12</w:t>
            </w:r>
          </w:p>
        </w:tc>
      </w:tr>
      <w:tr w:rsidR="00410803" w:rsidRPr="00780334" w14:paraId="26F035E2" w14:textId="77777777" w:rsidTr="008F5E62">
        <w:trPr>
          <w:trHeight w:hRule="exact" w:val="170"/>
        </w:trPr>
        <w:tc>
          <w:tcPr>
            <w:tcW w:w="9356" w:type="dxa"/>
            <w:gridSpan w:val="3"/>
            <w:noWrap/>
            <w:tcMar>
              <w:left w:w="0" w:type="dxa"/>
              <w:right w:w="0" w:type="dxa"/>
            </w:tcMar>
            <w:vAlign w:val="bottom"/>
          </w:tcPr>
          <w:p w14:paraId="39EBD251" w14:textId="2120A5BB" w:rsidR="00410803" w:rsidRPr="00780334" w:rsidRDefault="00410803" w:rsidP="008F5E62">
            <w:pPr>
              <w:jc w:val="right"/>
              <w:rPr>
                <w:rFonts w:ascii="Arial Black" w:hAnsi="Arial Black"/>
                <w:caps/>
                <w:sz w:val="15"/>
                <w:lang w:val="fr-FR"/>
              </w:rPr>
            </w:pPr>
            <w:r w:rsidRPr="00780334">
              <w:rPr>
                <w:rFonts w:ascii="Arial Black" w:hAnsi="Arial Black"/>
                <w:caps/>
                <w:sz w:val="15"/>
                <w:lang w:val="fr-FR"/>
              </w:rPr>
              <w:t>ORIGINAL</w:t>
            </w:r>
            <w:r w:rsidR="00E80D1A">
              <w:rPr>
                <w:rFonts w:ascii="Arial Black" w:hAnsi="Arial Black"/>
                <w:caps/>
                <w:sz w:val="15"/>
                <w:lang w:val="fr-FR"/>
              </w:rPr>
              <w:t> :</w:t>
            </w:r>
            <w:r w:rsidRPr="00780334">
              <w:rPr>
                <w:rFonts w:ascii="Arial Black" w:hAnsi="Arial Black"/>
                <w:caps/>
                <w:sz w:val="15"/>
                <w:lang w:val="fr-FR"/>
              </w:rPr>
              <w:t xml:space="preserve"> </w:t>
            </w:r>
            <w:bookmarkStart w:id="2" w:name="Original"/>
            <w:bookmarkEnd w:id="2"/>
            <w:r w:rsidRPr="00780334">
              <w:rPr>
                <w:rFonts w:ascii="Arial Black" w:hAnsi="Arial Black"/>
                <w:caps/>
                <w:sz w:val="15"/>
                <w:lang w:val="fr-FR"/>
              </w:rPr>
              <w:t xml:space="preserve">anglais </w:t>
            </w:r>
          </w:p>
        </w:tc>
      </w:tr>
      <w:tr w:rsidR="00410803" w:rsidRPr="00780334" w14:paraId="5D05BEA1" w14:textId="77777777" w:rsidTr="008F5E62">
        <w:trPr>
          <w:trHeight w:hRule="exact" w:val="198"/>
        </w:trPr>
        <w:tc>
          <w:tcPr>
            <w:tcW w:w="9356" w:type="dxa"/>
            <w:gridSpan w:val="3"/>
            <w:tcMar>
              <w:left w:w="0" w:type="dxa"/>
              <w:right w:w="0" w:type="dxa"/>
            </w:tcMar>
            <w:vAlign w:val="bottom"/>
          </w:tcPr>
          <w:p w14:paraId="684FEB60" w14:textId="3DF2773F" w:rsidR="00410803" w:rsidRPr="00780334" w:rsidRDefault="00410803" w:rsidP="008F5E62">
            <w:pPr>
              <w:jc w:val="right"/>
              <w:rPr>
                <w:rFonts w:ascii="Arial Black" w:hAnsi="Arial Black"/>
                <w:caps/>
                <w:sz w:val="15"/>
                <w:lang w:val="fr-FR"/>
              </w:rPr>
            </w:pPr>
            <w:r w:rsidRPr="00780334">
              <w:rPr>
                <w:rFonts w:ascii="Arial Black" w:hAnsi="Arial Black"/>
                <w:caps/>
                <w:sz w:val="15"/>
                <w:lang w:val="fr-FR"/>
              </w:rPr>
              <w:t>DATE</w:t>
            </w:r>
            <w:r w:rsidR="00E80D1A">
              <w:rPr>
                <w:rFonts w:ascii="Arial Black" w:hAnsi="Arial Black"/>
                <w:caps/>
                <w:sz w:val="15"/>
                <w:lang w:val="fr-FR"/>
              </w:rPr>
              <w:t> :</w:t>
            </w:r>
            <w:r w:rsidRPr="00780334">
              <w:rPr>
                <w:rFonts w:ascii="Arial Black" w:hAnsi="Arial Black"/>
                <w:caps/>
                <w:sz w:val="15"/>
                <w:lang w:val="fr-FR"/>
              </w:rPr>
              <w:t xml:space="preserve"> </w:t>
            </w:r>
            <w:bookmarkStart w:id="3" w:name="Date"/>
            <w:bookmarkEnd w:id="3"/>
            <w:r w:rsidRPr="00780334">
              <w:rPr>
                <w:rFonts w:ascii="Arial Black" w:hAnsi="Arial Black"/>
                <w:caps/>
                <w:sz w:val="15"/>
                <w:lang w:val="fr-FR"/>
              </w:rPr>
              <w:t>1</w:t>
            </w:r>
            <w:r w:rsidR="001B1667" w:rsidRPr="00780334">
              <w:rPr>
                <w:rFonts w:ascii="Arial Black" w:hAnsi="Arial Black"/>
                <w:caps/>
                <w:sz w:val="15"/>
                <w:lang w:val="fr-FR"/>
              </w:rPr>
              <w:t>2</w:t>
            </w:r>
            <w:r w:rsidR="001B1667">
              <w:rPr>
                <w:rFonts w:ascii="Arial Black" w:hAnsi="Arial Black"/>
                <w:caps/>
                <w:sz w:val="15"/>
                <w:lang w:val="fr-FR"/>
              </w:rPr>
              <w:t> </w:t>
            </w:r>
            <w:r w:rsidR="001B1667" w:rsidRPr="00780334">
              <w:rPr>
                <w:rFonts w:ascii="Arial Black" w:hAnsi="Arial Black"/>
                <w:caps/>
                <w:sz w:val="15"/>
                <w:lang w:val="fr-FR"/>
              </w:rPr>
              <w:t>juin</w:t>
            </w:r>
            <w:r w:rsidR="001B1667">
              <w:rPr>
                <w:rFonts w:ascii="Arial Black" w:hAnsi="Arial Black"/>
                <w:caps/>
                <w:sz w:val="15"/>
                <w:lang w:val="fr-FR"/>
              </w:rPr>
              <w:t> </w:t>
            </w:r>
            <w:r w:rsidR="001B1667" w:rsidRPr="00780334">
              <w:rPr>
                <w:rFonts w:ascii="Arial Black" w:hAnsi="Arial Black"/>
                <w:caps/>
                <w:sz w:val="15"/>
                <w:lang w:val="fr-FR"/>
              </w:rPr>
              <w:t>20</w:t>
            </w:r>
            <w:r w:rsidRPr="00780334">
              <w:rPr>
                <w:rFonts w:ascii="Arial Black" w:hAnsi="Arial Black"/>
                <w:caps/>
                <w:sz w:val="15"/>
                <w:lang w:val="fr-FR"/>
              </w:rPr>
              <w:t xml:space="preserve">19 </w:t>
            </w:r>
          </w:p>
        </w:tc>
      </w:tr>
    </w:tbl>
    <w:p w14:paraId="5CD881A6" w14:textId="77777777" w:rsidR="00286340" w:rsidRPr="00780334" w:rsidRDefault="00286340" w:rsidP="00410803">
      <w:pPr>
        <w:rPr>
          <w:lang w:val="fr-FR"/>
        </w:rPr>
      </w:pPr>
    </w:p>
    <w:p w14:paraId="78F2B603" w14:textId="77777777" w:rsidR="00286340" w:rsidRPr="00780334" w:rsidRDefault="00286340" w:rsidP="00410803">
      <w:pPr>
        <w:rPr>
          <w:lang w:val="fr-FR"/>
        </w:rPr>
      </w:pPr>
    </w:p>
    <w:p w14:paraId="123D82D6" w14:textId="77777777" w:rsidR="00286340" w:rsidRPr="00780334" w:rsidRDefault="00286340" w:rsidP="00410803">
      <w:pPr>
        <w:rPr>
          <w:lang w:val="fr-FR"/>
        </w:rPr>
      </w:pPr>
    </w:p>
    <w:p w14:paraId="5CD0F507" w14:textId="77777777" w:rsidR="00286340" w:rsidRPr="00780334" w:rsidRDefault="00286340" w:rsidP="00410803">
      <w:pPr>
        <w:rPr>
          <w:lang w:val="fr-FR"/>
        </w:rPr>
      </w:pPr>
    </w:p>
    <w:p w14:paraId="5754EA9A" w14:textId="77777777" w:rsidR="00286340" w:rsidRPr="00780334" w:rsidRDefault="00286340" w:rsidP="00410803">
      <w:pPr>
        <w:rPr>
          <w:lang w:val="fr-FR"/>
        </w:rPr>
      </w:pPr>
    </w:p>
    <w:p w14:paraId="28435C1F" w14:textId="5F601527" w:rsidR="00286340" w:rsidRPr="00780334" w:rsidRDefault="00E80D1A" w:rsidP="00410803">
      <w:pPr>
        <w:rPr>
          <w:b/>
          <w:sz w:val="28"/>
          <w:szCs w:val="28"/>
          <w:lang w:val="fr-FR"/>
        </w:rPr>
      </w:pPr>
      <w:r>
        <w:rPr>
          <w:b/>
          <w:sz w:val="28"/>
          <w:szCs w:val="28"/>
          <w:lang w:val="fr-FR"/>
        </w:rPr>
        <w:t>Comité des normes de l’OMPI</w:t>
      </w:r>
      <w:r w:rsidR="00410803" w:rsidRPr="00780334">
        <w:rPr>
          <w:b/>
          <w:sz w:val="28"/>
          <w:szCs w:val="28"/>
          <w:lang w:val="fr-FR"/>
        </w:rPr>
        <w:t xml:space="preserve"> (CWS)</w:t>
      </w:r>
    </w:p>
    <w:p w14:paraId="3B31C93C" w14:textId="77777777" w:rsidR="00286340" w:rsidRPr="00780334" w:rsidRDefault="00286340" w:rsidP="00410803">
      <w:pPr>
        <w:rPr>
          <w:lang w:val="fr-FR"/>
        </w:rPr>
      </w:pPr>
    </w:p>
    <w:p w14:paraId="0001D094" w14:textId="77777777" w:rsidR="00286340" w:rsidRPr="00780334" w:rsidRDefault="00286340" w:rsidP="00410803">
      <w:pPr>
        <w:rPr>
          <w:lang w:val="fr-FR"/>
        </w:rPr>
      </w:pPr>
    </w:p>
    <w:p w14:paraId="29838776" w14:textId="040E0786" w:rsidR="00286340" w:rsidRPr="00780334" w:rsidRDefault="00410803" w:rsidP="00410803">
      <w:pPr>
        <w:rPr>
          <w:b/>
          <w:sz w:val="24"/>
          <w:szCs w:val="24"/>
          <w:lang w:val="fr-FR"/>
        </w:rPr>
      </w:pPr>
      <w:r w:rsidRPr="00780334">
        <w:rPr>
          <w:b/>
          <w:sz w:val="24"/>
          <w:szCs w:val="24"/>
          <w:lang w:val="fr-FR"/>
        </w:rPr>
        <w:t>Sept</w:t>
      </w:r>
      <w:r w:rsidR="00562836">
        <w:rPr>
          <w:b/>
          <w:sz w:val="24"/>
          <w:szCs w:val="24"/>
          <w:lang w:val="fr-FR"/>
        </w:rPr>
        <w:t>ième session</w:t>
      </w:r>
    </w:p>
    <w:p w14:paraId="666B5A70" w14:textId="3D0B0F30" w:rsidR="00286340" w:rsidRPr="00780334" w:rsidRDefault="00410803" w:rsidP="00410803">
      <w:pPr>
        <w:rPr>
          <w:b/>
          <w:sz w:val="24"/>
          <w:szCs w:val="24"/>
          <w:lang w:val="fr-FR"/>
        </w:rPr>
      </w:pPr>
      <w:r w:rsidRPr="00780334">
        <w:rPr>
          <w:b/>
          <w:sz w:val="24"/>
          <w:szCs w:val="24"/>
          <w:lang w:val="fr-FR"/>
        </w:rPr>
        <w:t>Genève,</w:t>
      </w:r>
      <w:r w:rsidR="00562836">
        <w:rPr>
          <w:b/>
          <w:sz w:val="24"/>
          <w:szCs w:val="24"/>
          <w:lang w:val="fr-FR"/>
        </w:rPr>
        <w:t xml:space="preserve"> 1</w:t>
      </w:r>
      <w:r w:rsidR="00562836" w:rsidRPr="00562836">
        <w:rPr>
          <w:b/>
          <w:sz w:val="24"/>
          <w:szCs w:val="24"/>
          <w:vertAlign w:val="superscript"/>
          <w:lang w:val="fr-FR"/>
        </w:rPr>
        <w:t>er</w:t>
      </w:r>
      <w:r w:rsidR="00562836">
        <w:rPr>
          <w:b/>
          <w:sz w:val="24"/>
          <w:szCs w:val="24"/>
          <w:lang w:val="fr-FR"/>
        </w:rPr>
        <w:t> </w:t>
      </w:r>
      <w:r w:rsidRPr="00780334">
        <w:rPr>
          <w:b/>
          <w:sz w:val="24"/>
          <w:szCs w:val="24"/>
          <w:lang w:val="fr-FR"/>
        </w:rPr>
        <w:t>– 5</w:t>
      </w:r>
      <w:r w:rsidR="00C95F81">
        <w:rPr>
          <w:b/>
          <w:sz w:val="24"/>
          <w:szCs w:val="24"/>
          <w:lang w:val="fr-FR"/>
        </w:rPr>
        <w:t> </w:t>
      </w:r>
      <w:r w:rsidRPr="00780334">
        <w:rPr>
          <w:b/>
          <w:sz w:val="24"/>
          <w:szCs w:val="24"/>
          <w:lang w:val="fr-FR"/>
        </w:rPr>
        <w:t>juillet</w:t>
      </w:r>
      <w:r w:rsidR="00C95F81">
        <w:rPr>
          <w:b/>
          <w:sz w:val="24"/>
          <w:szCs w:val="24"/>
          <w:lang w:val="fr-FR"/>
        </w:rPr>
        <w:t> </w:t>
      </w:r>
      <w:r w:rsidRPr="00780334">
        <w:rPr>
          <w:b/>
          <w:sz w:val="24"/>
          <w:szCs w:val="24"/>
          <w:lang w:val="fr-FR"/>
        </w:rPr>
        <w:t>2019</w:t>
      </w:r>
    </w:p>
    <w:p w14:paraId="3F795DBE" w14:textId="77777777" w:rsidR="00286340" w:rsidRPr="00780334" w:rsidRDefault="00286340" w:rsidP="00410803">
      <w:pPr>
        <w:rPr>
          <w:lang w:val="fr-FR"/>
        </w:rPr>
      </w:pPr>
    </w:p>
    <w:p w14:paraId="2E0E20CF" w14:textId="77777777" w:rsidR="00286340" w:rsidRPr="00780334" w:rsidRDefault="00286340" w:rsidP="00410803">
      <w:pPr>
        <w:rPr>
          <w:lang w:val="fr-FR"/>
        </w:rPr>
      </w:pPr>
    </w:p>
    <w:p w14:paraId="6F0D766B" w14:textId="77777777" w:rsidR="00286340" w:rsidRPr="00780334" w:rsidRDefault="00286340" w:rsidP="00410803">
      <w:pPr>
        <w:rPr>
          <w:lang w:val="fr-FR"/>
        </w:rPr>
      </w:pPr>
    </w:p>
    <w:p w14:paraId="6F0C1C5F" w14:textId="676442A2" w:rsidR="00286340" w:rsidRPr="00780334" w:rsidRDefault="00410803" w:rsidP="00410803">
      <w:pPr>
        <w:rPr>
          <w:caps/>
          <w:sz w:val="24"/>
          <w:szCs w:val="24"/>
          <w:lang w:val="fr-FR"/>
        </w:rPr>
      </w:pPr>
      <w:bookmarkStart w:id="4" w:name="_GoBack"/>
      <w:r w:rsidRPr="001254FE">
        <w:rPr>
          <w:caps/>
          <w:sz w:val="24"/>
          <w:szCs w:val="24"/>
          <w:lang w:val="fr-FR"/>
        </w:rPr>
        <w:t>Révision de la norme</w:t>
      </w:r>
      <w:r w:rsidR="00C95F81" w:rsidRPr="001254FE">
        <w:rPr>
          <w:caps/>
          <w:sz w:val="24"/>
          <w:szCs w:val="24"/>
          <w:lang w:val="fr-FR"/>
        </w:rPr>
        <w:t> </w:t>
      </w:r>
      <w:r w:rsidRPr="001254FE">
        <w:rPr>
          <w:caps/>
          <w:sz w:val="24"/>
          <w:szCs w:val="24"/>
          <w:lang w:val="fr-FR"/>
        </w:rPr>
        <w:t>ST.27 de l</w:t>
      </w:r>
      <w:r w:rsidR="00562836">
        <w:rPr>
          <w:caps/>
          <w:sz w:val="24"/>
          <w:szCs w:val="24"/>
          <w:lang w:val="fr-FR"/>
        </w:rPr>
        <w:t>’</w:t>
      </w:r>
      <w:r w:rsidRPr="001254FE">
        <w:rPr>
          <w:caps/>
          <w:sz w:val="24"/>
          <w:szCs w:val="24"/>
          <w:lang w:val="fr-FR"/>
        </w:rPr>
        <w:t>OMPI</w:t>
      </w:r>
    </w:p>
    <w:bookmarkEnd w:id="4"/>
    <w:p w14:paraId="3EA95F6C" w14:textId="77777777" w:rsidR="00286340" w:rsidRPr="00780334" w:rsidRDefault="00286340" w:rsidP="00711378">
      <w:pPr>
        <w:rPr>
          <w:szCs w:val="22"/>
          <w:lang w:val="fr-FR"/>
        </w:rPr>
      </w:pPr>
    </w:p>
    <w:p w14:paraId="649774FC" w14:textId="77777777" w:rsidR="00286340" w:rsidRPr="00780334" w:rsidRDefault="00410803" w:rsidP="00410803">
      <w:pPr>
        <w:rPr>
          <w:i/>
          <w:szCs w:val="22"/>
          <w:lang w:val="fr-FR"/>
        </w:rPr>
      </w:pPr>
      <w:bookmarkStart w:id="5" w:name="Prepared"/>
      <w:bookmarkEnd w:id="5"/>
      <w:r w:rsidRPr="001254FE">
        <w:rPr>
          <w:i/>
          <w:szCs w:val="22"/>
          <w:lang w:val="fr-FR"/>
        </w:rPr>
        <w:t>Document établi par le Bureau international</w:t>
      </w:r>
    </w:p>
    <w:p w14:paraId="216FCFED" w14:textId="77777777" w:rsidR="00286340" w:rsidRPr="00780334" w:rsidRDefault="00286340" w:rsidP="00711378">
      <w:pPr>
        <w:rPr>
          <w:szCs w:val="22"/>
          <w:lang w:val="fr-FR"/>
        </w:rPr>
      </w:pPr>
    </w:p>
    <w:p w14:paraId="5988828D" w14:textId="77777777" w:rsidR="00286340" w:rsidRPr="00780334" w:rsidRDefault="00286340" w:rsidP="00711378">
      <w:pPr>
        <w:rPr>
          <w:szCs w:val="22"/>
          <w:lang w:val="fr-FR"/>
        </w:rPr>
      </w:pPr>
    </w:p>
    <w:p w14:paraId="13501E4F" w14:textId="77777777" w:rsidR="00286340" w:rsidRPr="00780334" w:rsidRDefault="00286340" w:rsidP="00711378">
      <w:pPr>
        <w:rPr>
          <w:szCs w:val="22"/>
          <w:lang w:val="fr-FR"/>
        </w:rPr>
      </w:pPr>
    </w:p>
    <w:p w14:paraId="03A7695C" w14:textId="77777777" w:rsidR="00286340" w:rsidRPr="00780334" w:rsidRDefault="00286340" w:rsidP="00711378">
      <w:pPr>
        <w:rPr>
          <w:szCs w:val="22"/>
          <w:lang w:val="fr-FR"/>
        </w:rPr>
      </w:pPr>
    </w:p>
    <w:p w14:paraId="31A83528" w14:textId="3BC79F45" w:rsidR="00286340" w:rsidRPr="00780334" w:rsidRDefault="006541BC" w:rsidP="00410803">
      <w:pPr>
        <w:pStyle w:val="Heading2"/>
        <w:spacing w:before="0"/>
        <w:rPr>
          <w:szCs w:val="22"/>
          <w:lang w:val="fr-FR"/>
        </w:rPr>
      </w:pPr>
      <w:r w:rsidRPr="001254FE">
        <w:rPr>
          <w:caps w:val="0"/>
          <w:szCs w:val="22"/>
          <w:lang w:val="fr-FR"/>
        </w:rPr>
        <w:t>INTRODUCTION</w:t>
      </w:r>
    </w:p>
    <w:p w14:paraId="731C6FDB" w14:textId="50920044" w:rsidR="00286340" w:rsidRPr="00780334" w:rsidRDefault="00410803" w:rsidP="00F50AAB">
      <w:pPr>
        <w:numPr>
          <w:ilvl w:val="0"/>
          <w:numId w:val="5"/>
        </w:numPr>
        <w:tabs>
          <w:tab w:val="clear" w:pos="567"/>
        </w:tabs>
        <w:spacing w:after="220"/>
        <w:rPr>
          <w:szCs w:val="22"/>
          <w:lang w:val="fr-FR"/>
        </w:rPr>
      </w:pPr>
      <w:r w:rsidRPr="001254FE">
        <w:rPr>
          <w:szCs w:val="22"/>
          <w:lang w:val="fr-FR"/>
        </w:rPr>
        <w:t>À sa six</w:t>
      </w:r>
      <w:r w:rsidR="00562836">
        <w:rPr>
          <w:szCs w:val="22"/>
          <w:lang w:val="fr-FR"/>
        </w:rPr>
        <w:t>ième session</w:t>
      </w:r>
      <w:r w:rsidRPr="001254FE">
        <w:rPr>
          <w:szCs w:val="22"/>
          <w:lang w:val="fr-FR"/>
        </w:rPr>
        <w:t xml:space="preserve"> tenue </w:t>
      </w:r>
      <w:r w:rsidR="001B1667" w:rsidRPr="001254FE">
        <w:rPr>
          <w:szCs w:val="22"/>
          <w:lang w:val="fr-FR"/>
        </w:rPr>
        <w:t>en 2018</w:t>
      </w:r>
      <w:r w:rsidRPr="001254FE">
        <w:rPr>
          <w:szCs w:val="22"/>
          <w:lang w:val="fr-FR"/>
        </w:rPr>
        <w:t xml:space="preserve">, le </w:t>
      </w:r>
      <w:r w:rsidR="00E80D1A">
        <w:rPr>
          <w:szCs w:val="22"/>
          <w:lang w:val="fr-FR"/>
        </w:rPr>
        <w:t>Comité des normes de l’OMPI</w:t>
      </w:r>
      <w:r w:rsidRPr="001254FE">
        <w:rPr>
          <w:szCs w:val="22"/>
          <w:lang w:val="fr-FR"/>
        </w:rPr>
        <w:t xml:space="preserve"> (CWS) a approuvé la norme</w:t>
      </w:r>
      <w:r w:rsidR="00574440" w:rsidRPr="001254FE">
        <w:rPr>
          <w:szCs w:val="22"/>
          <w:lang w:val="fr-FR"/>
        </w:rPr>
        <w:t xml:space="preserve"> révisée</w:t>
      </w:r>
      <w:r w:rsidR="00C95F81" w:rsidRPr="001254FE">
        <w:rPr>
          <w:szCs w:val="22"/>
          <w:lang w:val="fr-FR"/>
        </w:rPr>
        <w:t> </w:t>
      </w:r>
      <w:r w:rsidRPr="001254FE">
        <w:rPr>
          <w:szCs w:val="22"/>
          <w:lang w:val="fr-FR"/>
        </w:rPr>
        <w:t>ST.27 de l</w:t>
      </w:r>
      <w:r w:rsidR="00562836">
        <w:rPr>
          <w:szCs w:val="22"/>
          <w:lang w:val="fr-FR"/>
        </w:rPr>
        <w:t>’</w:t>
      </w:r>
      <w:r w:rsidRPr="001254FE">
        <w:rPr>
          <w:szCs w:val="22"/>
          <w:lang w:val="fr-FR"/>
        </w:rPr>
        <w:t>OMPI</w:t>
      </w:r>
      <w:r w:rsidR="00574440" w:rsidRPr="001254FE">
        <w:rPr>
          <w:szCs w:val="22"/>
          <w:lang w:val="fr-FR"/>
        </w:rPr>
        <w:t>, version 1</w:t>
      </w:r>
      <w:r w:rsidR="00574440" w:rsidRPr="00780334">
        <w:rPr>
          <w:color w:val="000000"/>
          <w:szCs w:val="22"/>
          <w:lang w:val="fr-FR"/>
        </w:rPr>
        <w:t>.</w:t>
      </w:r>
      <w:r w:rsidR="00574440" w:rsidRPr="001254FE">
        <w:rPr>
          <w:szCs w:val="22"/>
          <w:lang w:val="fr-FR"/>
        </w:rPr>
        <w:t>1,</w:t>
      </w:r>
      <w:r w:rsidRPr="001254FE">
        <w:rPr>
          <w:szCs w:val="22"/>
          <w:lang w:val="fr-FR"/>
        </w:rPr>
        <w:t xml:space="preserve"> et a adopté la nouvelle </w:t>
      </w:r>
      <w:r w:rsidR="001B1667" w:rsidRPr="001254FE">
        <w:rPr>
          <w:szCs w:val="22"/>
          <w:lang w:val="fr-FR"/>
        </w:rPr>
        <w:t>annexe V</w:t>
      </w:r>
      <w:r w:rsidRPr="001254FE">
        <w:rPr>
          <w:szCs w:val="22"/>
          <w:lang w:val="fr-FR"/>
        </w:rPr>
        <w:t xml:space="preserve"> </w:t>
      </w:r>
      <w:r w:rsidR="00C95F81" w:rsidRPr="001254FE">
        <w:rPr>
          <w:szCs w:val="22"/>
          <w:lang w:val="fr-FR"/>
        </w:rPr>
        <w:t>“</w:t>
      </w:r>
      <w:r w:rsidRPr="001254FE">
        <w:rPr>
          <w:szCs w:val="22"/>
          <w:lang w:val="fr-FR"/>
        </w:rPr>
        <w:t>Document d</w:t>
      </w:r>
      <w:r w:rsidR="00562836">
        <w:rPr>
          <w:szCs w:val="22"/>
          <w:lang w:val="fr-FR"/>
        </w:rPr>
        <w:t>’</w:t>
      </w:r>
      <w:r w:rsidRPr="001254FE">
        <w:rPr>
          <w:szCs w:val="22"/>
          <w:lang w:val="fr-FR"/>
        </w:rPr>
        <w:t>orientation</w:t>
      </w:r>
      <w:r w:rsidR="00C95F81" w:rsidRPr="001254FE">
        <w:rPr>
          <w:szCs w:val="22"/>
          <w:lang w:val="fr-FR"/>
        </w:rPr>
        <w:t>”</w:t>
      </w:r>
      <w:r w:rsidRPr="001254FE">
        <w:rPr>
          <w:szCs w:val="22"/>
          <w:lang w:val="fr-FR"/>
        </w:rPr>
        <w:t xml:space="preserve"> </w:t>
      </w:r>
      <w:r w:rsidRPr="00780334">
        <w:rPr>
          <w:color w:val="000000"/>
          <w:szCs w:val="22"/>
          <w:lang w:val="fr-FR"/>
        </w:rPr>
        <w:t>de la norme</w:t>
      </w:r>
      <w:r w:rsidR="00C95F81">
        <w:rPr>
          <w:color w:val="000000"/>
          <w:szCs w:val="22"/>
          <w:lang w:val="fr-FR"/>
        </w:rPr>
        <w:t> </w:t>
      </w:r>
      <w:r w:rsidRPr="00780334">
        <w:rPr>
          <w:color w:val="000000"/>
          <w:szCs w:val="22"/>
          <w:lang w:val="fr-FR"/>
        </w:rPr>
        <w:t xml:space="preserve">ST.27 </w:t>
      </w:r>
      <w:r w:rsidRPr="001254FE">
        <w:rPr>
          <w:szCs w:val="22"/>
          <w:lang w:val="fr-FR"/>
        </w:rPr>
        <w:t>comme provisoire</w:t>
      </w:r>
      <w:r w:rsidR="00E80D1A">
        <w:rPr>
          <w:szCs w:val="22"/>
          <w:lang w:val="fr-FR"/>
        </w:rPr>
        <w:t xml:space="preserve">.  </w:t>
      </w:r>
      <w:r w:rsidRPr="00780334">
        <w:rPr>
          <w:color w:val="000000"/>
          <w:szCs w:val="22"/>
          <w:lang w:val="fr-FR"/>
        </w:rPr>
        <w:t>Les changements apportés comprenaient</w:t>
      </w:r>
      <w:r w:rsidRPr="001254FE">
        <w:rPr>
          <w:szCs w:val="22"/>
          <w:lang w:val="fr-FR"/>
        </w:rPr>
        <w:t xml:space="preserve"> la modification des </w:t>
      </w:r>
      <w:r w:rsidR="00954CAD" w:rsidRPr="001254FE">
        <w:rPr>
          <w:szCs w:val="22"/>
          <w:lang w:val="fr-FR"/>
        </w:rPr>
        <w:t>événements relatifs au</w:t>
      </w:r>
      <w:r w:rsidRPr="001254FE">
        <w:rPr>
          <w:szCs w:val="22"/>
          <w:lang w:val="fr-FR"/>
        </w:rPr>
        <w:t xml:space="preserve"> paiement </w:t>
      </w:r>
      <w:r w:rsidR="00954CAD" w:rsidRPr="001254FE">
        <w:rPr>
          <w:szCs w:val="22"/>
          <w:lang w:val="fr-FR"/>
        </w:rPr>
        <w:t>de la taxe de maintien</w:t>
      </w:r>
      <w:r w:rsidRPr="001254FE">
        <w:rPr>
          <w:szCs w:val="22"/>
          <w:lang w:val="fr-FR"/>
        </w:rPr>
        <w:t xml:space="preserve"> et l</w:t>
      </w:r>
      <w:r w:rsidR="00562836">
        <w:rPr>
          <w:szCs w:val="22"/>
          <w:lang w:val="fr-FR"/>
        </w:rPr>
        <w:t>’</w:t>
      </w:r>
      <w:r w:rsidRPr="001254FE">
        <w:rPr>
          <w:szCs w:val="22"/>
          <w:lang w:val="fr-FR"/>
        </w:rPr>
        <w:t>amélioration des descriptions</w:t>
      </w:r>
      <w:r w:rsidR="00954CAD" w:rsidRPr="001254FE">
        <w:rPr>
          <w:szCs w:val="22"/>
          <w:lang w:val="fr-FR"/>
        </w:rPr>
        <w:t xml:space="preserve"> des événements pour les changements</w:t>
      </w:r>
      <w:r w:rsidRPr="001254FE">
        <w:rPr>
          <w:szCs w:val="22"/>
          <w:lang w:val="fr-FR"/>
        </w:rPr>
        <w:t xml:space="preserve"> </w:t>
      </w:r>
      <w:r w:rsidR="00954CAD" w:rsidRPr="001254FE">
        <w:rPr>
          <w:szCs w:val="22"/>
          <w:lang w:val="fr-FR"/>
        </w:rPr>
        <w:t>de nom et les transferts de titularité</w:t>
      </w:r>
      <w:r w:rsidR="00E80D1A">
        <w:rPr>
          <w:szCs w:val="22"/>
          <w:lang w:val="fr-FR"/>
        </w:rPr>
        <w:t xml:space="preserve">.  </w:t>
      </w:r>
      <w:r w:rsidR="00F50AAB" w:rsidRPr="001254FE">
        <w:rPr>
          <w:szCs w:val="22"/>
          <w:lang w:val="fr-FR"/>
        </w:rPr>
        <w:t>Plusieurs autres propositions ont été renvoyées à l</w:t>
      </w:r>
      <w:r w:rsidR="00562836">
        <w:rPr>
          <w:szCs w:val="22"/>
          <w:lang w:val="fr-FR"/>
        </w:rPr>
        <w:t>’</w:t>
      </w:r>
      <w:r w:rsidR="00F50AAB" w:rsidRPr="001254FE">
        <w:rPr>
          <w:szCs w:val="22"/>
          <w:lang w:val="fr-FR"/>
        </w:rPr>
        <w:t>Équipe d</w:t>
      </w:r>
      <w:r w:rsidR="00562836">
        <w:rPr>
          <w:szCs w:val="22"/>
          <w:lang w:val="fr-FR"/>
        </w:rPr>
        <w:t>’</w:t>
      </w:r>
      <w:r w:rsidR="00F50AAB" w:rsidRPr="001254FE">
        <w:rPr>
          <w:szCs w:val="22"/>
          <w:lang w:val="fr-FR"/>
        </w:rPr>
        <w:t xml:space="preserve">experts chargée de la situation juridique pour examen </w:t>
      </w:r>
      <w:r w:rsidR="00F50AAB" w:rsidRPr="00780334">
        <w:rPr>
          <w:color w:val="000000"/>
          <w:szCs w:val="22"/>
          <w:lang w:val="fr-FR"/>
        </w:rPr>
        <w:t xml:space="preserve">approfondi </w:t>
      </w:r>
      <w:r w:rsidR="00F50AAB" w:rsidRPr="001254FE">
        <w:rPr>
          <w:szCs w:val="22"/>
          <w:lang w:val="fr-FR"/>
        </w:rPr>
        <w:t>(voir les paragraphes</w:t>
      </w:r>
      <w:r w:rsidR="00C95F81" w:rsidRPr="001254FE">
        <w:rPr>
          <w:szCs w:val="22"/>
          <w:lang w:val="fr-FR"/>
        </w:rPr>
        <w:t> </w:t>
      </w:r>
      <w:r w:rsidR="00F50AAB" w:rsidRPr="001254FE">
        <w:rPr>
          <w:szCs w:val="22"/>
          <w:lang w:val="fr-FR"/>
        </w:rPr>
        <w:t xml:space="preserve">74 à 86 du </w:t>
      </w:r>
      <w:r w:rsidR="00562836" w:rsidRPr="001254FE">
        <w:rPr>
          <w:szCs w:val="22"/>
          <w:lang w:val="fr-FR"/>
        </w:rPr>
        <w:t>document</w:t>
      </w:r>
      <w:r w:rsidR="004050D9">
        <w:rPr>
          <w:szCs w:val="22"/>
          <w:lang w:val="fr-FR"/>
        </w:rPr>
        <w:t> </w:t>
      </w:r>
      <w:r w:rsidR="00562836" w:rsidRPr="001254FE">
        <w:rPr>
          <w:szCs w:val="22"/>
          <w:lang w:val="fr-FR"/>
        </w:rPr>
        <w:t>CW</w:t>
      </w:r>
      <w:r w:rsidR="00F50AAB" w:rsidRPr="001254FE">
        <w:rPr>
          <w:szCs w:val="22"/>
          <w:lang w:val="fr-FR"/>
        </w:rPr>
        <w:t>S/6/34).</w:t>
      </w:r>
    </w:p>
    <w:p w14:paraId="75523EA8" w14:textId="6CB4F01C" w:rsidR="00286340" w:rsidRPr="00780334" w:rsidRDefault="00F50AAB" w:rsidP="00F50AAB">
      <w:pPr>
        <w:numPr>
          <w:ilvl w:val="0"/>
          <w:numId w:val="5"/>
        </w:numPr>
        <w:tabs>
          <w:tab w:val="clear" w:pos="567"/>
        </w:tabs>
        <w:spacing w:after="220"/>
        <w:rPr>
          <w:szCs w:val="22"/>
          <w:lang w:val="fr-FR"/>
        </w:rPr>
      </w:pPr>
      <w:r w:rsidRPr="00780334">
        <w:rPr>
          <w:color w:val="000000"/>
          <w:szCs w:val="22"/>
          <w:lang w:val="fr-FR"/>
        </w:rPr>
        <w:t>À sa six</w:t>
      </w:r>
      <w:r w:rsidR="00562836">
        <w:rPr>
          <w:color w:val="000000"/>
          <w:szCs w:val="22"/>
          <w:lang w:val="fr-FR"/>
        </w:rPr>
        <w:t>ième session</w:t>
      </w:r>
      <w:r w:rsidRPr="00780334">
        <w:rPr>
          <w:color w:val="000000"/>
          <w:szCs w:val="22"/>
          <w:lang w:val="fr-FR"/>
        </w:rPr>
        <w:t>,</w:t>
      </w:r>
      <w:r w:rsidR="001B1667" w:rsidRPr="00780334">
        <w:rPr>
          <w:color w:val="000000"/>
          <w:szCs w:val="22"/>
          <w:lang w:val="fr-FR"/>
        </w:rPr>
        <w:t xml:space="preserve"> le</w:t>
      </w:r>
      <w:r w:rsidR="001B1667">
        <w:rPr>
          <w:color w:val="000000"/>
          <w:szCs w:val="22"/>
          <w:lang w:val="fr-FR"/>
        </w:rPr>
        <w:t> </w:t>
      </w:r>
      <w:r w:rsidR="001B1667" w:rsidRPr="00780334">
        <w:rPr>
          <w:color w:val="000000"/>
          <w:szCs w:val="22"/>
          <w:lang w:val="fr-FR"/>
        </w:rPr>
        <w:t>CWS</w:t>
      </w:r>
      <w:r w:rsidRPr="00780334">
        <w:rPr>
          <w:color w:val="000000"/>
          <w:szCs w:val="22"/>
          <w:lang w:val="fr-FR"/>
        </w:rPr>
        <w:t xml:space="preserve"> a également révisé la description de la tâche </w:t>
      </w:r>
      <w:r w:rsidR="00E80D1A">
        <w:rPr>
          <w:color w:val="000000"/>
          <w:szCs w:val="22"/>
          <w:lang w:val="fr-FR"/>
        </w:rPr>
        <w:t>n° </w:t>
      </w:r>
      <w:r w:rsidRPr="00780334">
        <w:rPr>
          <w:color w:val="000000"/>
          <w:szCs w:val="22"/>
          <w:lang w:val="fr-FR"/>
        </w:rPr>
        <w:t>47 comme suit</w:t>
      </w:r>
      <w:r w:rsidR="00E80D1A">
        <w:rPr>
          <w:color w:val="000000"/>
          <w:szCs w:val="22"/>
          <w:lang w:val="fr-FR"/>
        </w:rPr>
        <w:t> :</w:t>
      </w:r>
      <w:r w:rsidRPr="00780334">
        <w:rPr>
          <w:color w:val="000000"/>
          <w:szCs w:val="22"/>
          <w:lang w:val="fr-FR"/>
        </w:rPr>
        <w:t xml:space="preserve"> “élaborer une proposition finale concernant les événements détaillés ainsi qu</w:t>
      </w:r>
      <w:r w:rsidR="00562836">
        <w:rPr>
          <w:color w:val="000000"/>
          <w:szCs w:val="22"/>
          <w:lang w:val="fr-FR"/>
        </w:rPr>
        <w:t>’</w:t>
      </w:r>
      <w:r w:rsidRPr="00780334">
        <w:rPr>
          <w:color w:val="000000"/>
          <w:szCs w:val="22"/>
          <w:lang w:val="fr-FR"/>
        </w:rPr>
        <w:t>un document d</w:t>
      </w:r>
      <w:r w:rsidR="00562836">
        <w:rPr>
          <w:color w:val="000000"/>
          <w:szCs w:val="22"/>
          <w:lang w:val="fr-FR"/>
        </w:rPr>
        <w:t>’</w:t>
      </w:r>
      <w:r w:rsidRPr="00780334">
        <w:rPr>
          <w:color w:val="000000"/>
          <w:szCs w:val="22"/>
          <w:lang w:val="fr-FR"/>
        </w:rPr>
        <w:t>orientation pour les données sur la situation juridique des brevets</w:t>
      </w:r>
      <w:r w:rsidR="00E80D1A">
        <w:rPr>
          <w:color w:val="000000"/>
          <w:szCs w:val="22"/>
          <w:lang w:val="fr-FR"/>
        </w:rPr>
        <w:t xml:space="preserve">;  </w:t>
      </w:r>
      <w:r w:rsidRPr="00780334">
        <w:rPr>
          <w:color w:val="000000"/>
          <w:szCs w:val="22"/>
          <w:lang w:val="fr-FR"/>
        </w:rPr>
        <w:t>élaborer une recommandation relative à l</w:t>
      </w:r>
      <w:r w:rsidR="00562836">
        <w:rPr>
          <w:color w:val="000000"/>
          <w:szCs w:val="22"/>
          <w:lang w:val="fr-FR"/>
        </w:rPr>
        <w:t>’</w:t>
      </w:r>
      <w:r w:rsidRPr="00780334">
        <w:rPr>
          <w:color w:val="000000"/>
          <w:szCs w:val="22"/>
          <w:lang w:val="fr-FR"/>
        </w:rPr>
        <w:t>échange de données sur la situation juridique des marques et des dessins et modèles industriels par les offices de propriété industrielle” (voir le paragraphe</w:t>
      </w:r>
      <w:r w:rsidR="00C95F81">
        <w:rPr>
          <w:color w:val="000000"/>
          <w:szCs w:val="22"/>
          <w:lang w:val="fr-FR"/>
        </w:rPr>
        <w:t> </w:t>
      </w:r>
      <w:r w:rsidRPr="00780334">
        <w:rPr>
          <w:color w:val="000000"/>
          <w:szCs w:val="22"/>
          <w:lang w:val="fr-FR"/>
        </w:rPr>
        <w:t xml:space="preserve">73 du </w:t>
      </w:r>
      <w:r w:rsidR="00562836" w:rsidRPr="00780334">
        <w:rPr>
          <w:color w:val="000000"/>
          <w:szCs w:val="22"/>
          <w:lang w:val="fr-FR"/>
        </w:rPr>
        <w:t>document</w:t>
      </w:r>
      <w:r w:rsidR="004050D9">
        <w:rPr>
          <w:color w:val="000000"/>
          <w:szCs w:val="22"/>
          <w:lang w:val="fr-FR"/>
        </w:rPr>
        <w:t> </w:t>
      </w:r>
      <w:r w:rsidR="00562836" w:rsidRPr="00780334">
        <w:rPr>
          <w:color w:val="000000"/>
          <w:szCs w:val="22"/>
          <w:lang w:val="fr-FR"/>
        </w:rPr>
        <w:t>CW</w:t>
      </w:r>
      <w:r w:rsidRPr="00780334">
        <w:rPr>
          <w:color w:val="000000"/>
          <w:szCs w:val="22"/>
          <w:lang w:val="fr-FR"/>
        </w:rPr>
        <w:t>S/6/34).</w:t>
      </w:r>
    </w:p>
    <w:p w14:paraId="38E4032A" w14:textId="20E4B09E" w:rsidR="00286340" w:rsidRPr="00780334" w:rsidRDefault="006541BC" w:rsidP="00F50AAB">
      <w:pPr>
        <w:pStyle w:val="Heading2"/>
        <w:rPr>
          <w:szCs w:val="22"/>
          <w:lang w:val="fr-FR"/>
        </w:rPr>
      </w:pPr>
      <w:r w:rsidRPr="001254FE">
        <w:rPr>
          <w:caps w:val="0"/>
          <w:szCs w:val="22"/>
          <w:lang w:val="fr-FR"/>
        </w:rPr>
        <w:t>PROPOSITION DE REVISION DE LA NORME ST.27</w:t>
      </w:r>
    </w:p>
    <w:p w14:paraId="0572EBC2" w14:textId="565B6F7B" w:rsidR="00286340" w:rsidRPr="00780334" w:rsidRDefault="000003A7" w:rsidP="00954CAD">
      <w:pPr>
        <w:numPr>
          <w:ilvl w:val="0"/>
          <w:numId w:val="5"/>
        </w:numPr>
        <w:tabs>
          <w:tab w:val="clear" w:pos="567"/>
        </w:tabs>
        <w:spacing w:after="220"/>
        <w:rPr>
          <w:szCs w:val="22"/>
          <w:lang w:val="fr-FR"/>
        </w:rPr>
      </w:pPr>
      <w:r w:rsidRPr="001254FE">
        <w:rPr>
          <w:szCs w:val="22"/>
          <w:lang w:val="fr-FR"/>
        </w:rPr>
        <w:t xml:space="preserve">Dans le cadre de la tâche </w:t>
      </w:r>
      <w:r w:rsidR="00E80D1A">
        <w:rPr>
          <w:szCs w:val="22"/>
          <w:lang w:val="fr-FR"/>
        </w:rPr>
        <w:t>n° </w:t>
      </w:r>
      <w:r w:rsidRPr="001254FE">
        <w:rPr>
          <w:szCs w:val="22"/>
          <w:lang w:val="fr-FR"/>
        </w:rPr>
        <w:t>47, l</w:t>
      </w:r>
      <w:r w:rsidR="00562836">
        <w:rPr>
          <w:szCs w:val="22"/>
          <w:lang w:val="fr-FR"/>
        </w:rPr>
        <w:t>’</w:t>
      </w:r>
      <w:r w:rsidRPr="001254FE">
        <w:rPr>
          <w:szCs w:val="22"/>
          <w:lang w:val="fr-FR"/>
        </w:rPr>
        <w:t>Équipe d</w:t>
      </w:r>
      <w:r w:rsidR="00562836">
        <w:rPr>
          <w:szCs w:val="22"/>
          <w:lang w:val="fr-FR"/>
        </w:rPr>
        <w:t>’</w:t>
      </w:r>
      <w:r w:rsidRPr="001254FE">
        <w:rPr>
          <w:szCs w:val="22"/>
          <w:lang w:val="fr-FR"/>
        </w:rPr>
        <w:t>experts chargée de la situation juridique a établi une proposition relative à la révision de la norme</w:t>
      </w:r>
      <w:r w:rsidR="00C95F81" w:rsidRPr="001254FE">
        <w:rPr>
          <w:szCs w:val="22"/>
          <w:lang w:val="fr-FR"/>
        </w:rPr>
        <w:t> </w:t>
      </w:r>
      <w:r w:rsidRPr="001254FE">
        <w:rPr>
          <w:szCs w:val="22"/>
          <w:lang w:val="fr-FR"/>
        </w:rPr>
        <w:t>ST.27, eu égard en particulier à la mise à jour de la liste des événements détaillés et à l</w:t>
      </w:r>
      <w:r w:rsidR="00562836">
        <w:rPr>
          <w:szCs w:val="22"/>
          <w:lang w:val="fr-FR"/>
        </w:rPr>
        <w:t>’</w:t>
      </w:r>
      <w:r w:rsidRPr="001254FE">
        <w:rPr>
          <w:szCs w:val="22"/>
          <w:lang w:val="fr-FR"/>
        </w:rPr>
        <w:t>adjonction d</w:t>
      </w:r>
      <w:r w:rsidR="00562836">
        <w:rPr>
          <w:szCs w:val="22"/>
          <w:lang w:val="fr-FR"/>
        </w:rPr>
        <w:t>’</w:t>
      </w:r>
      <w:r w:rsidRPr="001254FE">
        <w:rPr>
          <w:szCs w:val="22"/>
          <w:lang w:val="fr-FR"/>
        </w:rPr>
        <w:t xml:space="preserve">une nouvelle annexe </w:t>
      </w:r>
      <w:r w:rsidRPr="00780334">
        <w:rPr>
          <w:color w:val="000000"/>
          <w:szCs w:val="22"/>
          <w:lang w:val="fr-FR"/>
        </w:rPr>
        <w:t>contenant des exemples de scénarios courants</w:t>
      </w:r>
      <w:r w:rsidR="00E80D1A">
        <w:rPr>
          <w:szCs w:val="22"/>
          <w:lang w:val="fr-FR"/>
        </w:rPr>
        <w:t xml:space="preserve">.  </w:t>
      </w:r>
      <w:r w:rsidR="00954CAD" w:rsidRPr="001254FE">
        <w:rPr>
          <w:szCs w:val="22"/>
          <w:lang w:val="fr-FR"/>
        </w:rPr>
        <w:t>L</w:t>
      </w:r>
      <w:r w:rsidR="00562836">
        <w:rPr>
          <w:szCs w:val="22"/>
          <w:lang w:val="fr-FR"/>
        </w:rPr>
        <w:t>’</w:t>
      </w:r>
      <w:r w:rsidR="00954CAD" w:rsidRPr="001254FE">
        <w:rPr>
          <w:szCs w:val="22"/>
          <w:lang w:val="fr-FR"/>
        </w:rPr>
        <w:t>équipe d</w:t>
      </w:r>
      <w:r w:rsidR="00562836">
        <w:rPr>
          <w:szCs w:val="22"/>
          <w:lang w:val="fr-FR"/>
        </w:rPr>
        <w:t>’</w:t>
      </w:r>
      <w:r w:rsidR="00954CAD" w:rsidRPr="001254FE">
        <w:rPr>
          <w:szCs w:val="22"/>
          <w:lang w:val="fr-FR"/>
        </w:rPr>
        <w:t>experts a également examiné les propositions qui lui ont été soumises par</w:t>
      </w:r>
      <w:r w:rsidR="001B1667" w:rsidRPr="001254FE">
        <w:rPr>
          <w:szCs w:val="22"/>
          <w:lang w:val="fr-FR"/>
        </w:rPr>
        <w:t xml:space="preserve"> le CWS</w:t>
      </w:r>
      <w:r w:rsidR="00954CAD" w:rsidRPr="00780334">
        <w:rPr>
          <w:color w:val="000000"/>
          <w:szCs w:val="22"/>
          <w:lang w:val="fr-FR"/>
        </w:rPr>
        <w:t>, mentionnées au paragraphe</w:t>
      </w:r>
      <w:r w:rsidR="00C95F81">
        <w:rPr>
          <w:color w:val="000000"/>
          <w:szCs w:val="22"/>
          <w:lang w:val="fr-FR"/>
        </w:rPr>
        <w:t> </w:t>
      </w:r>
      <w:r w:rsidR="00954CAD" w:rsidRPr="00780334">
        <w:rPr>
          <w:color w:val="000000"/>
          <w:szCs w:val="22"/>
          <w:lang w:val="fr-FR"/>
        </w:rPr>
        <w:t>1</w:t>
      </w:r>
      <w:r w:rsidR="00954CAD" w:rsidRPr="001254FE">
        <w:rPr>
          <w:szCs w:val="22"/>
          <w:lang w:val="fr-FR"/>
        </w:rPr>
        <w:t>.</w:t>
      </w:r>
    </w:p>
    <w:p w14:paraId="22EA9892" w14:textId="3777A495" w:rsidR="00286340" w:rsidRPr="00780334" w:rsidRDefault="00312DD0" w:rsidP="00312DD0">
      <w:pPr>
        <w:keepNext/>
        <w:keepLines/>
        <w:spacing w:after="120"/>
        <w:rPr>
          <w:caps/>
          <w:szCs w:val="22"/>
          <w:lang w:val="fr-FR"/>
        </w:rPr>
      </w:pPr>
      <w:r w:rsidRPr="001254FE">
        <w:rPr>
          <w:caps/>
          <w:szCs w:val="22"/>
          <w:lang w:val="fr-FR"/>
        </w:rPr>
        <w:lastRenderedPageBreak/>
        <w:t>Modification de la liste des événements (</w:t>
      </w:r>
      <w:r w:rsidR="001B1667" w:rsidRPr="001254FE">
        <w:rPr>
          <w:caps/>
          <w:szCs w:val="22"/>
          <w:lang w:val="fr-FR"/>
        </w:rPr>
        <w:t>annexe I</w:t>
      </w:r>
      <w:r w:rsidRPr="001254FE">
        <w:rPr>
          <w:caps/>
          <w:szCs w:val="22"/>
          <w:lang w:val="fr-FR"/>
        </w:rPr>
        <w:t xml:space="preserve"> de la norme</w:t>
      </w:r>
      <w:r w:rsidR="00C95F81" w:rsidRPr="001254FE">
        <w:rPr>
          <w:caps/>
          <w:szCs w:val="22"/>
          <w:lang w:val="fr-FR"/>
        </w:rPr>
        <w:t> </w:t>
      </w:r>
      <w:r w:rsidRPr="001254FE">
        <w:rPr>
          <w:caps/>
          <w:szCs w:val="22"/>
          <w:lang w:val="fr-FR"/>
        </w:rPr>
        <w:t>ST.27 de l</w:t>
      </w:r>
      <w:r w:rsidR="00562836">
        <w:rPr>
          <w:caps/>
          <w:szCs w:val="22"/>
          <w:lang w:val="fr-FR"/>
        </w:rPr>
        <w:t>’</w:t>
      </w:r>
      <w:r w:rsidRPr="001254FE">
        <w:rPr>
          <w:caps/>
          <w:szCs w:val="22"/>
          <w:lang w:val="fr-FR"/>
        </w:rPr>
        <w:t>ompi)</w:t>
      </w:r>
    </w:p>
    <w:p w14:paraId="1EAFA301" w14:textId="4FBC7C6F" w:rsidR="00286340" w:rsidRPr="00780334" w:rsidRDefault="0015499A" w:rsidP="00674433">
      <w:pPr>
        <w:keepLines/>
        <w:numPr>
          <w:ilvl w:val="0"/>
          <w:numId w:val="5"/>
        </w:numPr>
        <w:tabs>
          <w:tab w:val="clear" w:pos="567"/>
        </w:tabs>
        <w:spacing w:after="120"/>
        <w:rPr>
          <w:szCs w:val="22"/>
          <w:lang w:val="fr-FR"/>
        </w:rPr>
      </w:pPr>
      <w:r w:rsidRPr="001254FE">
        <w:rPr>
          <w:szCs w:val="22"/>
          <w:lang w:val="fr-FR"/>
        </w:rPr>
        <w:t xml:space="preserve">En réponse à la proposition relative à un nouvel événement sur les </w:t>
      </w:r>
      <w:r w:rsidR="00C95F81" w:rsidRPr="001254FE">
        <w:rPr>
          <w:szCs w:val="22"/>
          <w:lang w:val="fr-FR"/>
        </w:rPr>
        <w:t>“</w:t>
      </w:r>
      <w:r w:rsidRPr="001254FE">
        <w:rPr>
          <w:szCs w:val="22"/>
          <w:lang w:val="fr-FR"/>
        </w:rPr>
        <w:t>brevets d</w:t>
      </w:r>
      <w:r w:rsidR="00562836">
        <w:rPr>
          <w:szCs w:val="22"/>
          <w:lang w:val="fr-FR"/>
        </w:rPr>
        <w:t>’</w:t>
      </w:r>
      <w:r w:rsidRPr="001254FE">
        <w:rPr>
          <w:szCs w:val="22"/>
          <w:lang w:val="fr-FR"/>
        </w:rPr>
        <w:t>addition</w:t>
      </w:r>
      <w:r w:rsidR="00C95F81" w:rsidRPr="001254FE">
        <w:rPr>
          <w:szCs w:val="22"/>
          <w:lang w:val="fr-FR"/>
        </w:rPr>
        <w:t>”</w:t>
      </w:r>
      <w:r w:rsidRPr="001254FE">
        <w:rPr>
          <w:szCs w:val="22"/>
          <w:lang w:val="fr-FR"/>
        </w:rPr>
        <w:t>, l</w:t>
      </w:r>
      <w:r w:rsidR="00562836">
        <w:rPr>
          <w:szCs w:val="22"/>
          <w:lang w:val="fr-FR"/>
        </w:rPr>
        <w:t>’</w:t>
      </w:r>
      <w:r w:rsidRPr="001254FE">
        <w:rPr>
          <w:szCs w:val="22"/>
          <w:lang w:val="fr-FR"/>
        </w:rPr>
        <w:t>équipe d</w:t>
      </w:r>
      <w:r w:rsidR="00562836">
        <w:rPr>
          <w:szCs w:val="22"/>
          <w:lang w:val="fr-FR"/>
        </w:rPr>
        <w:t>’</w:t>
      </w:r>
      <w:r w:rsidRPr="001254FE">
        <w:rPr>
          <w:szCs w:val="22"/>
          <w:lang w:val="fr-FR"/>
        </w:rPr>
        <w:t>experts a estimé que les brevets d</w:t>
      </w:r>
      <w:r w:rsidR="00562836">
        <w:rPr>
          <w:szCs w:val="22"/>
          <w:lang w:val="fr-FR"/>
        </w:rPr>
        <w:t>’</w:t>
      </w:r>
      <w:r w:rsidRPr="001254FE">
        <w:rPr>
          <w:szCs w:val="22"/>
          <w:lang w:val="fr-FR"/>
        </w:rPr>
        <w:t>addition étaient déjà couverts par les événements existants</w:t>
      </w:r>
      <w:r w:rsidR="00E80D1A">
        <w:rPr>
          <w:szCs w:val="22"/>
          <w:lang w:val="fr-FR"/>
        </w:rPr>
        <w:t xml:space="preserve">.  </w:t>
      </w:r>
      <w:r w:rsidRPr="001254FE">
        <w:rPr>
          <w:szCs w:val="22"/>
          <w:lang w:val="fr-FR"/>
        </w:rPr>
        <w:t>Les brevets d</w:t>
      </w:r>
      <w:r w:rsidR="00562836">
        <w:rPr>
          <w:szCs w:val="22"/>
          <w:lang w:val="fr-FR"/>
        </w:rPr>
        <w:t>’</w:t>
      </w:r>
      <w:r w:rsidRPr="001254FE">
        <w:rPr>
          <w:szCs w:val="22"/>
          <w:lang w:val="fr-FR"/>
        </w:rPr>
        <w:t xml:space="preserve">addition sont un type de brevet fourni par certains </w:t>
      </w:r>
      <w:r w:rsidRPr="00780334">
        <w:rPr>
          <w:color w:val="000000"/>
          <w:szCs w:val="22"/>
          <w:lang w:val="fr-FR"/>
        </w:rPr>
        <w:t>o</w:t>
      </w:r>
      <w:r w:rsidRPr="001254FE">
        <w:rPr>
          <w:szCs w:val="22"/>
          <w:lang w:val="fr-FR"/>
        </w:rPr>
        <w:t xml:space="preserve">ffices de propriété </w:t>
      </w:r>
      <w:r w:rsidR="00402391">
        <w:rPr>
          <w:szCs w:val="22"/>
          <w:lang w:val="fr-FR"/>
        </w:rPr>
        <w:t>industrielle</w:t>
      </w:r>
      <w:r w:rsidR="00E80D1A">
        <w:rPr>
          <w:szCs w:val="22"/>
          <w:lang w:val="fr-FR"/>
        </w:rPr>
        <w:t xml:space="preserve">.  </w:t>
      </w:r>
      <w:r w:rsidR="00674433" w:rsidRPr="001254FE">
        <w:rPr>
          <w:szCs w:val="22"/>
          <w:lang w:val="fr-FR"/>
        </w:rPr>
        <w:t>L</w:t>
      </w:r>
      <w:r w:rsidR="00562836">
        <w:rPr>
          <w:szCs w:val="22"/>
          <w:lang w:val="fr-FR"/>
        </w:rPr>
        <w:t>’</w:t>
      </w:r>
      <w:r w:rsidR="00674433" w:rsidRPr="001254FE">
        <w:rPr>
          <w:szCs w:val="22"/>
          <w:lang w:val="fr-FR"/>
        </w:rPr>
        <w:t>équipe d</w:t>
      </w:r>
      <w:r w:rsidR="00562836">
        <w:rPr>
          <w:szCs w:val="22"/>
          <w:lang w:val="fr-FR"/>
        </w:rPr>
        <w:t>’</w:t>
      </w:r>
      <w:r w:rsidR="00674433" w:rsidRPr="001254FE">
        <w:rPr>
          <w:szCs w:val="22"/>
          <w:lang w:val="fr-FR"/>
        </w:rPr>
        <w:t>experts propose d</w:t>
      </w:r>
      <w:r w:rsidR="00562836">
        <w:rPr>
          <w:color w:val="000000"/>
          <w:szCs w:val="22"/>
          <w:lang w:val="fr-FR"/>
        </w:rPr>
        <w:t>’</w:t>
      </w:r>
      <w:r w:rsidR="00674433" w:rsidRPr="00780334">
        <w:rPr>
          <w:color w:val="000000"/>
          <w:szCs w:val="22"/>
          <w:lang w:val="fr-FR"/>
        </w:rPr>
        <w:t xml:space="preserve">actualiser </w:t>
      </w:r>
      <w:r w:rsidR="00674433" w:rsidRPr="001254FE">
        <w:rPr>
          <w:szCs w:val="22"/>
          <w:lang w:val="fr-FR"/>
        </w:rPr>
        <w:t xml:space="preserve">la description de certaines catégories </w:t>
      </w:r>
      <w:r w:rsidR="00674433" w:rsidRPr="00780334">
        <w:rPr>
          <w:color w:val="000000"/>
          <w:szCs w:val="22"/>
          <w:lang w:val="fr-FR"/>
        </w:rPr>
        <w:t>définies dans la</w:t>
      </w:r>
      <w:r w:rsidR="00674433" w:rsidRPr="001254FE">
        <w:rPr>
          <w:szCs w:val="22"/>
          <w:lang w:val="fr-FR"/>
        </w:rPr>
        <w:t xml:space="preserve"> norme</w:t>
      </w:r>
      <w:r w:rsidR="00C95F81" w:rsidRPr="001254FE">
        <w:rPr>
          <w:szCs w:val="22"/>
          <w:lang w:val="fr-FR"/>
        </w:rPr>
        <w:t> </w:t>
      </w:r>
      <w:r w:rsidR="00674433" w:rsidRPr="001254FE">
        <w:rPr>
          <w:szCs w:val="22"/>
          <w:lang w:val="fr-FR"/>
        </w:rPr>
        <w:t xml:space="preserve">ST.27 afin </w:t>
      </w:r>
      <w:r w:rsidR="00674433" w:rsidRPr="00780334">
        <w:rPr>
          <w:color w:val="000000"/>
          <w:szCs w:val="22"/>
          <w:lang w:val="fr-FR"/>
        </w:rPr>
        <w:t>d</w:t>
      </w:r>
      <w:r w:rsidR="00562836">
        <w:rPr>
          <w:color w:val="000000"/>
          <w:szCs w:val="22"/>
          <w:lang w:val="fr-FR"/>
        </w:rPr>
        <w:t>’</w:t>
      </w:r>
      <w:r w:rsidR="00674433" w:rsidRPr="00780334">
        <w:rPr>
          <w:color w:val="000000"/>
          <w:szCs w:val="22"/>
          <w:lang w:val="fr-FR"/>
        </w:rPr>
        <w:t xml:space="preserve">apporter des précisions sur les différents </w:t>
      </w:r>
      <w:r w:rsidR="00674433" w:rsidRPr="001254FE">
        <w:rPr>
          <w:szCs w:val="22"/>
          <w:lang w:val="fr-FR"/>
        </w:rPr>
        <w:t xml:space="preserve">types de demande et types de droit de propriété </w:t>
      </w:r>
      <w:r w:rsidR="00402391">
        <w:rPr>
          <w:szCs w:val="22"/>
          <w:lang w:val="fr-FR"/>
        </w:rPr>
        <w:t>industrielle</w:t>
      </w:r>
      <w:r w:rsidR="00674433" w:rsidRPr="001254FE">
        <w:rPr>
          <w:szCs w:val="22"/>
          <w:lang w:val="fr-FR"/>
        </w:rPr>
        <w:t xml:space="preserve"> qui sont couverts</w:t>
      </w:r>
      <w:r w:rsidR="00E80D1A">
        <w:rPr>
          <w:szCs w:val="22"/>
          <w:lang w:val="fr-FR"/>
        </w:rPr>
        <w:t xml:space="preserve">.  </w:t>
      </w:r>
      <w:r w:rsidR="00674433" w:rsidRPr="00780334">
        <w:rPr>
          <w:color w:val="000000"/>
          <w:szCs w:val="22"/>
          <w:lang w:val="fr-FR"/>
        </w:rPr>
        <w:t>Il est proposé d</w:t>
      </w:r>
      <w:r w:rsidR="00562836">
        <w:rPr>
          <w:color w:val="000000"/>
          <w:szCs w:val="22"/>
          <w:lang w:val="fr-FR"/>
        </w:rPr>
        <w:t>’</w:t>
      </w:r>
      <w:r w:rsidR="00674433" w:rsidRPr="00780334">
        <w:rPr>
          <w:color w:val="000000"/>
          <w:szCs w:val="22"/>
          <w:lang w:val="fr-FR"/>
        </w:rPr>
        <w:t xml:space="preserve">apporter les modifications </w:t>
      </w:r>
      <w:r w:rsidR="00674433" w:rsidRPr="001254FE">
        <w:rPr>
          <w:szCs w:val="22"/>
          <w:lang w:val="fr-FR"/>
        </w:rPr>
        <w:t>ci</w:t>
      </w:r>
      <w:r w:rsidR="00562836">
        <w:rPr>
          <w:szCs w:val="22"/>
          <w:lang w:val="fr-FR"/>
        </w:rPr>
        <w:t>-</w:t>
      </w:r>
      <w:r w:rsidR="00674433" w:rsidRPr="001254FE">
        <w:rPr>
          <w:szCs w:val="22"/>
          <w:lang w:val="fr-FR"/>
        </w:rPr>
        <w:t xml:space="preserve">après </w:t>
      </w:r>
      <w:r w:rsidR="00674433" w:rsidRPr="00780334">
        <w:rPr>
          <w:color w:val="000000"/>
          <w:szCs w:val="22"/>
          <w:lang w:val="fr-FR"/>
        </w:rPr>
        <w:t xml:space="preserve">aux </w:t>
      </w:r>
      <w:r w:rsidR="00402391">
        <w:rPr>
          <w:szCs w:val="22"/>
          <w:lang w:val="fr-FR"/>
        </w:rPr>
        <w:t>catégories A et F et de créer des renvois depuis les autres catégories</w:t>
      </w:r>
      <w:r w:rsidR="00402391">
        <w:rPr>
          <w:color w:val="000000"/>
          <w:szCs w:val="22"/>
          <w:lang w:val="fr-FR"/>
        </w:rPr>
        <w:t xml:space="preserve"> vers les</w:t>
      </w:r>
      <w:r w:rsidR="00674433" w:rsidRPr="00780334">
        <w:rPr>
          <w:color w:val="000000"/>
          <w:szCs w:val="22"/>
          <w:lang w:val="fr-FR"/>
        </w:rPr>
        <w:t xml:space="preserve"> catégories </w:t>
      </w:r>
      <w:r w:rsidR="00674433" w:rsidRPr="001254FE">
        <w:rPr>
          <w:szCs w:val="22"/>
          <w:lang w:val="fr-FR"/>
        </w:rPr>
        <w:t>A ou F, selon qu</w:t>
      </w:r>
      <w:r w:rsidR="00562836">
        <w:rPr>
          <w:szCs w:val="22"/>
          <w:lang w:val="fr-FR"/>
        </w:rPr>
        <w:t>’</w:t>
      </w:r>
      <w:r w:rsidR="00674433" w:rsidRPr="001254FE">
        <w:rPr>
          <w:szCs w:val="22"/>
          <w:lang w:val="fr-FR"/>
        </w:rPr>
        <w:t>il convient (</w:t>
      </w:r>
      <w:r w:rsidR="00674433" w:rsidRPr="00780334">
        <w:rPr>
          <w:color w:val="000000"/>
          <w:szCs w:val="22"/>
          <w:lang w:val="fr-FR"/>
        </w:rPr>
        <w:t>suivi des modifications ajouté</w:t>
      </w:r>
      <w:r w:rsidR="00674433" w:rsidRPr="001254FE">
        <w:rPr>
          <w:szCs w:val="22"/>
          <w:lang w:val="fr-FR"/>
        </w:rPr>
        <w:t xml:space="preserve"> par rapport à la version</w:t>
      </w:r>
      <w:r w:rsidR="00C95F81" w:rsidRPr="001254FE">
        <w:rPr>
          <w:szCs w:val="22"/>
          <w:lang w:val="fr-FR"/>
        </w:rPr>
        <w:t> </w:t>
      </w:r>
      <w:r w:rsidR="00674433" w:rsidRPr="001254FE">
        <w:rPr>
          <w:szCs w:val="22"/>
          <w:lang w:val="fr-FR"/>
        </w:rPr>
        <w:t>1</w:t>
      </w:r>
      <w:r w:rsidR="00674433" w:rsidRPr="00780334">
        <w:rPr>
          <w:color w:val="000000"/>
          <w:szCs w:val="22"/>
          <w:lang w:val="fr-FR"/>
        </w:rPr>
        <w:t>.</w:t>
      </w:r>
      <w:r w:rsidR="00674433" w:rsidRPr="001254FE">
        <w:rPr>
          <w:szCs w:val="22"/>
          <w:lang w:val="fr-FR"/>
        </w:rPr>
        <w:t>1 publiée en novembre</w:t>
      </w:r>
      <w:r w:rsidR="00C95F81" w:rsidRPr="001254FE">
        <w:rPr>
          <w:szCs w:val="22"/>
          <w:lang w:val="fr-FR"/>
        </w:rPr>
        <w:t> </w:t>
      </w:r>
      <w:r w:rsidR="00674433" w:rsidRPr="001254FE">
        <w:rPr>
          <w:szCs w:val="22"/>
          <w:lang w:val="fr-FR"/>
        </w:rPr>
        <w:t>2018)</w:t>
      </w:r>
      <w:r w:rsidR="00E80D1A">
        <w:rPr>
          <w:szCs w:val="22"/>
          <w:lang w:val="fr-FR"/>
        </w:rPr>
        <w:t> :</w:t>
      </w:r>
    </w:p>
    <w:p w14:paraId="3A487761" w14:textId="1E60E669" w:rsidR="00286340" w:rsidRPr="00780334" w:rsidRDefault="00B42F5D" w:rsidP="00711378">
      <w:pPr>
        <w:spacing w:after="120"/>
        <w:ind w:left="562"/>
        <w:rPr>
          <w:szCs w:val="22"/>
          <w:lang w:val="fr-FR"/>
        </w:rPr>
      </w:pPr>
      <w:r w:rsidRPr="00780334">
        <w:rPr>
          <w:b/>
          <w:szCs w:val="22"/>
          <w:lang w:val="fr-FR"/>
        </w:rPr>
        <w:t>A.</w:t>
      </w:r>
      <w:r w:rsidRPr="00780334">
        <w:rPr>
          <w:b/>
          <w:szCs w:val="22"/>
          <w:lang w:val="fr-FR"/>
        </w:rPr>
        <w:tab/>
      </w:r>
      <w:r w:rsidR="00674433" w:rsidRPr="00780334">
        <w:rPr>
          <w:b/>
          <w:szCs w:val="22"/>
          <w:lang w:val="fr-FR"/>
        </w:rPr>
        <w:t>Dépôt d</w:t>
      </w:r>
      <w:r w:rsidR="00562836">
        <w:rPr>
          <w:b/>
          <w:szCs w:val="22"/>
          <w:lang w:val="fr-FR"/>
        </w:rPr>
        <w:t>’</w:t>
      </w:r>
      <w:r w:rsidR="00674433" w:rsidRPr="00780334">
        <w:rPr>
          <w:b/>
          <w:szCs w:val="22"/>
          <w:lang w:val="fr-FR"/>
        </w:rPr>
        <w:t>une demande</w:t>
      </w:r>
      <w:r w:rsidR="00E80D1A">
        <w:rPr>
          <w:b/>
          <w:szCs w:val="22"/>
          <w:lang w:val="fr-FR"/>
        </w:rPr>
        <w:t> :</w:t>
      </w:r>
      <w:r w:rsidR="00674433" w:rsidRPr="00780334">
        <w:rPr>
          <w:szCs w:val="22"/>
          <w:lang w:val="fr-FR"/>
        </w:rPr>
        <w:t xml:space="preserve"> Cette catégorie désigne un groupe d</w:t>
      </w:r>
      <w:r w:rsidR="00562836">
        <w:rPr>
          <w:szCs w:val="22"/>
          <w:lang w:val="fr-FR"/>
        </w:rPr>
        <w:t>’</w:t>
      </w:r>
      <w:r w:rsidR="00674433" w:rsidRPr="00780334">
        <w:rPr>
          <w:szCs w:val="22"/>
          <w:lang w:val="fr-FR"/>
        </w:rPr>
        <w:t xml:space="preserve">événements en rapport avec le dépôt </w:t>
      </w:r>
      <w:r w:rsidR="00674433" w:rsidRPr="00780334">
        <w:rPr>
          <w:strike/>
          <w:szCs w:val="22"/>
          <w:lang w:val="fr-FR"/>
        </w:rPr>
        <w:t>d</w:t>
      </w:r>
      <w:r w:rsidR="00562836">
        <w:rPr>
          <w:strike/>
          <w:szCs w:val="22"/>
          <w:lang w:val="fr-FR"/>
        </w:rPr>
        <w:t>’</w:t>
      </w:r>
      <w:r w:rsidR="00674433" w:rsidRPr="00780334">
        <w:rPr>
          <w:strike/>
          <w:szCs w:val="22"/>
          <w:lang w:val="fr-FR"/>
        </w:rPr>
        <w:t>une</w:t>
      </w:r>
      <w:r w:rsidR="00674433" w:rsidRPr="00780334">
        <w:rPr>
          <w:szCs w:val="22"/>
          <w:lang w:val="fr-FR"/>
        </w:rPr>
        <w:t xml:space="preserve"> </w:t>
      </w:r>
      <w:r w:rsidR="00674433" w:rsidRPr="00780334">
        <w:rPr>
          <w:szCs w:val="22"/>
          <w:u w:val="single"/>
          <w:lang w:val="fr-FR"/>
        </w:rPr>
        <w:t>de divers types de</w:t>
      </w:r>
      <w:r w:rsidR="00674433" w:rsidRPr="00780334">
        <w:rPr>
          <w:szCs w:val="22"/>
          <w:lang w:val="fr-FR"/>
        </w:rPr>
        <w:t xml:space="preserve"> demand</w:t>
      </w:r>
      <w:r w:rsidR="00C5635F" w:rsidRPr="00780334">
        <w:rPr>
          <w:szCs w:val="22"/>
          <w:lang w:val="fr-FR"/>
        </w:rPr>
        <w:t>e</w:t>
      </w:r>
      <w:r w:rsidR="002B056C" w:rsidRPr="00780334">
        <w:rPr>
          <w:szCs w:val="22"/>
          <w:u w:val="single"/>
          <w:lang w:val="fr-FR"/>
        </w:rPr>
        <w:t xml:space="preserve">s </w:t>
      </w:r>
      <w:r w:rsidR="00C5635F" w:rsidRPr="00780334">
        <w:rPr>
          <w:szCs w:val="22"/>
          <w:u w:val="single"/>
          <w:lang w:val="fr-FR"/>
        </w:rPr>
        <w:t>de droit de propriété industrielle</w:t>
      </w:r>
      <w:r w:rsidR="00E80D1A">
        <w:rPr>
          <w:szCs w:val="22"/>
          <w:lang w:val="fr-FR"/>
        </w:rPr>
        <w:t xml:space="preserve">.  </w:t>
      </w:r>
      <w:r w:rsidR="00674433" w:rsidRPr="00780334">
        <w:rPr>
          <w:szCs w:val="22"/>
          <w:lang w:val="fr-FR"/>
        </w:rPr>
        <w:t>Elle englobe par exemple la réception par un office de propriété industrielle national ou régional d</w:t>
      </w:r>
      <w:r w:rsidR="00562836">
        <w:rPr>
          <w:szCs w:val="22"/>
          <w:lang w:val="fr-FR"/>
        </w:rPr>
        <w:t>’</w:t>
      </w:r>
      <w:r w:rsidR="00674433" w:rsidRPr="00780334">
        <w:rPr>
          <w:szCs w:val="22"/>
          <w:lang w:val="fr-FR"/>
        </w:rPr>
        <w:t>une demande d</w:t>
      </w:r>
      <w:r w:rsidR="00562836">
        <w:rPr>
          <w:szCs w:val="22"/>
          <w:lang w:val="fr-FR"/>
        </w:rPr>
        <w:t>’</w:t>
      </w:r>
      <w:r w:rsidR="00674433" w:rsidRPr="00780334">
        <w:rPr>
          <w:szCs w:val="22"/>
          <w:lang w:val="fr-FR"/>
        </w:rPr>
        <w:t>octroi d</w:t>
      </w:r>
      <w:r w:rsidR="00562836">
        <w:rPr>
          <w:szCs w:val="22"/>
          <w:lang w:val="fr-FR"/>
        </w:rPr>
        <w:t>’</w:t>
      </w:r>
      <w:r w:rsidR="00674433" w:rsidRPr="00780334">
        <w:rPr>
          <w:szCs w:val="22"/>
          <w:lang w:val="fr-FR"/>
        </w:rPr>
        <w:t>un droit de propriété industrielle accompagnée de tout document supplémentaire et des taxes nécessaires pour l</w:t>
      </w:r>
      <w:r w:rsidR="00562836">
        <w:rPr>
          <w:szCs w:val="22"/>
          <w:lang w:val="fr-FR"/>
        </w:rPr>
        <w:t>’</w:t>
      </w:r>
      <w:r w:rsidR="00674433" w:rsidRPr="00780334">
        <w:rPr>
          <w:szCs w:val="22"/>
          <w:lang w:val="fr-FR"/>
        </w:rPr>
        <w:t>obtention d</w:t>
      </w:r>
      <w:r w:rsidR="00562836">
        <w:rPr>
          <w:szCs w:val="22"/>
          <w:lang w:val="fr-FR"/>
        </w:rPr>
        <w:t>’</w:t>
      </w:r>
      <w:r w:rsidR="00674433" w:rsidRPr="00780334">
        <w:rPr>
          <w:szCs w:val="22"/>
          <w:lang w:val="fr-FR"/>
        </w:rPr>
        <w:t>une date de dépôt en vertu de la législation nationale, ou de la législation ou de la convention régionale ou du Traité de coopération en matière de brevets (PCT), selon le cas</w:t>
      </w:r>
      <w:r w:rsidR="00E80D1A">
        <w:rPr>
          <w:szCs w:val="22"/>
          <w:lang w:val="fr-FR"/>
        </w:rPr>
        <w:t xml:space="preserve">.  </w:t>
      </w:r>
      <w:r w:rsidR="00C5635F" w:rsidRPr="00780334">
        <w:rPr>
          <w:szCs w:val="22"/>
          <w:u w:val="single"/>
          <w:lang w:val="fr-FR"/>
        </w:rPr>
        <w:t>Parmi les types de demande</w:t>
      </w:r>
      <w:r w:rsidR="002B056C" w:rsidRPr="00780334">
        <w:rPr>
          <w:szCs w:val="22"/>
          <w:u w:val="single"/>
          <w:lang w:val="fr-FR"/>
        </w:rPr>
        <w:t>s</w:t>
      </w:r>
      <w:r w:rsidR="00C5635F" w:rsidRPr="00780334">
        <w:rPr>
          <w:szCs w:val="22"/>
          <w:u w:val="single"/>
          <w:lang w:val="fr-FR"/>
        </w:rPr>
        <w:t xml:space="preserve"> couverts figurent les brevets d</w:t>
      </w:r>
      <w:r w:rsidR="00562836">
        <w:rPr>
          <w:szCs w:val="22"/>
          <w:u w:val="single"/>
          <w:lang w:val="fr-FR"/>
        </w:rPr>
        <w:t>’</w:t>
      </w:r>
      <w:r w:rsidR="00C5635F" w:rsidRPr="00780334">
        <w:rPr>
          <w:szCs w:val="22"/>
          <w:u w:val="single"/>
          <w:lang w:val="fr-FR"/>
        </w:rPr>
        <w:t>invention, les modèles d</w:t>
      </w:r>
      <w:r w:rsidR="00562836">
        <w:rPr>
          <w:szCs w:val="22"/>
          <w:u w:val="single"/>
          <w:lang w:val="fr-FR"/>
        </w:rPr>
        <w:t>’</w:t>
      </w:r>
      <w:r w:rsidR="00C5635F" w:rsidRPr="00780334">
        <w:rPr>
          <w:szCs w:val="22"/>
          <w:u w:val="single"/>
          <w:lang w:val="fr-FR"/>
        </w:rPr>
        <w:t>utilité, les certificats complémentaires de protection, les brevets de plante, les brevets de dessin ou modèle, les certificats d</w:t>
      </w:r>
      <w:r w:rsidR="00562836">
        <w:rPr>
          <w:szCs w:val="22"/>
          <w:u w:val="single"/>
          <w:lang w:val="fr-FR"/>
        </w:rPr>
        <w:t>’</w:t>
      </w:r>
      <w:r w:rsidR="00C5635F" w:rsidRPr="00780334">
        <w:rPr>
          <w:szCs w:val="22"/>
          <w:u w:val="single"/>
          <w:lang w:val="fr-FR"/>
        </w:rPr>
        <w:t>auteur d</w:t>
      </w:r>
      <w:r w:rsidR="00562836">
        <w:rPr>
          <w:szCs w:val="22"/>
          <w:u w:val="single"/>
          <w:lang w:val="fr-FR"/>
        </w:rPr>
        <w:t>’</w:t>
      </w:r>
      <w:r w:rsidR="00C5635F" w:rsidRPr="00780334">
        <w:rPr>
          <w:szCs w:val="22"/>
          <w:u w:val="single"/>
          <w:lang w:val="fr-FR"/>
        </w:rPr>
        <w:t>invention, les certificats d</w:t>
      </w:r>
      <w:r w:rsidR="00562836">
        <w:rPr>
          <w:szCs w:val="22"/>
          <w:u w:val="single"/>
          <w:lang w:val="fr-FR"/>
        </w:rPr>
        <w:t>’</w:t>
      </w:r>
      <w:r w:rsidR="00C5635F" w:rsidRPr="00780334">
        <w:rPr>
          <w:szCs w:val="22"/>
          <w:u w:val="single"/>
          <w:lang w:val="fr-FR"/>
        </w:rPr>
        <w:t>utilité et les brevets d</w:t>
      </w:r>
      <w:r w:rsidR="00562836">
        <w:rPr>
          <w:szCs w:val="22"/>
          <w:u w:val="single"/>
          <w:lang w:val="fr-FR"/>
        </w:rPr>
        <w:t>’</w:t>
      </w:r>
      <w:r w:rsidR="00C5635F" w:rsidRPr="00780334">
        <w:rPr>
          <w:szCs w:val="22"/>
          <w:u w:val="single"/>
          <w:lang w:val="fr-FR"/>
        </w:rPr>
        <w:t>addition</w:t>
      </w:r>
      <w:r w:rsidR="00E80D1A">
        <w:rPr>
          <w:szCs w:val="22"/>
          <w:u w:val="single"/>
          <w:lang w:val="fr-FR"/>
        </w:rPr>
        <w:t xml:space="preserve">.  </w:t>
      </w:r>
      <w:r w:rsidR="00674433" w:rsidRPr="00780334">
        <w:rPr>
          <w:szCs w:val="22"/>
          <w:lang w:val="fr-FR"/>
        </w:rPr>
        <w:t>Cette catégorie comprend également des événements relatifs au dépôt d</w:t>
      </w:r>
      <w:r w:rsidR="00562836">
        <w:rPr>
          <w:szCs w:val="22"/>
          <w:lang w:val="fr-FR"/>
        </w:rPr>
        <w:t>’</w:t>
      </w:r>
      <w:r w:rsidR="00674433" w:rsidRPr="00780334">
        <w:rPr>
          <w:szCs w:val="22"/>
          <w:lang w:val="fr-FR"/>
        </w:rPr>
        <w:t>une demande provisoire, d</w:t>
      </w:r>
      <w:r w:rsidR="00562836">
        <w:rPr>
          <w:szCs w:val="22"/>
          <w:lang w:val="fr-FR"/>
        </w:rPr>
        <w:t>’</w:t>
      </w:r>
      <w:r w:rsidR="00674433" w:rsidRPr="00780334">
        <w:rPr>
          <w:szCs w:val="22"/>
          <w:lang w:val="fr-FR"/>
        </w:rPr>
        <w:t>une demande divisionnaire, d</w:t>
      </w:r>
      <w:r w:rsidR="00562836">
        <w:rPr>
          <w:szCs w:val="22"/>
          <w:lang w:val="fr-FR"/>
        </w:rPr>
        <w:t>’</w:t>
      </w:r>
      <w:r w:rsidR="00674433" w:rsidRPr="00780334">
        <w:rPr>
          <w:szCs w:val="22"/>
          <w:lang w:val="fr-FR"/>
        </w:rPr>
        <w:t>une demande de continuation ou de continuation</w:t>
      </w:r>
      <w:r w:rsidR="00562836">
        <w:rPr>
          <w:szCs w:val="22"/>
          <w:lang w:val="fr-FR"/>
        </w:rPr>
        <w:t>-</w:t>
      </w:r>
      <w:r w:rsidR="00674433" w:rsidRPr="00780334">
        <w:rPr>
          <w:szCs w:val="22"/>
          <w:lang w:val="fr-FR"/>
        </w:rPr>
        <w:t>in</w:t>
      </w:r>
      <w:r w:rsidR="00562836">
        <w:rPr>
          <w:szCs w:val="22"/>
          <w:lang w:val="fr-FR"/>
        </w:rPr>
        <w:t>-</w:t>
      </w:r>
      <w:r w:rsidR="00674433" w:rsidRPr="00780334">
        <w:rPr>
          <w:szCs w:val="22"/>
          <w:lang w:val="fr-FR"/>
        </w:rPr>
        <w:t>part ou d</w:t>
      </w:r>
      <w:r w:rsidR="00562836">
        <w:rPr>
          <w:szCs w:val="22"/>
          <w:lang w:val="fr-FR"/>
        </w:rPr>
        <w:t>’</w:t>
      </w:r>
      <w:r w:rsidR="00674433" w:rsidRPr="00780334">
        <w:rPr>
          <w:szCs w:val="22"/>
          <w:lang w:val="fr-FR"/>
        </w:rPr>
        <w:t>une demande de transformation</w:t>
      </w:r>
      <w:r w:rsidR="00E80D1A">
        <w:rPr>
          <w:szCs w:val="22"/>
          <w:lang w:val="fr-FR"/>
        </w:rPr>
        <w:t xml:space="preserve">.  </w:t>
      </w:r>
      <w:r w:rsidR="00674433" w:rsidRPr="00780334">
        <w:rPr>
          <w:szCs w:val="22"/>
          <w:lang w:val="fr-FR"/>
        </w:rPr>
        <w:t>Elle couvre également l</w:t>
      </w:r>
      <w:r w:rsidR="00562836">
        <w:rPr>
          <w:szCs w:val="22"/>
          <w:lang w:val="fr-FR"/>
        </w:rPr>
        <w:t>’</w:t>
      </w:r>
      <w:r w:rsidR="00674433" w:rsidRPr="00780334">
        <w:rPr>
          <w:szCs w:val="22"/>
          <w:lang w:val="fr-FR"/>
        </w:rPr>
        <w:t>entrée d</w:t>
      </w:r>
      <w:r w:rsidR="00562836">
        <w:rPr>
          <w:szCs w:val="22"/>
          <w:lang w:val="fr-FR"/>
        </w:rPr>
        <w:t>’</w:t>
      </w:r>
      <w:r w:rsidR="00674433" w:rsidRPr="00780334">
        <w:rPr>
          <w:szCs w:val="22"/>
          <w:lang w:val="fr-FR"/>
        </w:rPr>
        <w:t>une demande internationale dans la phase nationale ou régionale.</w:t>
      </w:r>
    </w:p>
    <w:p w14:paraId="0D16DDBD" w14:textId="5671CA53" w:rsidR="00286340" w:rsidRPr="00780334" w:rsidRDefault="00C1371B" w:rsidP="00711378">
      <w:pPr>
        <w:spacing w:after="220"/>
        <w:ind w:left="562"/>
        <w:rPr>
          <w:szCs w:val="22"/>
          <w:lang w:val="fr-FR"/>
        </w:rPr>
      </w:pPr>
      <w:r w:rsidRPr="00780334">
        <w:rPr>
          <w:b/>
          <w:szCs w:val="22"/>
          <w:lang w:val="fr-FR"/>
        </w:rPr>
        <w:t>F.</w:t>
      </w:r>
      <w:r w:rsidRPr="00780334">
        <w:rPr>
          <w:b/>
          <w:szCs w:val="22"/>
          <w:lang w:val="fr-FR"/>
        </w:rPr>
        <w:tab/>
      </w:r>
      <w:r w:rsidR="001A0876" w:rsidRPr="00780334">
        <w:rPr>
          <w:b/>
          <w:szCs w:val="22"/>
          <w:lang w:val="fr-FR"/>
        </w:rPr>
        <w:t>Octroi d</w:t>
      </w:r>
      <w:r w:rsidR="00562836">
        <w:rPr>
          <w:b/>
          <w:szCs w:val="22"/>
          <w:lang w:val="fr-FR"/>
        </w:rPr>
        <w:t>’</w:t>
      </w:r>
      <w:r w:rsidR="001A0876" w:rsidRPr="00780334">
        <w:rPr>
          <w:b/>
          <w:szCs w:val="22"/>
          <w:lang w:val="fr-FR"/>
        </w:rPr>
        <w:t>un droit de propriété industrielle</w:t>
      </w:r>
      <w:r w:rsidR="00E80D1A">
        <w:rPr>
          <w:b/>
          <w:szCs w:val="22"/>
          <w:lang w:val="fr-FR"/>
        </w:rPr>
        <w:t> :</w:t>
      </w:r>
      <w:r w:rsidR="001A0876" w:rsidRPr="00780334">
        <w:rPr>
          <w:szCs w:val="22"/>
          <w:lang w:val="fr-FR"/>
        </w:rPr>
        <w:t xml:space="preserve"> Cette catégorie regroupe les événements qui se rapportent à la date d</w:t>
      </w:r>
      <w:r w:rsidR="00562836">
        <w:rPr>
          <w:szCs w:val="22"/>
          <w:lang w:val="fr-FR"/>
        </w:rPr>
        <w:t>’</w:t>
      </w:r>
      <w:r w:rsidR="001A0876" w:rsidRPr="00780334">
        <w:rPr>
          <w:szCs w:val="22"/>
          <w:lang w:val="fr-FR"/>
        </w:rPr>
        <w:t>effet de l</w:t>
      </w:r>
      <w:r w:rsidR="00562836">
        <w:rPr>
          <w:szCs w:val="22"/>
          <w:lang w:val="fr-FR"/>
        </w:rPr>
        <w:t>’</w:t>
      </w:r>
      <w:r w:rsidR="001A0876" w:rsidRPr="00780334">
        <w:rPr>
          <w:szCs w:val="22"/>
          <w:lang w:val="fr-FR"/>
        </w:rPr>
        <w:t>octroi d</w:t>
      </w:r>
      <w:r w:rsidR="00562836">
        <w:rPr>
          <w:szCs w:val="22"/>
          <w:lang w:val="fr-FR"/>
        </w:rPr>
        <w:t>’</w:t>
      </w:r>
      <w:r w:rsidR="001A0876" w:rsidRPr="00780334">
        <w:rPr>
          <w:szCs w:val="22"/>
          <w:lang w:val="fr-FR"/>
        </w:rPr>
        <w:t>un droit de propriété industrielle ou de l</w:t>
      </w:r>
      <w:r w:rsidR="00562836">
        <w:rPr>
          <w:szCs w:val="22"/>
          <w:lang w:val="fr-FR"/>
        </w:rPr>
        <w:t>’</w:t>
      </w:r>
      <w:r w:rsidR="001A0876" w:rsidRPr="00780334">
        <w:rPr>
          <w:szCs w:val="22"/>
          <w:lang w:val="fr-FR"/>
        </w:rPr>
        <w:t>inscription d</w:t>
      </w:r>
      <w:r w:rsidR="00562836">
        <w:rPr>
          <w:szCs w:val="22"/>
          <w:lang w:val="fr-FR"/>
        </w:rPr>
        <w:t>’</w:t>
      </w:r>
      <w:r w:rsidR="001A0876" w:rsidRPr="00780334">
        <w:rPr>
          <w:szCs w:val="22"/>
          <w:lang w:val="fr-FR"/>
        </w:rPr>
        <w:t>un droit de propriété industrielle au registre de l</w:t>
      </w:r>
      <w:r w:rsidR="00562836">
        <w:rPr>
          <w:szCs w:val="22"/>
          <w:lang w:val="fr-FR"/>
        </w:rPr>
        <w:t>’</w:t>
      </w:r>
      <w:r w:rsidR="001A0876" w:rsidRPr="00780334">
        <w:rPr>
          <w:szCs w:val="22"/>
          <w:lang w:val="fr-FR"/>
        </w:rPr>
        <w:t>office</w:t>
      </w:r>
      <w:r w:rsidR="00E80D1A">
        <w:rPr>
          <w:szCs w:val="22"/>
          <w:lang w:val="fr-FR"/>
        </w:rPr>
        <w:t xml:space="preserve">.  </w:t>
      </w:r>
      <w:r w:rsidR="001A0876" w:rsidRPr="00780334">
        <w:rPr>
          <w:szCs w:val="22"/>
          <w:lang w:val="fr-FR"/>
        </w:rPr>
        <w:t>Il peut s</w:t>
      </w:r>
      <w:r w:rsidR="00562836">
        <w:rPr>
          <w:szCs w:val="22"/>
          <w:lang w:val="fr-FR"/>
        </w:rPr>
        <w:t>’</w:t>
      </w:r>
      <w:r w:rsidR="001A0876" w:rsidRPr="00780334">
        <w:rPr>
          <w:szCs w:val="22"/>
          <w:lang w:val="fr-FR"/>
        </w:rPr>
        <w:t>agir par exemple de l</w:t>
      </w:r>
      <w:r w:rsidR="00562836">
        <w:rPr>
          <w:szCs w:val="22"/>
          <w:lang w:val="fr-FR"/>
        </w:rPr>
        <w:t>’</w:t>
      </w:r>
      <w:r w:rsidR="001A0876" w:rsidRPr="00780334">
        <w:rPr>
          <w:szCs w:val="22"/>
          <w:lang w:val="fr-FR"/>
        </w:rPr>
        <w:t>octroi d</w:t>
      </w:r>
      <w:r w:rsidR="00562836">
        <w:rPr>
          <w:szCs w:val="22"/>
          <w:lang w:val="fr-FR"/>
        </w:rPr>
        <w:t>’</w:t>
      </w:r>
      <w:r w:rsidR="001A0876" w:rsidRPr="00780334">
        <w:rPr>
          <w:szCs w:val="22"/>
          <w:lang w:val="fr-FR"/>
        </w:rPr>
        <w:t>un droit de propriété industrielle à la suite d</w:t>
      </w:r>
      <w:r w:rsidR="00562836">
        <w:rPr>
          <w:szCs w:val="22"/>
          <w:lang w:val="fr-FR"/>
        </w:rPr>
        <w:t>’</w:t>
      </w:r>
      <w:r w:rsidR="001A0876" w:rsidRPr="00780334">
        <w:rPr>
          <w:szCs w:val="22"/>
          <w:lang w:val="fr-FR"/>
        </w:rPr>
        <w:t>un examen, d</w:t>
      </w:r>
      <w:r w:rsidR="00562836">
        <w:rPr>
          <w:szCs w:val="22"/>
          <w:lang w:val="fr-FR"/>
        </w:rPr>
        <w:t>’</w:t>
      </w:r>
      <w:r w:rsidR="001A0876" w:rsidRPr="00780334">
        <w:rPr>
          <w:szCs w:val="22"/>
          <w:lang w:val="fr-FR"/>
        </w:rPr>
        <w:t>un recours, d</w:t>
      </w:r>
      <w:r w:rsidR="00562836">
        <w:rPr>
          <w:szCs w:val="22"/>
          <w:lang w:val="fr-FR"/>
        </w:rPr>
        <w:t>’</w:t>
      </w:r>
      <w:r w:rsidR="001A0876" w:rsidRPr="00780334">
        <w:rPr>
          <w:szCs w:val="22"/>
          <w:lang w:val="fr-FR"/>
        </w:rPr>
        <w:t>un réexamen avant la délivrance ou de l</w:t>
      </w:r>
      <w:r w:rsidR="00562836">
        <w:rPr>
          <w:szCs w:val="22"/>
          <w:lang w:val="fr-FR"/>
        </w:rPr>
        <w:t>’</w:t>
      </w:r>
      <w:r w:rsidR="001A0876" w:rsidRPr="00780334">
        <w:rPr>
          <w:szCs w:val="22"/>
          <w:lang w:val="fr-FR"/>
        </w:rPr>
        <w:t>irrecevabilité, du rejet ou du retrait d</w:t>
      </w:r>
      <w:r w:rsidR="00562836">
        <w:rPr>
          <w:szCs w:val="22"/>
          <w:lang w:val="fr-FR"/>
        </w:rPr>
        <w:t>’</w:t>
      </w:r>
      <w:r w:rsidR="001A0876" w:rsidRPr="00780334">
        <w:rPr>
          <w:szCs w:val="22"/>
          <w:lang w:val="fr-FR"/>
        </w:rPr>
        <w:t>une demande d</w:t>
      </w:r>
      <w:r w:rsidR="00562836">
        <w:rPr>
          <w:szCs w:val="22"/>
          <w:lang w:val="fr-FR"/>
        </w:rPr>
        <w:t>’</w:t>
      </w:r>
      <w:r w:rsidR="001A0876" w:rsidRPr="00780334">
        <w:rPr>
          <w:szCs w:val="22"/>
          <w:lang w:val="fr-FR"/>
        </w:rPr>
        <w:t>examen avant la délivrance</w:t>
      </w:r>
      <w:r w:rsidR="00E80D1A">
        <w:rPr>
          <w:szCs w:val="22"/>
          <w:lang w:val="fr-FR"/>
        </w:rPr>
        <w:t xml:space="preserve">.  </w:t>
      </w:r>
      <w:r w:rsidR="00715EAB" w:rsidRPr="00780334">
        <w:rPr>
          <w:szCs w:val="22"/>
          <w:u w:val="single"/>
          <w:lang w:val="fr-FR"/>
        </w:rPr>
        <w:t>Parmi les types de droit de propriété industrielle couverts figurent les brevets d</w:t>
      </w:r>
      <w:r w:rsidR="00562836">
        <w:rPr>
          <w:szCs w:val="22"/>
          <w:u w:val="single"/>
          <w:lang w:val="fr-FR"/>
        </w:rPr>
        <w:t>’</w:t>
      </w:r>
      <w:r w:rsidR="00715EAB" w:rsidRPr="00780334">
        <w:rPr>
          <w:szCs w:val="22"/>
          <w:u w:val="single"/>
          <w:lang w:val="fr-FR"/>
        </w:rPr>
        <w:t>invention, les modèles d</w:t>
      </w:r>
      <w:r w:rsidR="00562836">
        <w:rPr>
          <w:szCs w:val="22"/>
          <w:u w:val="single"/>
          <w:lang w:val="fr-FR"/>
        </w:rPr>
        <w:t>’</w:t>
      </w:r>
      <w:r w:rsidR="00715EAB" w:rsidRPr="00780334">
        <w:rPr>
          <w:szCs w:val="22"/>
          <w:u w:val="single"/>
          <w:lang w:val="fr-FR"/>
        </w:rPr>
        <w:t>utilité, les certificats complémentaires de protection, ainsi que tout autre droit de propriété industrielle résultant des types de demandes</w:t>
      </w:r>
      <w:r w:rsidR="002B056C" w:rsidRPr="00780334">
        <w:rPr>
          <w:szCs w:val="22"/>
          <w:u w:val="single"/>
          <w:lang w:val="fr-FR"/>
        </w:rPr>
        <w:t xml:space="preserve"> couverts par la catégorie</w:t>
      </w:r>
      <w:r w:rsidR="00E80D1A">
        <w:rPr>
          <w:szCs w:val="22"/>
          <w:u w:val="single"/>
          <w:lang w:val="fr-FR"/>
        </w:rPr>
        <w:t xml:space="preserve"> </w:t>
      </w:r>
      <w:r w:rsidR="00E80D1A" w:rsidRPr="00780334">
        <w:rPr>
          <w:szCs w:val="22"/>
          <w:u w:val="single"/>
          <w:lang w:val="fr-FR"/>
        </w:rPr>
        <w:t>A</w:t>
      </w:r>
      <w:r w:rsidR="00E80D1A">
        <w:rPr>
          <w:szCs w:val="22"/>
          <w:u w:val="single"/>
          <w:lang w:val="fr-FR"/>
        </w:rPr>
        <w:t>. </w:t>
      </w:r>
      <w:r w:rsidR="001A0876" w:rsidRPr="00780334">
        <w:rPr>
          <w:szCs w:val="22"/>
          <w:lang w:val="fr-FR"/>
        </w:rPr>
        <w:t>Les événements relevant de cette catégorie peuvent faire passer une demande du stade de l</w:t>
      </w:r>
      <w:r w:rsidR="00562836">
        <w:rPr>
          <w:szCs w:val="22"/>
          <w:lang w:val="fr-FR"/>
        </w:rPr>
        <w:t>’</w:t>
      </w:r>
      <w:r w:rsidR="001A0876" w:rsidRPr="00780334">
        <w:rPr>
          <w:szCs w:val="22"/>
          <w:lang w:val="fr-FR"/>
        </w:rPr>
        <w:t>examen ou de la contestation avant la délivrance au stade de la délivrance.</w:t>
      </w:r>
    </w:p>
    <w:p w14:paraId="1C35F52A" w14:textId="18C2E33E" w:rsidR="00286340" w:rsidRPr="00780334" w:rsidRDefault="00B40766" w:rsidP="00B40766">
      <w:pPr>
        <w:numPr>
          <w:ilvl w:val="0"/>
          <w:numId w:val="5"/>
        </w:numPr>
        <w:tabs>
          <w:tab w:val="clear" w:pos="567"/>
        </w:tabs>
        <w:spacing w:after="120"/>
        <w:rPr>
          <w:szCs w:val="22"/>
          <w:lang w:val="fr-FR"/>
        </w:rPr>
      </w:pPr>
      <w:r w:rsidRPr="00780334">
        <w:rPr>
          <w:color w:val="000000"/>
          <w:szCs w:val="22"/>
          <w:lang w:val="fr-FR"/>
        </w:rPr>
        <w:t>Lorsque les</w:t>
      </w:r>
      <w:r w:rsidRPr="001254FE">
        <w:rPr>
          <w:szCs w:val="22"/>
          <w:lang w:val="fr-FR"/>
        </w:rPr>
        <w:t xml:space="preserve"> </w:t>
      </w:r>
      <w:r w:rsidRPr="00780334">
        <w:rPr>
          <w:color w:val="000000"/>
          <w:szCs w:val="22"/>
          <w:lang w:val="fr-FR"/>
        </w:rPr>
        <w:t xml:space="preserve">propositions de </w:t>
      </w:r>
      <w:r w:rsidRPr="001254FE">
        <w:rPr>
          <w:szCs w:val="22"/>
          <w:lang w:val="fr-FR"/>
        </w:rPr>
        <w:t xml:space="preserve">révision </w:t>
      </w:r>
      <w:r w:rsidRPr="00780334">
        <w:rPr>
          <w:color w:val="000000"/>
          <w:szCs w:val="22"/>
          <w:lang w:val="fr-FR"/>
        </w:rPr>
        <w:t xml:space="preserve">auront été </w:t>
      </w:r>
      <w:r w:rsidRPr="001254FE">
        <w:rPr>
          <w:szCs w:val="22"/>
          <w:lang w:val="fr-FR"/>
        </w:rPr>
        <w:t>approuvées, il est proposé de mettre à jour l</w:t>
      </w:r>
      <w:r w:rsidR="00562836">
        <w:rPr>
          <w:szCs w:val="22"/>
          <w:lang w:val="fr-FR"/>
        </w:rPr>
        <w:t>’</w:t>
      </w:r>
      <w:r w:rsidRPr="001254FE">
        <w:rPr>
          <w:szCs w:val="22"/>
          <w:lang w:val="fr-FR"/>
        </w:rPr>
        <w:t>annexe</w:t>
      </w:r>
      <w:r w:rsidR="00C95F81" w:rsidRPr="001254FE">
        <w:rPr>
          <w:szCs w:val="22"/>
          <w:lang w:val="fr-FR"/>
        </w:rPr>
        <w:t> </w:t>
      </w:r>
      <w:r w:rsidRPr="001254FE">
        <w:rPr>
          <w:szCs w:val="22"/>
          <w:lang w:val="fr-FR"/>
        </w:rPr>
        <w:t>II de la norme</w:t>
      </w:r>
      <w:r w:rsidR="00C95F81" w:rsidRPr="001254FE">
        <w:rPr>
          <w:szCs w:val="22"/>
          <w:lang w:val="fr-FR"/>
        </w:rPr>
        <w:t> </w:t>
      </w:r>
      <w:r w:rsidRPr="001254FE">
        <w:rPr>
          <w:szCs w:val="22"/>
          <w:lang w:val="fr-FR"/>
        </w:rPr>
        <w:t>ST.27 afin de tenir compte de ces modifications.</w:t>
      </w:r>
    </w:p>
    <w:p w14:paraId="0AFE9597" w14:textId="45D089CF" w:rsidR="00286340" w:rsidRPr="00780334" w:rsidRDefault="00EA33F9" w:rsidP="00EA33F9">
      <w:pPr>
        <w:numPr>
          <w:ilvl w:val="0"/>
          <w:numId w:val="5"/>
        </w:numPr>
        <w:tabs>
          <w:tab w:val="clear" w:pos="567"/>
        </w:tabs>
        <w:spacing w:after="120"/>
        <w:rPr>
          <w:szCs w:val="22"/>
          <w:lang w:val="fr-FR"/>
        </w:rPr>
      </w:pPr>
      <w:r w:rsidRPr="001254FE">
        <w:rPr>
          <w:szCs w:val="22"/>
          <w:lang w:val="fr-FR"/>
        </w:rPr>
        <w:t xml:space="preserve">En ce qui concerne la proposition </w:t>
      </w:r>
      <w:r w:rsidRPr="00780334">
        <w:rPr>
          <w:color w:val="000000"/>
          <w:szCs w:val="22"/>
          <w:lang w:val="fr-FR"/>
        </w:rPr>
        <w:t>relative à l</w:t>
      </w:r>
      <w:r w:rsidR="00562836">
        <w:rPr>
          <w:color w:val="000000"/>
          <w:szCs w:val="22"/>
          <w:lang w:val="fr-FR"/>
        </w:rPr>
        <w:t>’</w:t>
      </w:r>
      <w:r w:rsidRPr="00780334">
        <w:rPr>
          <w:color w:val="000000"/>
          <w:szCs w:val="22"/>
          <w:lang w:val="fr-FR"/>
        </w:rPr>
        <w:t>ajout de la phrase</w:t>
      </w:r>
      <w:r w:rsidRPr="001254FE">
        <w:rPr>
          <w:szCs w:val="22"/>
          <w:lang w:val="fr-FR"/>
        </w:rPr>
        <w:t xml:space="preserve"> </w:t>
      </w:r>
      <w:r w:rsidR="00C95F81" w:rsidRPr="001254FE">
        <w:rPr>
          <w:szCs w:val="22"/>
          <w:lang w:val="fr-FR"/>
        </w:rPr>
        <w:t>“</w:t>
      </w:r>
      <w:r w:rsidRPr="001254FE">
        <w:rPr>
          <w:szCs w:val="22"/>
          <w:lang w:val="fr-FR"/>
        </w:rPr>
        <w:t>au déposant</w:t>
      </w:r>
      <w:r w:rsidR="00C95F81" w:rsidRPr="001254FE">
        <w:rPr>
          <w:szCs w:val="22"/>
          <w:lang w:val="fr-FR"/>
        </w:rPr>
        <w:t>”</w:t>
      </w:r>
      <w:r w:rsidRPr="001254FE">
        <w:rPr>
          <w:szCs w:val="22"/>
          <w:lang w:val="fr-FR"/>
        </w:rPr>
        <w:t xml:space="preserve"> aux événements</w:t>
      </w:r>
      <w:r w:rsidR="00C95F81" w:rsidRPr="001254FE">
        <w:rPr>
          <w:szCs w:val="22"/>
          <w:lang w:val="fr-FR"/>
        </w:rPr>
        <w:t> </w:t>
      </w:r>
      <w:r w:rsidRPr="001254FE">
        <w:rPr>
          <w:szCs w:val="22"/>
          <w:lang w:val="fr-FR"/>
        </w:rPr>
        <w:t>D14 et D15, l</w:t>
      </w:r>
      <w:r w:rsidR="00562836">
        <w:rPr>
          <w:szCs w:val="22"/>
          <w:lang w:val="fr-FR"/>
        </w:rPr>
        <w:t>’</w:t>
      </w:r>
      <w:r w:rsidRPr="001254FE">
        <w:rPr>
          <w:szCs w:val="22"/>
          <w:lang w:val="fr-FR"/>
        </w:rPr>
        <w:t>équipe d</w:t>
      </w:r>
      <w:r w:rsidR="00562836">
        <w:rPr>
          <w:szCs w:val="22"/>
          <w:lang w:val="fr-FR"/>
        </w:rPr>
        <w:t>’</w:t>
      </w:r>
      <w:r w:rsidRPr="001254FE">
        <w:rPr>
          <w:szCs w:val="22"/>
          <w:lang w:val="fr-FR"/>
        </w:rPr>
        <w:t xml:space="preserve">experts a estimé que les offices de propriété industrielle </w:t>
      </w:r>
      <w:r w:rsidRPr="00780334">
        <w:rPr>
          <w:color w:val="000000"/>
          <w:szCs w:val="22"/>
          <w:lang w:val="fr-FR"/>
        </w:rPr>
        <w:t>ne fournissaient pas tous le rapport de recherche et d</w:t>
      </w:r>
      <w:r w:rsidR="00562836">
        <w:rPr>
          <w:color w:val="000000"/>
          <w:szCs w:val="22"/>
          <w:lang w:val="fr-FR"/>
        </w:rPr>
        <w:t>’</w:t>
      </w:r>
      <w:r w:rsidRPr="00780334">
        <w:rPr>
          <w:color w:val="000000"/>
          <w:szCs w:val="22"/>
          <w:lang w:val="fr-FR"/>
        </w:rPr>
        <w:t>examen au déposant</w:t>
      </w:r>
      <w:r w:rsidRPr="001254FE">
        <w:rPr>
          <w:szCs w:val="22"/>
          <w:lang w:val="fr-FR"/>
        </w:rPr>
        <w:t xml:space="preserve"> </w:t>
      </w:r>
      <w:r w:rsidRPr="00780334">
        <w:rPr>
          <w:color w:val="000000"/>
          <w:szCs w:val="22"/>
          <w:lang w:val="fr-FR"/>
        </w:rPr>
        <w:t>lorsque ce rapport était terminé</w:t>
      </w:r>
      <w:r w:rsidR="00E80D1A">
        <w:rPr>
          <w:szCs w:val="22"/>
          <w:lang w:val="fr-FR"/>
        </w:rPr>
        <w:t xml:space="preserve">.  </w:t>
      </w:r>
      <w:r w:rsidRPr="001254FE">
        <w:rPr>
          <w:szCs w:val="22"/>
          <w:lang w:val="fr-FR"/>
        </w:rPr>
        <w:t>L</w:t>
      </w:r>
      <w:r w:rsidR="00562836">
        <w:rPr>
          <w:szCs w:val="22"/>
          <w:lang w:val="fr-FR"/>
        </w:rPr>
        <w:t>’</w:t>
      </w:r>
      <w:r w:rsidRPr="001254FE">
        <w:rPr>
          <w:szCs w:val="22"/>
          <w:lang w:val="fr-FR"/>
        </w:rPr>
        <w:t>équipe d</w:t>
      </w:r>
      <w:r w:rsidR="00562836">
        <w:rPr>
          <w:szCs w:val="22"/>
          <w:lang w:val="fr-FR"/>
        </w:rPr>
        <w:t>’</w:t>
      </w:r>
      <w:r w:rsidRPr="001254FE">
        <w:rPr>
          <w:szCs w:val="22"/>
          <w:lang w:val="fr-FR"/>
        </w:rPr>
        <w:t>experts propose de modifier la description de ces événements comme suit</w:t>
      </w:r>
      <w:r w:rsidR="00E80D1A">
        <w:rPr>
          <w:szCs w:val="22"/>
          <w:lang w:val="fr-FR"/>
        </w:rPr>
        <w:t> :</w:t>
      </w:r>
    </w:p>
    <w:p w14:paraId="795EAC1D" w14:textId="0192F059" w:rsidR="00286340" w:rsidRPr="00780334" w:rsidRDefault="00FE2B6E" w:rsidP="00711378">
      <w:pPr>
        <w:spacing w:after="120"/>
        <w:ind w:left="1124" w:hanging="562"/>
        <w:jc w:val="both"/>
        <w:rPr>
          <w:szCs w:val="22"/>
          <w:lang w:val="fr-FR"/>
        </w:rPr>
      </w:pPr>
      <w:r w:rsidRPr="00780334">
        <w:rPr>
          <w:szCs w:val="22"/>
          <w:lang w:val="fr-FR"/>
        </w:rPr>
        <w:t>D14.</w:t>
      </w:r>
      <w:r w:rsidRPr="00780334">
        <w:rPr>
          <w:szCs w:val="22"/>
          <w:lang w:val="fr-FR"/>
        </w:rPr>
        <w:tab/>
      </w:r>
      <w:r w:rsidR="00EA33F9" w:rsidRPr="00780334">
        <w:rPr>
          <w:szCs w:val="22"/>
          <w:lang w:val="fr-FR"/>
        </w:rPr>
        <w:t xml:space="preserve">Rapport de recherche </w:t>
      </w:r>
      <w:r w:rsidR="00EA33F9" w:rsidRPr="00780334">
        <w:rPr>
          <w:strike/>
          <w:szCs w:val="22"/>
          <w:lang w:val="fr-FR"/>
        </w:rPr>
        <w:t xml:space="preserve">publié </w:t>
      </w:r>
      <w:r w:rsidR="00EA33F9" w:rsidRPr="00780334">
        <w:rPr>
          <w:szCs w:val="22"/>
          <w:u w:val="single"/>
          <w:lang w:val="fr-FR"/>
        </w:rPr>
        <w:t>terminé</w:t>
      </w:r>
      <w:r w:rsidR="00EA33F9" w:rsidRPr="00780334">
        <w:rPr>
          <w:szCs w:val="22"/>
          <w:lang w:val="fr-FR"/>
        </w:rPr>
        <w:t xml:space="preserve"> (Un rapport de recherche sur l</w:t>
      </w:r>
      <w:r w:rsidR="00562836">
        <w:rPr>
          <w:szCs w:val="22"/>
          <w:lang w:val="fr-FR"/>
        </w:rPr>
        <w:t>’</w:t>
      </w:r>
      <w:r w:rsidR="00EA33F9" w:rsidRPr="00780334">
        <w:rPr>
          <w:szCs w:val="22"/>
          <w:lang w:val="fr-FR"/>
        </w:rPr>
        <w:t xml:space="preserve">état de la technique </w:t>
      </w:r>
      <w:r w:rsidR="00562836">
        <w:rPr>
          <w:szCs w:val="22"/>
          <w:lang w:val="fr-FR"/>
        </w:rPr>
        <w:t>à l’égard</w:t>
      </w:r>
      <w:r w:rsidR="00EA33F9" w:rsidRPr="00780334">
        <w:rPr>
          <w:szCs w:val="22"/>
          <w:lang w:val="fr-FR"/>
        </w:rPr>
        <w:t xml:space="preserve"> d</w:t>
      </w:r>
      <w:r w:rsidR="00562836">
        <w:rPr>
          <w:szCs w:val="22"/>
          <w:lang w:val="fr-FR"/>
        </w:rPr>
        <w:t>’</w:t>
      </w:r>
      <w:r w:rsidR="00EA33F9" w:rsidRPr="00780334">
        <w:rPr>
          <w:szCs w:val="22"/>
          <w:lang w:val="fr-FR"/>
        </w:rPr>
        <w:t xml:space="preserve">une demande a été </w:t>
      </w:r>
      <w:r w:rsidR="00EA33F9" w:rsidRPr="00780334">
        <w:rPr>
          <w:strike/>
          <w:szCs w:val="22"/>
          <w:lang w:val="fr-FR"/>
        </w:rPr>
        <w:t xml:space="preserve">publié </w:t>
      </w:r>
      <w:r w:rsidR="00EA33F9" w:rsidRPr="00780334">
        <w:rPr>
          <w:szCs w:val="22"/>
          <w:u w:val="single"/>
          <w:lang w:val="fr-FR"/>
        </w:rPr>
        <w:t>terminé par l</w:t>
      </w:r>
      <w:r w:rsidR="00562836">
        <w:rPr>
          <w:szCs w:val="22"/>
          <w:u w:val="single"/>
          <w:lang w:val="fr-FR"/>
        </w:rPr>
        <w:t>’</w:t>
      </w:r>
      <w:r w:rsidR="00EA33F9" w:rsidRPr="00780334">
        <w:rPr>
          <w:szCs w:val="22"/>
          <w:u w:val="single"/>
          <w:lang w:val="fr-FR"/>
        </w:rPr>
        <w:t>office de propriété industrielle</w:t>
      </w:r>
      <w:r w:rsidRPr="00780334">
        <w:rPr>
          <w:szCs w:val="22"/>
          <w:lang w:val="fr-FR"/>
        </w:rPr>
        <w:t>)</w:t>
      </w:r>
      <w:r w:rsidR="00EA33F9" w:rsidRPr="00780334">
        <w:rPr>
          <w:szCs w:val="22"/>
          <w:lang w:val="fr-FR"/>
        </w:rPr>
        <w:t>.</w:t>
      </w:r>
    </w:p>
    <w:p w14:paraId="0547C5E6" w14:textId="2FA01FCE" w:rsidR="00286340" w:rsidRPr="00780334" w:rsidRDefault="00FE2B6E" w:rsidP="00711378">
      <w:pPr>
        <w:spacing w:after="220"/>
        <w:ind w:left="562"/>
        <w:rPr>
          <w:szCs w:val="22"/>
          <w:lang w:val="fr-FR"/>
        </w:rPr>
      </w:pPr>
      <w:r w:rsidRPr="00780334">
        <w:rPr>
          <w:szCs w:val="22"/>
          <w:lang w:val="fr-FR"/>
        </w:rPr>
        <w:t>D15.</w:t>
      </w:r>
      <w:r w:rsidRPr="00780334">
        <w:rPr>
          <w:szCs w:val="22"/>
          <w:lang w:val="fr-FR"/>
        </w:rPr>
        <w:tab/>
      </w:r>
      <w:r w:rsidR="00EA33F9" w:rsidRPr="00780334">
        <w:rPr>
          <w:szCs w:val="22"/>
          <w:lang w:val="fr-FR"/>
        </w:rPr>
        <w:t>Rapport d</w:t>
      </w:r>
      <w:r w:rsidR="00562836">
        <w:rPr>
          <w:szCs w:val="22"/>
          <w:lang w:val="fr-FR"/>
        </w:rPr>
        <w:t>’</w:t>
      </w:r>
      <w:r w:rsidR="00EA33F9" w:rsidRPr="00780334">
        <w:rPr>
          <w:szCs w:val="22"/>
          <w:lang w:val="fr-FR"/>
        </w:rPr>
        <w:t xml:space="preserve">examen </w:t>
      </w:r>
      <w:r w:rsidR="00EA33F9" w:rsidRPr="00780334">
        <w:rPr>
          <w:strike/>
          <w:szCs w:val="22"/>
          <w:lang w:val="fr-FR"/>
        </w:rPr>
        <w:t xml:space="preserve">publié </w:t>
      </w:r>
      <w:r w:rsidR="00EA33F9" w:rsidRPr="00780334">
        <w:rPr>
          <w:szCs w:val="22"/>
          <w:u w:val="single"/>
          <w:lang w:val="fr-FR"/>
        </w:rPr>
        <w:t>terminé</w:t>
      </w:r>
      <w:r w:rsidR="00EA33F9" w:rsidRPr="00780334">
        <w:rPr>
          <w:szCs w:val="22"/>
          <w:lang w:val="fr-FR"/>
        </w:rPr>
        <w:t xml:space="preserve"> (Un rapport d</w:t>
      </w:r>
      <w:r w:rsidR="00562836">
        <w:rPr>
          <w:szCs w:val="22"/>
          <w:lang w:val="fr-FR"/>
        </w:rPr>
        <w:t>’</w:t>
      </w:r>
      <w:r w:rsidR="00EA33F9" w:rsidRPr="00780334">
        <w:rPr>
          <w:szCs w:val="22"/>
          <w:lang w:val="fr-FR"/>
        </w:rPr>
        <w:t xml:space="preserve">examen quant au fond </w:t>
      </w:r>
      <w:r w:rsidR="00EA33F9" w:rsidRPr="00780334">
        <w:rPr>
          <w:szCs w:val="22"/>
          <w:u w:val="single"/>
          <w:lang w:val="fr-FR"/>
        </w:rPr>
        <w:t>a été terminé par l</w:t>
      </w:r>
      <w:r w:rsidR="00562836">
        <w:rPr>
          <w:szCs w:val="22"/>
          <w:u w:val="single"/>
          <w:lang w:val="fr-FR"/>
        </w:rPr>
        <w:t>’</w:t>
      </w:r>
      <w:r w:rsidR="00EA33F9" w:rsidRPr="00780334">
        <w:rPr>
          <w:szCs w:val="22"/>
          <w:u w:val="single"/>
          <w:lang w:val="fr-FR"/>
        </w:rPr>
        <w:t>office de propriété industrielle</w:t>
      </w:r>
      <w:r w:rsidR="00EA33F9" w:rsidRPr="00780334">
        <w:rPr>
          <w:strike/>
          <w:szCs w:val="22"/>
          <w:lang w:val="fr-FR"/>
        </w:rPr>
        <w:t>ou une notification des motifs de rejet de la demande a été publié</w:t>
      </w:r>
      <w:r w:rsidR="00EA33F9" w:rsidRPr="00780334">
        <w:rPr>
          <w:szCs w:val="22"/>
          <w:lang w:val="fr-FR"/>
        </w:rPr>
        <w:t>).</w:t>
      </w:r>
    </w:p>
    <w:p w14:paraId="166C06F4" w14:textId="7849B8B3" w:rsidR="00286340" w:rsidRPr="00780334" w:rsidRDefault="00E707F3" w:rsidP="006541BC">
      <w:pPr>
        <w:keepLines/>
        <w:numPr>
          <w:ilvl w:val="0"/>
          <w:numId w:val="5"/>
        </w:numPr>
        <w:tabs>
          <w:tab w:val="clear" w:pos="567"/>
        </w:tabs>
        <w:spacing w:after="120"/>
        <w:rPr>
          <w:szCs w:val="22"/>
          <w:lang w:val="fr-FR"/>
        </w:rPr>
      </w:pPr>
      <w:r w:rsidRPr="00780334">
        <w:rPr>
          <w:color w:val="000000"/>
          <w:szCs w:val="22"/>
          <w:lang w:val="fr-FR"/>
        </w:rPr>
        <w:t>À sa six</w:t>
      </w:r>
      <w:r w:rsidR="00562836">
        <w:rPr>
          <w:color w:val="000000"/>
          <w:szCs w:val="22"/>
          <w:lang w:val="fr-FR"/>
        </w:rPr>
        <w:t>ième session</w:t>
      </w:r>
      <w:r w:rsidRPr="00780334">
        <w:rPr>
          <w:color w:val="000000"/>
          <w:szCs w:val="22"/>
          <w:lang w:val="fr-FR"/>
        </w:rPr>
        <w:t>,</w:t>
      </w:r>
      <w:r w:rsidR="001B1667" w:rsidRPr="00780334">
        <w:rPr>
          <w:color w:val="000000"/>
          <w:szCs w:val="22"/>
          <w:lang w:val="fr-FR"/>
        </w:rPr>
        <w:t xml:space="preserve"> l</w:t>
      </w:r>
      <w:r w:rsidR="001B1667" w:rsidRPr="001254FE">
        <w:rPr>
          <w:szCs w:val="22"/>
          <w:lang w:val="fr-FR"/>
        </w:rPr>
        <w:t>e</w:t>
      </w:r>
      <w:r w:rsidR="001B1667">
        <w:rPr>
          <w:color w:val="000000"/>
          <w:szCs w:val="22"/>
          <w:lang w:val="fr-FR"/>
        </w:rPr>
        <w:t> </w:t>
      </w:r>
      <w:r w:rsidR="001B1667" w:rsidRPr="001254FE">
        <w:rPr>
          <w:szCs w:val="22"/>
          <w:lang w:val="fr-FR"/>
        </w:rPr>
        <w:t>CWS</w:t>
      </w:r>
      <w:r w:rsidRPr="001254FE">
        <w:rPr>
          <w:szCs w:val="22"/>
          <w:lang w:val="fr-FR"/>
        </w:rPr>
        <w:t xml:space="preserve"> a approuvé une proposition </w:t>
      </w:r>
      <w:r w:rsidRPr="00780334">
        <w:rPr>
          <w:color w:val="000000"/>
          <w:szCs w:val="22"/>
          <w:lang w:val="fr-FR"/>
        </w:rPr>
        <w:t xml:space="preserve">tendant </w:t>
      </w:r>
      <w:r w:rsidRPr="001254FE">
        <w:rPr>
          <w:szCs w:val="22"/>
          <w:lang w:val="fr-FR"/>
        </w:rPr>
        <w:t xml:space="preserve">à </w:t>
      </w:r>
      <w:r w:rsidRPr="00780334">
        <w:rPr>
          <w:color w:val="000000"/>
          <w:szCs w:val="22"/>
          <w:lang w:val="fr-FR"/>
        </w:rPr>
        <w:t xml:space="preserve">apporter des précisions concernant </w:t>
      </w:r>
      <w:r w:rsidRPr="001254FE">
        <w:rPr>
          <w:szCs w:val="22"/>
          <w:lang w:val="fr-FR"/>
        </w:rPr>
        <w:t>les événements</w:t>
      </w:r>
      <w:r w:rsidR="00C95F81" w:rsidRPr="001254FE">
        <w:rPr>
          <w:szCs w:val="22"/>
          <w:lang w:val="fr-FR"/>
        </w:rPr>
        <w:t> </w:t>
      </w:r>
      <w:r w:rsidRPr="001254FE">
        <w:rPr>
          <w:szCs w:val="22"/>
          <w:lang w:val="fr-FR"/>
        </w:rPr>
        <w:t>R12 à R14</w:t>
      </w:r>
      <w:r w:rsidR="00E80D1A">
        <w:rPr>
          <w:szCs w:val="22"/>
          <w:lang w:val="fr-FR"/>
        </w:rPr>
        <w:t xml:space="preserve">.  </w:t>
      </w:r>
      <w:r w:rsidRPr="001254FE">
        <w:rPr>
          <w:szCs w:val="22"/>
          <w:lang w:val="fr-FR"/>
        </w:rPr>
        <w:t>L</w:t>
      </w:r>
      <w:r w:rsidR="00562836">
        <w:rPr>
          <w:szCs w:val="22"/>
          <w:lang w:val="fr-FR"/>
        </w:rPr>
        <w:t>’</w:t>
      </w:r>
      <w:r w:rsidRPr="001254FE">
        <w:rPr>
          <w:szCs w:val="22"/>
          <w:lang w:val="fr-FR"/>
        </w:rPr>
        <w:t>équipe d</w:t>
      </w:r>
      <w:r w:rsidR="00562836">
        <w:rPr>
          <w:szCs w:val="22"/>
          <w:lang w:val="fr-FR"/>
        </w:rPr>
        <w:t>’</w:t>
      </w:r>
      <w:r w:rsidRPr="001254FE">
        <w:rPr>
          <w:szCs w:val="22"/>
          <w:lang w:val="fr-FR"/>
        </w:rPr>
        <w:t>experts a estimé qu</w:t>
      </w:r>
      <w:r w:rsidRPr="00780334">
        <w:rPr>
          <w:color w:val="000000"/>
          <w:szCs w:val="22"/>
          <w:lang w:val="fr-FR"/>
        </w:rPr>
        <w:t xml:space="preserve">e des </w:t>
      </w:r>
      <w:r w:rsidRPr="00780334">
        <w:rPr>
          <w:color w:val="000000"/>
          <w:szCs w:val="22"/>
          <w:lang w:val="fr-FR"/>
        </w:rPr>
        <w:lastRenderedPageBreak/>
        <w:t xml:space="preserve">précisions </w:t>
      </w:r>
      <w:r w:rsidRPr="001254FE">
        <w:rPr>
          <w:szCs w:val="22"/>
          <w:lang w:val="fr-FR"/>
        </w:rPr>
        <w:t>supplémentaire</w:t>
      </w:r>
      <w:r w:rsidRPr="00780334">
        <w:rPr>
          <w:color w:val="000000"/>
          <w:szCs w:val="22"/>
          <w:lang w:val="fr-FR"/>
        </w:rPr>
        <w:t>s</w:t>
      </w:r>
      <w:r w:rsidRPr="001254FE">
        <w:rPr>
          <w:szCs w:val="22"/>
          <w:lang w:val="fr-FR"/>
        </w:rPr>
        <w:t xml:space="preserve"> aiderai</w:t>
      </w:r>
      <w:r w:rsidRPr="00780334">
        <w:rPr>
          <w:color w:val="000000"/>
          <w:szCs w:val="22"/>
          <w:lang w:val="fr-FR"/>
        </w:rPr>
        <w:t>en</w:t>
      </w:r>
      <w:r w:rsidRPr="001254FE">
        <w:rPr>
          <w:szCs w:val="22"/>
          <w:lang w:val="fr-FR"/>
        </w:rPr>
        <w:t>t les utilisateurs à mieux comprendre les différences entre ces événements et propose les modifications supplémentaires suivantes</w:t>
      </w:r>
      <w:r w:rsidR="00E80D1A">
        <w:rPr>
          <w:szCs w:val="22"/>
          <w:lang w:val="fr-FR"/>
        </w:rPr>
        <w:t> :</w:t>
      </w:r>
    </w:p>
    <w:p w14:paraId="2497F4AE" w14:textId="734971C7" w:rsidR="00286340" w:rsidRPr="00780334" w:rsidRDefault="007E1B1A" w:rsidP="00711378">
      <w:pPr>
        <w:keepLines/>
        <w:ind w:left="1138" w:hanging="576"/>
        <w:jc w:val="both"/>
        <w:rPr>
          <w:szCs w:val="22"/>
          <w:lang w:val="fr-FR"/>
        </w:rPr>
      </w:pPr>
      <w:r w:rsidRPr="00780334">
        <w:rPr>
          <w:szCs w:val="22"/>
          <w:lang w:val="fr-FR"/>
        </w:rPr>
        <w:t>R12*.</w:t>
      </w:r>
      <w:r w:rsidRPr="00780334">
        <w:rPr>
          <w:szCs w:val="22"/>
          <w:lang w:val="fr-FR"/>
        </w:rPr>
        <w:tab/>
      </w:r>
      <w:r w:rsidR="00E707F3" w:rsidRPr="00780334">
        <w:rPr>
          <w:szCs w:val="22"/>
          <w:lang w:val="fr-FR"/>
        </w:rPr>
        <w:t xml:space="preserve">Changement de nom du déposant ou du titulaire ou transfert de titularité inscrit (Un changement dans la personne du déposant de la demande ou du titulaire du droit de propriété industrielle, </w:t>
      </w:r>
      <w:r w:rsidR="00B973D6" w:rsidRPr="00780334">
        <w:rPr>
          <w:szCs w:val="22"/>
          <w:u w:val="single"/>
          <w:lang w:val="fr-FR"/>
        </w:rPr>
        <w:t xml:space="preserve">un transfert de titularité ou une cession, </w:t>
      </w:r>
      <w:r w:rsidR="00E707F3" w:rsidRPr="00780334">
        <w:rPr>
          <w:strike/>
          <w:szCs w:val="22"/>
          <w:lang w:val="fr-FR"/>
        </w:rPr>
        <w:t>tel qu</w:t>
      </w:r>
      <w:r w:rsidR="00562836">
        <w:rPr>
          <w:strike/>
          <w:szCs w:val="22"/>
          <w:lang w:val="fr-FR"/>
        </w:rPr>
        <w:t>’</w:t>
      </w:r>
      <w:r w:rsidR="00E707F3" w:rsidRPr="00780334">
        <w:rPr>
          <w:strike/>
          <w:szCs w:val="22"/>
          <w:lang w:val="fr-FR"/>
        </w:rPr>
        <w:t xml:space="preserve">un changement de nom ou de structure, </w:t>
      </w:r>
      <w:r w:rsidR="00E707F3" w:rsidRPr="00780334">
        <w:rPr>
          <w:szCs w:val="22"/>
          <w:lang w:val="fr-FR"/>
        </w:rPr>
        <w:t>a été inscrit par l</w:t>
      </w:r>
      <w:r w:rsidR="00562836">
        <w:rPr>
          <w:szCs w:val="22"/>
          <w:lang w:val="fr-FR"/>
        </w:rPr>
        <w:t>’</w:t>
      </w:r>
      <w:r w:rsidR="00E707F3" w:rsidRPr="00780334">
        <w:rPr>
          <w:szCs w:val="22"/>
          <w:lang w:val="fr-FR"/>
        </w:rPr>
        <w:t>office de la propriété industrielle</w:t>
      </w:r>
      <w:r w:rsidR="00E80D1A">
        <w:rPr>
          <w:szCs w:val="22"/>
          <w:lang w:val="fr-FR"/>
        </w:rPr>
        <w:t xml:space="preserve">.  </w:t>
      </w:r>
      <w:r w:rsidR="00E707F3" w:rsidRPr="00780334">
        <w:rPr>
          <w:szCs w:val="22"/>
          <w:lang w:val="fr-FR"/>
        </w:rPr>
        <w:t>Il peut s</w:t>
      </w:r>
      <w:r w:rsidR="00562836">
        <w:rPr>
          <w:szCs w:val="22"/>
          <w:lang w:val="fr-FR"/>
        </w:rPr>
        <w:t>’</w:t>
      </w:r>
      <w:r w:rsidR="00E707F3" w:rsidRPr="00780334">
        <w:rPr>
          <w:szCs w:val="22"/>
          <w:lang w:val="fr-FR"/>
        </w:rPr>
        <w:t xml:space="preserve">agir </w:t>
      </w:r>
      <w:r w:rsidR="00B973D6" w:rsidRPr="00780334">
        <w:rPr>
          <w:szCs w:val="22"/>
          <w:u w:val="single"/>
          <w:lang w:val="fr-FR"/>
        </w:rPr>
        <w:t>d</w:t>
      </w:r>
      <w:r w:rsidR="00562836">
        <w:rPr>
          <w:szCs w:val="22"/>
          <w:u w:val="single"/>
          <w:lang w:val="fr-FR"/>
        </w:rPr>
        <w:t>’</w:t>
      </w:r>
      <w:r w:rsidR="00B973D6" w:rsidRPr="00780334">
        <w:rPr>
          <w:szCs w:val="22"/>
          <w:u w:val="single"/>
          <w:lang w:val="fr-FR"/>
        </w:rPr>
        <w:t xml:space="preserve">une correction apportée à un nom, </w:t>
      </w:r>
      <w:r w:rsidR="00E707F3" w:rsidRPr="00780334">
        <w:rPr>
          <w:szCs w:val="22"/>
          <w:lang w:val="fr-FR"/>
        </w:rPr>
        <w:t>d</w:t>
      </w:r>
      <w:r w:rsidR="00562836">
        <w:rPr>
          <w:szCs w:val="22"/>
          <w:lang w:val="fr-FR"/>
        </w:rPr>
        <w:t>’</w:t>
      </w:r>
      <w:r w:rsidR="00E707F3" w:rsidRPr="00780334">
        <w:rPr>
          <w:szCs w:val="22"/>
          <w:lang w:val="fr-FR"/>
        </w:rPr>
        <w:t>un changement de</w:t>
      </w:r>
      <w:r w:rsidR="00B973D6" w:rsidRPr="00780334">
        <w:rPr>
          <w:szCs w:val="22"/>
          <w:lang w:val="fr-FR"/>
        </w:rPr>
        <w:t xml:space="preserve"> nom</w:t>
      </w:r>
      <w:r w:rsidR="00B973D6" w:rsidRPr="00780334">
        <w:rPr>
          <w:szCs w:val="22"/>
          <w:u w:val="single"/>
          <w:lang w:val="fr-FR"/>
        </w:rPr>
        <w:t xml:space="preserve"> légal</w:t>
      </w:r>
      <w:r w:rsidR="00E707F3" w:rsidRPr="00780334">
        <w:rPr>
          <w:szCs w:val="22"/>
          <w:lang w:val="fr-FR"/>
        </w:rPr>
        <w:t>, d</w:t>
      </w:r>
      <w:r w:rsidR="00562836">
        <w:rPr>
          <w:szCs w:val="22"/>
          <w:lang w:val="fr-FR"/>
        </w:rPr>
        <w:t>’</w:t>
      </w:r>
      <w:r w:rsidR="00E707F3" w:rsidRPr="00780334">
        <w:rPr>
          <w:szCs w:val="22"/>
          <w:lang w:val="fr-FR"/>
        </w:rPr>
        <w:t>un transfert</w:t>
      </w:r>
      <w:r w:rsidR="00E707F3" w:rsidRPr="00780334">
        <w:rPr>
          <w:strike/>
          <w:szCs w:val="22"/>
          <w:lang w:val="fr-FR"/>
        </w:rPr>
        <w:t>,</w:t>
      </w:r>
      <w:r w:rsidR="00C95F81">
        <w:rPr>
          <w:szCs w:val="22"/>
          <w:u w:val="single"/>
          <w:lang w:val="fr-FR"/>
        </w:rPr>
        <w:t xml:space="preserve"> o</w:t>
      </w:r>
      <w:r w:rsidR="00B973D6" w:rsidRPr="00780334">
        <w:rPr>
          <w:szCs w:val="22"/>
          <w:u w:val="single"/>
          <w:lang w:val="fr-FR"/>
        </w:rPr>
        <w:t xml:space="preserve">u </w:t>
      </w:r>
      <w:r w:rsidR="00E707F3" w:rsidRPr="00780334">
        <w:rPr>
          <w:szCs w:val="22"/>
          <w:lang w:val="fr-FR"/>
        </w:rPr>
        <w:t>d</w:t>
      </w:r>
      <w:r w:rsidR="00562836">
        <w:rPr>
          <w:szCs w:val="22"/>
          <w:lang w:val="fr-FR"/>
        </w:rPr>
        <w:t>’</w:t>
      </w:r>
      <w:r w:rsidR="00E707F3" w:rsidRPr="00780334">
        <w:rPr>
          <w:szCs w:val="22"/>
          <w:lang w:val="fr-FR"/>
        </w:rPr>
        <w:t>une cession</w:t>
      </w:r>
      <w:r w:rsidR="00E707F3" w:rsidRPr="00780334">
        <w:rPr>
          <w:strike/>
          <w:szCs w:val="22"/>
          <w:lang w:val="fr-FR"/>
        </w:rPr>
        <w:t xml:space="preserve"> ou d</w:t>
      </w:r>
      <w:r w:rsidR="00562836">
        <w:rPr>
          <w:strike/>
          <w:szCs w:val="22"/>
          <w:lang w:val="fr-FR"/>
        </w:rPr>
        <w:t>’</w:t>
      </w:r>
      <w:r w:rsidR="00E707F3" w:rsidRPr="00780334">
        <w:rPr>
          <w:strike/>
          <w:szCs w:val="22"/>
          <w:lang w:val="fr-FR"/>
        </w:rPr>
        <w:t>une procédure juridique</w:t>
      </w:r>
      <w:r w:rsidR="00E707F3" w:rsidRPr="00780334">
        <w:rPr>
          <w:szCs w:val="22"/>
          <w:lang w:val="fr-FR"/>
        </w:rPr>
        <w:t>)</w:t>
      </w:r>
      <w:r w:rsidR="00E80D1A">
        <w:rPr>
          <w:szCs w:val="22"/>
          <w:lang w:val="fr-FR"/>
        </w:rPr>
        <w:t xml:space="preserve">.  </w:t>
      </w:r>
      <w:r w:rsidR="00E707F3" w:rsidRPr="00780334">
        <w:rPr>
          <w:szCs w:val="22"/>
          <w:lang w:val="fr-FR"/>
        </w:rPr>
        <w:t>Cet événement détaillé est destiné à être utilisé par les offices de propriété industrielle qui ne sont pas en mesure d</w:t>
      </w:r>
      <w:r w:rsidR="00562836">
        <w:rPr>
          <w:szCs w:val="22"/>
          <w:lang w:val="fr-FR"/>
        </w:rPr>
        <w:t>’</w:t>
      </w:r>
      <w:r w:rsidR="00E707F3" w:rsidRPr="00780334">
        <w:rPr>
          <w:szCs w:val="22"/>
          <w:lang w:val="fr-FR"/>
        </w:rPr>
        <w:t>établir de distinction entre les événements</w:t>
      </w:r>
      <w:r w:rsidR="00C95F81">
        <w:rPr>
          <w:szCs w:val="22"/>
          <w:lang w:val="fr-FR"/>
        </w:rPr>
        <w:t> </w:t>
      </w:r>
      <w:r w:rsidR="00E707F3" w:rsidRPr="00780334">
        <w:rPr>
          <w:szCs w:val="22"/>
          <w:lang w:val="fr-FR"/>
        </w:rPr>
        <w:t>R13 et R14</w:t>
      </w:r>
      <w:r w:rsidR="00E80D1A">
        <w:rPr>
          <w:szCs w:val="22"/>
          <w:lang w:val="fr-FR"/>
        </w:rPr>
        <w:t xml:space="preserve">.  </w:t>
      </w:r>
      <w:r w:rsidR="00E707F3" w:rsidRPr="00780334">
        <w:rPr>
          <w:szCs w:val="22"/>
          <w:lang w:val="fr-FR"/>
        </w:rPr>
        <w:t>Si une distinction est possible, l</w:t>
      </w:r>
      <w:r w:rsidR="00562836">
        <w:rPr>
          <w:szCs w:val="22"/>
          <w:lang w:val="fr-FR"/>
        </w:rPr>
        <w:t>’</w:t>
      </w:r>
      <w:r w:rsidR="00E707F3" w:rsidRPr="00780334">
        <w:rPr>
          <w:szCs w:val="22"/>
          <w:lang w:val="fr-FR"/>
        </w:rPr>
        <w:t>utilisation des événements</w:t>
      </w:r>
      <w:r w:rsidR="00C95F81">
        <w:rPr>
          <w:szCs w:val="22"/>
          <w:lang w:val="fr-FR"/>
        </w:rPr>
        <w:t> </w:t>
      </w:r>
      <w:r w:rsidR="00E707F3" w:rsidRPr="00780334">
        <w:rPr>
          <w:szCs w:val="22"/>
          <w:lang w:val="fr-FR"/>
        </w:rPr>
        <w:t>R13 et R14 est fortement recommandée.</w:t>
      </w:r>
    </w:p>
    <w:p w14:paraId="3307B199" w14:textId="61F74470" w:rsidR="00286340" w:rsidRPr="00780334" w:rsidRDefault="007E1B1A" w:rsidP="00711378">
      <w:pPr>
        <w:keepLines/>
        <w:shd w:val="clear" w:color="auto" w:fill="FFFFFF"/>
        <w:spacing w:after="120"/>
        <w:ind w:left="1124" w:hanging="562"/>
        <w:rPr>
          <w:rFonts w:eastAsia="Times New Roman"/>
          <w:color w:val="222222"/>
          <w:szCs w:val="22"/>
          <w:lang w:val="fr-FR" w:eastAsia="en-CA"/>
        </w:rPr>
      </w:pPr>
      <w:r w:rsidRPr="00780334">
        <w:rPr>
          <w:rFonts w:eastAsia="Times New Roman"/>
          <w:color w:val="222222"/>
          <w:szCs w:val="22"/>
          <w:lang w:val="fr-FR" w:eastAsia="en-CA"/>
        </w:rPr>
        <w:t>R13*</w:t>
      </w:r>
      <w:r w:rsidR="00E80D1A">
        <w:rPr>
          <w:rFonts w:eastAsia="Times New Roman"/>
          <w:color w:val="222222"/>
          <w:szCs w:val="22"/>
          <w:lang w:val="fr-FR" w:eastAsia="en-CA"/>
        </w:rPr>
        <w:t xml:space="preserve">.  </w:t>
      </w:r>
      <w:r w:rsidR="00B973D6" w:rsidRPr="00780334">
        <w:rPr>
          <w:lang w:val="fr-FR"/>
        </w:rPr>
        <w:t xml:space="preserve">Changement de nom du déposant ou du titulaire inscrit (Un changement de nom du déposant de la demande ou du titulaire du droit de propriété industrielle </w:t>
      </w:r>
      <w:r w:rsidR="00B973D6" w:rsidRPr="00780334">
        <w:rPr>
          <w:u w:val="single"/>
          <w:lang w:val="fr-FR"/>
        </w:rPr>
        <w:t>n</w:t>
      </w:r>
      <w:r w:rsidR="00562836">
        <w:rPr>
          <w:u w:val="single"/>
          <w:lang w:val="fr-FR"/>
        </w:rPr>
        <w:t>’</w:t>
      </w:r>
      <w:r w:rsidR="00B973D6" w:rsidRPr="00780334">
        <w:rPr>
          <w:u w:val="single"/>
          <w:lang w:val="fr-FR"/>
        </w:rPr>
        <w:t>indiquant pas qu</w:t>
      </w:r>
      <w:r w:rsidR="00562836">
        <w:rPr>
          <w:u w:val="single"/>
          <w:lang w:val="fr-FR"/>
        </w:rPr>
        <w:t>’</w:t>
      </w:r>
      <w:r w:rsidR="00B973D6" w:rsidRPr="00780334">
        <w:rPr>
          <w:u w:val="single"/>
          <w:lang w:val="fr-FR"/>
        </w:rPr>
        <w:t>un transfert</w:t>
      </w:r>
      <w:r w:rsidR="00B973D6" w:rsidRPr="00780334">
        <w:rPr>
          <w:lang w:val="fr-FR"/>
        </w:rPr>
        <w:t xml:space="preserve"> a été inscrit par l</w:t>
      </w:r>
      <w:r w:rsidR="00562836">
        <w:rPr>
          <w:lang w:val="fr-FR"/>
        </w:rPr>
        <w:t>’</w:t>
      </w:r>
      <w:r w:rsidR="00B973D6" w:rsidRPr="00780334">
        <w:rPr>
          <w:lang w:val="fr-FR"/>
        </w:rPr>
        <w:t>office de la propriété industrielle)</w:t>
      </w:r>
      <w:r w:rsidR="00E80D1A">
        <w:rPr>
          <w:lang w:val="fr-FR"/>
        </w:rPr>
        <w:t xml:space="preserve">.  </w:t>
      </w:r>
      <w:r w:rsidR="00B973D6" w:rsidRPr="00780334">
        <w:rPr>
          <w:rFonts w:eastAsia="Times New Roman"/>
          <w:bCs/>
          <w:color w:val="222222"/>
          <w:szCs w:val="22"/>
          <w:u w:val="single"/>
          <w:lang w:val="fr-FR" w:eastAsia="en-CA"/>
        </w:rPr>
        <w:t>Les raisons les plus souvent invoquées pour ce type de changement sont les corrections apportées à des noms, les erreurs d</w:t>
      </w:r>
      <w:r w:rsidR="00562836">
        <w:rPr>
          <w:rFonts w:eastAsia="Times New Roman"/>
          <w:bCs/>
          <w:color w:val="222222"/>
          <w:szCs w:val="22"/>
          <w:u w:val="single"/>
          <w:lang w:val="fr-FR" w:eastAsia="en-CA"/>
        </w:rPr>
        <w:t>’</w:t>
      </w:r>
      <w:r w:rsidR="00B973D6" w:rsidRPr="00780334">
        <w:rPr>
          <w:rFonts w:eastAsia="Times New Roman"/>
          <w:bCs/>
          <w:color w:val="222222"/>
          <w:szCs w:val="22"/>
          <w:u w:val="single"/>
          <w:lang w:val="fr-FR" w:eastAsia="en-CA"/>
        </w:rPr>
        <w:t xml:space="preserve">orthographe ou les changements de nom </w:t>
      </w:r>
      <w:r w:rsidR="005267C0">
        <w:rPr>
          <w:rFonts w:eastAsia="Times New Roman"/>
          <w:bCs/>
          <w:color w:val="222222"/>
          <w:szCs w:val="22"/>
          <w:u w:val="single"/>
          <w:lang w:val="fr-FR" w:eastAsia="en-CA"/>
        </w:rPr>
        <w:t>légal</w:t>
      </w:r>
      <w:r w:rsidR="00B973D6" w:rsidRPr="00780334">
        <w:rPr>
          <w:rFonts w:eastAsia="Times New Roman"/>
          <w:bCs/>
          <w:color w:val="222222"/>
          <w:szCs w:val="22"/>
          <w:u w:val="single"/>
          <w:lang w:val="fr-FR" w:eastAsia="en-CA"/>
        </w:rPr>
        <w:t xml:space="preserve">, </w:t>
      </w:r>
      <w:r w:rsidR="003969B2" w:rsidRPr="00780334">
        <w:rPr>
          <w:rFonts w:eastAsia="Times New Roman"/>
          <w:bCs/>
          <w:color w:val="222222"/>
          <w:szCs w:val="22"/>
          <w:u w:val="single"/>
          <w:lang w:val="fr-FR" w:eastAsia="en-CA"/>
        </w:rPr>
        <w:t>par exemple lors d</w:t>
      </w:r>
      <w:r w:rsidR="00562836">
        <w:rPr>
          <w:rFonts w:eastAsia="Times New Roman"/>
          <w:bCs/>
          <w:color w:val="222222"/>
          <w:szCs w:val="22"/>
          <w:u w:val="single"/>
          <w:lang w:val="fr-FR" w:eastAsia="en-CA"/>
        </w:rPr>
        <w:t>’</w:t>
      </w:r>
      <w:r w:rsidR="003969B2" w:rsidRPr="00780334">
        <w:rPr>
          <w:rFonts w:eastAsia="Times New Roman"/>
          <w:bCs/>
          <w:color w:val="222222"/>
          <w:szCs w:val="22"/>
          <w:u w:val="single"/>
          <w:lang w:val="fr-FR" w:eastAsia="en-CA"/>
        </w:rPr>
        <w:t>une fusion</w:t>
      </w:r>
      <w:r w:rsidRPr="00780334">
        <w:rPr>
          <w:rFonts w:eastAsia="Times New Roman"/>
          <w:bCs/>
          <w:color w:val="222222"/>
          <w:szCs w:val="22"/>
          <w:u w:val="single"/>
          <w:lang w:val="fr-FR" w:eastAsia="en-CA"/>
        </w:rPr>
        <w:t>.</w:t>
      </w:r>
      <w:r w:rsidRPr="00780334">
        <w:rPr>
          <w:rFonts w:eastAsia="Times New Roman"/>
          <w:color w:val="222222"/>
          <w:szCs w:val="22"/>
          <w:lang w:val="fr-FR" w:eastAsia="en-CA"/>
        </w:rPr>
        <w:t>)</w:t>
      </w:r>
    </w:p>
    <w:p w14:paraId="12DC163D" w14:textId="59A47D5C" w:rsidR="00286340" w:rsidRPr="00780334" w:rsidRDefault="007E1B1A" w:rsidP="00711378">
      <w:pPr>
        <w:keepLines/>
        <w:shd w:val="clear" w:color="auto" w:fill="FFFFFF"/>
        <w:spacing w:after="220"/>
        <w:ind w:left="1124" w:hanging="562"/>
        <w:rPr>
          <w:rFonts w:eastAsia="Times New Roman"/>
          <w:color w:val="222222"/>
          <w:szCs w:val="22"/>
          <w:lang w:val="fr-FR" w:eastAsia="en-CA"/>
        </w:rPr>
      </w:pPr>
      <w:r w:rsidRPr="00780334">
        <w:rPr>
          <w:rFonts w:eastAsia="Times New Roman"/>
          <w:color w:val="222222"/>
          <w:szCs w:val="22"/>
          <w:lang w:val="fr-FR" w:eastAsia="en-CA"/>
        </w:rPr>
        <w:t>R14*</w:t>
      </w:r>
      <w:r w:rsidR="00E80D1A">
        <w:rPr>
          <w:rFonts w:eastAsia="Times New Roman"/>
          <w:color w:val="222222"/>
          <w:szCs w:val="22"/>
          <w:lang w:val="fr-FR" w:eastAsia="en-CA"/>
        </w:rPr>
        <w:t xml:space="preserve">.  </w:t>
      </w:r>
      <w:r w:rsidR="00B973D6" w:rsidRPr="00780334">
        <w:rPr>
          <w:lang w:val="fr-FR"/>
        </w:rPr>
        <w:t>Transfert inscrit (Un transfert de titularité</w:t>
      </w:r>
      <w:r w:rsidR="00B973D6" w:rsidRPr="00780334">
        <w:rPr>
          <w:strike/>
          <w:lang w:val="fr-FR"/>
        </w:rPr>
        <w:t>,</w:t>
      </w:r>
      <w:r w:rsidR="00C95F81">
        <w:rPr>
          <w:u w:val="single"/>
          <w:lang w:val="fr-FR"/>
        </w:rPr>
        <w:t xml:space="preserve"> o</w:t>
      </w:r>
      <w:r w:rsidR="003969B2" w:rsidRPr="00780334">
        <w:rPr>
          <w:u w:val="single"/>
          <w:lang w:val="fr-FR"/>
        </w:rPr>
        <w:t>u</w:t>
      </w:r>
      <w:r w:rsidR="00B973D6" w:rsidRPr="00780334">
        <w:rPr>
          <w:lang w:val="fr-FR"/>
        </w:rPr>
        <w:t xml:space="preserve"> une cession</w:t>
      </w:r>
      <w:r w:rsidR="00B973D6" w:rsidRPr="00780334">
        <w:rPr>
          <w:strike/>
          <w:lang w:val="fr-FR"/>
        </w:rPr>
        <w:t xml:space="preserve"> ou une modification de la structure du déposant</w:t>
      </w:r>
      <w:r w:rsidR="00B973D6" w:rsidRPr="00780334">
        <w:rPr>
          <w:lang w:val="fr-FR"/>
        </w:rPr>
        <w:t xml:space="preserve"> de la demande ou </w:t>
      </w:r>
      <w:r w:rsidR="00B973D6" w:rsidRPr="00780334">
        <w:rPr>
          <w:strike/>
          <w:lang w:val="fr-FR"/>
        </w:rPr>
        <w:t xml:space="preserve">du titulaire </w:t>
      </w:r>
      <w:r w:rsidR="00B973D6" w:rsidRPr="00780334">
        <w:rPr>
          <w:lang w:val="fr-FR"/>
        </w:rPr>
        <w:t>du droit de propriété industrielle a été inscrit par l</w:t>
      </w:r>
      <w:r w:rsidR="00562836">
        <w:rPr>
          <w:lang w:val="fr-FR"/>
        </w:rPr>
        <w:t>’</w:t>
      </w:r>
      <w:r w:rsidR="00B973D6" w:rsidRPr="00780334">
        <w:rPr>
          <w:lang w:val="fr-FR"/>
        </w:rPr>
        <w:t>office de la propriété industrielle)</w:t>
      </w:r>
      <w:r w:rsidR="00E80D1A">
        <w:rPr>
          <w:lang w:val="fr-FR"/>
        </w:rPr>
        <w:t xml:space="preserve">.  </w:t>
      </w:r>
      <w:r w:rsidR="003969B2" w:rsidRPr="00780334">
        <w:rPr>
          <w:rFonts w:eastAsia="Times New Roman"/>
          <w:color w:val="222222"/>
          <w:szCs w:val="22"/>
          <w:u w:val="single"/>
          <w:lang w:val="fr-FR" w:eastAsia="en-CA"/>
        </w:rPr>
        <w:t>Cet événement indique qu</w:t>
      </w:r>
      <w:r w:rsidR="00562836">
        <w:rPr>
          <w:rFonts w:eastAsia="Times New Roman"/>
          <w:color w:val="222222"/>
          <w:szCs w:val="22"/>
          <w:u w:val="single"/>
          <w:lang w:val="fr-FR" w:eastAsia="en-CA"/>
        </w:rPr>
        <w:t>’</w:t>
      </w:r>
      <w:r w:rsidR="003969B2" w:rsidRPr="00780334">
        <w:rPr>
          <w:rFonts w:eastAsia="Times New Roman"/>
          <w:color w:val="222222"/>
          <w:szCs w:val="22"/>
          <w:u w:val="single"/>
          <w:lang w:val="fr-FR" w:eastAsia="en-CA"/>
        </w:rPr>
        <w:t>une expression d</w:t>
      </w:r>
      <w:r w:rsidR="00562836">
        <w:rPr>
          <w:rFonts w:eastAsia="Times New Roman"/>
          <w:color w:val="222222"/>
          <w:szCs w:val="22"/>
          <w:u w:val="single"/>
          <w:lang w:val="fr-FR" w:eastAsia="en-CA"/>
        </w:rPr>
        <w:t>’</w:t>
      </w:r>
      <w:r w:rsidR="003969B2" w:rsidRPr="00780334">
        <w:rPr>
          <w:rFonts w:eastAsia="Times New Roman"/>
          <w:color w:val="222222"/>
          <w:szCs w:val="22"/>
          <w:u w:val="single"/>
          <w:lang w:val="fr-FR" w:eastAsia="en-CA"/>
        </w:rPr>
        <w:t>intérêt a été adressée par une partie à une autre partie, dans le cadre d</w:t>
      </w:r>
      <w:r w:rsidR="00562836">
        <w:rPr>
          <w:rFonts w:eastAsia="Times New Roman"/>
          <w:color w:val="222222"/>
          <w:szCs w:val="22"/>
          <w:u w:val="single"/>
          <w:lang w:val="fr-FR" w:eastAsia="en-CA"/>
        </w:rPr>
        <w:t>’</w:t>
      </w:r>
      <w:r w:rsidR="003969B2" w:rsidRPr="00780334">
        <w:rPr>
          <w:rFonts w:eastAsia="Times New Roman"/>
          <w:color w:val="222222"/>
          <w:szCs w:val="22"/>
          <w:u w:val="single"/>
          <w:lang w:val="fr-FR" w:eastAsia="en-CA"/>
        </w:rPr>
        <w:t>un échange volontaire, d</w:t>
      </w:r>
      <w:r w:rsidR="00562836">
        <w:rPr>
          <w:rFonts w:eastAsia="Times New Roman"/>
          <w:color w:val="222222"/>
          <w:szCs w:val="22"/>
          <w:u w:val="single"/>
          <w:lang w:val="fr-FR" w:eastAsia="en-CA"/>
        </w:rPr>
        <w:t>’</w:t>
      </w:r>
      <w:r w:rsidR="003969B2" w:rsidRPr="00780334">
        <w:rPr>
          <w:rFonts w:eastAsia="Times New Roman"/>
          <w:color w:val="222222"/>
          <w:szCs w:val="22"/>
          <w:u w:val="single"/>
          <w:lang w:val="fr-FR" w:eastAsia="en-CA"/>
        </w:rPr>
        <w:t>une cession ou d</w:t>
      </w:r>
      <w:r w:rsidR="00562836">
        <w:rPr>
          <w:rFonts w:eastAsia="Times New Roman"/>
          <w:color w:val="222222"/>
          <w:szCs w:val="22"/>
          <w:u w:val="single"/>
          <w:lang w:val="fr-FR" w:eastAsia="en-CA"/>
        </w:rPr>
        <w:t>’</w:t>
      </w:r>
      <w:r w:rsidR="003969B2" w:rsidRPr="00780334">
        <w:rPr>
          <w:rFonts w:eastAsia="Times New Roman"/>
          <w:color w:val="222222"/>
          <w:szCs w:val="22"/>
          <w:u w:val="single"/>
          <w:lang w:val="fr-FR" w:eastAsia="en-CA"/>
        </w:rPr>
        <w:t>une obligation contractuelle</w:t>
      </w:r>
      <w:r w:rsidRPr="00780334">
        <w:rPr>
          <w:rFonts w:eastAsia="Times New Roman"/>
          <w:bCs/>
          <w:color w:val="222222"/>
          <w:szCs w:val="22"/>
          <w:u w:val="single"/>
          <w:lang w:val="fr-FR" w:eastAsia="en-CA"/>
        </w:rPr>
        <w:t>.</w:t>
      </w:r>
      <w:r w:rsidRPr="00780334">
        <w:rPr>
          <w:rFonts w:eastAsia="Times New Roman"/>
          <w:color w:val="222222"/>
          <w:szCs w:val="22"/>
          <w:lang w:val="fr-FR" w:eastAsia="en-CA"/>
        </w:rPr>
        <w:t>)</w:t>
      </w:r>
    </w:p>
    <w:p w14:paraId="673D0689" w14:textId="092E4176" w:rsidR="00286340" w:rsidRPr="00780334" w:rsidRDefault="002E5683" w:rsidP="00B02F96">
      <w:pPr>
        <w:numPr>
          <w:ilvl w:val="0"/>
          <w:numId w:val="5"/>
        </w:numPr>
        <w:tabs>
          <w:tab w:val="clear" w:pos="567"/>
        </w:tabs>
        <w:spacing w:after="120"/>
        <w:rPr>
          <w:szCs w:val="22"/>
          <w:lang w:val="fr-FR"/>
        </w:rPr>
      </w:pPr>
      <w:r w:rsidRPr="001254FE">
        <w:rPr>
          <w:szCs w:val="22"/>
          <w:lang w:val="fr-FR"/>
        </w:rPr>
        <w:t>Un membre de l</w:t>
      </w:r>
      <w:r w:rsidR="00562836">
        <w:rPr>
          <w:szCs w:val="22"/>
          <w:lang w:val="fr-FR"/>
        </w:rPr>
        <w:t>’</w:t>
      </w:r>
      <w:r w:rsidRPr="001254FE">
        <w:rPr>
          <w:szCs w:val="22"/>
          <w:lang w:val="fr-FR"/>
        </w:rPr>
        <w:t>équipe d</w:t>
      </w:r>
      <w:r w:rsidR="00562836">
        <w:rPr>
          <w:szCs w:val="22"/>
          <w:lang w:val="fr-FR"/>
        </w:rPr>
        <w:t>’</w:t>
      </w:r>
      <w:r w:rsidRPr="001254FE">
        <w:rPr>
          <w:szCs w:val="22"/>
          <w:lang w:val="fr-FR"/>
        </w:rPr>
        <w:t>experts a proposé un nouvel événement pour enregistrer la date d</w:t>
      </w:r>
      <w:r w:rsidR="00562836">
        <w:rPr>
          <w:szCs w:val="22"/>
          <w:lang w:val="fr-FR"/>
        </w:rPr>
        <w:t>’</w:t>
      </w:r>
      <w:r w:rsidRPr="001254FE">
        <w:rPr>
          <w:szCs w:val="22"/>
          <w:lang w:val="fr-FR"/>
        </w:rPr>
        <w:t>entrée en vigueur d</w:t>
      </w:r>
      <w:r w:rsidR="00562836">
        <w:rPr>
          <w:szCs w:val="22"/>
          <w:lang w:val="fr-FR"/>
        </w:rPr>
        <w:t>’</w:t>
      </w:r>
      <w:r w:rsidRPr="001254FE">
        <w:rPr>
          <w:szCs w:val="22"/>
          <w:lang w:val="fr-FR"/>
        </w:rPr>
        <w:t xml:space="preserve">un certificat complémentaire de </w:t>
      </w:r>
      <w:r w:rsidRPr="00780334">
        <w:rPr>
          <w:color w:val="000000"/>
          <w:szCs w:val="22"/>
          <w:lang w:val="fr-FR"/>
        </w:rPr>
        <w:t>p</w:t>
      </w:r>
      <w:r w:rsidRPr="001254FE">
        <w:rPr>
          <w:szCs w:val="22"/>
          <w:lang w:val="fr-FR"/>
        </w:rPr>
        <w:t>rotection (CCP)</w:t>
      </w:r>
      <w:r w:rsidR="00E80D1A">
        <w:rPr>
          <w:szCs w:val="22"/>
          <w:lang w:val="fr-FR"/>
        </w:rPr>
        <w:t xml:space="preserve">.  </w:t>
      </w:r>
      <w:r w:rsidR="00B02F96" w:rsidRPr="001254FE">
        <w:rPr>
          <w:szCs w:val="22"/>
          <w:lang w:val="fr-FR"/>
        </w:rPr>
        <w:t>L</w:t>
      </w:r>
      <w:r w:rsidR="00562836">
        <w:rPr>
          <w:szCs w:val="22"/>
          <w:lang w:val="fr-FR"/>
        </w:rPr>
        <w:t>’</w:t>
      </w:r>
      <w:r w:rsidR="00B02F96" w:rsidRPr="001254FE">
        <w:rPr>
          <w:szCs w:val="22"/>
          <w:lang w:val="fr-FR"/>
        </w:rPr>
        <w:t>équipe d</w:t>
      </w:r>
      <w:r w:rsidR="00562836">
        <w:rPr>
          <w:szCs w:val="22"/>
          <w:lang w:val="fr-FR"/>
        </w:rPr>
        <w:t>’</w:t>
      </w:r>
      <w:r w:rsidR="00B02F96" w:rsidRPr="001254FE">
        <w:rPr>
          <w:szCs w:val="22"/>
          <w:lang w:val="fr-FR"/>
        </w:rPr>
        <w:t>experts a estimé que cet événement serait utile étant donné qu</w:t>
      </w:r>
      <w:r w:rsidR="00562836">
        <w:rPr>
          <w:szCs w:val="22"/>
          <w:lang w:val="fr-FR"/>
        </w:rPr>
        <w:t>’</w:t>
      </w:r>
      <w:r w:rsidR="00B02F96" w:rsidRPr="001254FE">
        <w:rPr>
          <w:szCs w:val="22"/>
          <w:lang w:val="fr-FR"/>
        </w:rPr>
        <w:t>un certain nombre d</w:t>
      </w:r>
      <w:r w:rsidR="00562836">
        <w:rPr>
          <w:szCs w:val="22"/>
          <w:lang w:val="fr-FR"/>
        </w:rPr>
        <w:t>’</w:t>
      </w:r>
      <w:r w:rsidR="00B02F96" w:rsidRPr="001254FE">
        <w:rPr>
          <w:szCs w:val="22"/>
          <w:lang w:val="fr-FR"/>
        </w:rPr>
        <w:t>offices de propriété industrielle ont indiqué qu</w:t>
      </w:r>
      <w:r w:rsidR="00562836">
        <w:rPr>
          <w:szCs w:val="22"/>
          <w:lang w:val="fr-FR"/>
        </w:rPr>
        <w:t>’</w:t>
      </w:r>
      <w:r w:rsidR="00B02F96" w:rsidRPr="001254FE">
        <w:rPr>
          <w:szCs w:val="22"/>
          <w:lang w:val="fr-FR"/>
        </w:rPr>
        <w:t>ils avaient un événement national pour cette situation dans leur réponse à l</w:t>
      </w:r>
      <w:r w:rsidR="00562836">
        <w:rPr>
          <w:szCs w:val="22"/>
          <w:lang w:val="fr-FR"/>
        </w:rPr>
        <w:t>’</w:t>
      </w:r>
      <w:r w:rsidR="00B02F96" w:rsidRPr="001254FE">
        <w:rPr>
          <w:szCs w:val="22"/>
          <w:lang w:val="fr-FR"/>
        </w:rPr>
        <w:t>enquête sur</w:t>
      </w:r>
      <w:r w:rsidR="001B1667" w:rsidRPr="001254FE">
        <w:rPr>
          <w:szCs w:val="22"/>
          <w:lang w:val="fr-FR"/>
        </w:rPr>
        <w:t xml:space="preserve"> les CCP</w:t>
      </w:r>
      <w:r w:rsidR="00B02F96" w:rsidRPr="001254FE">
        <w:rPr>
          <w:szCs w:val="22"/>
          <w:lang w:val="fr-FR"/>
        </w:rPr>
        <w:t xml:space="preserve"> et les </w:t>
      </w:r>
      <w:r w:rsidR="00B02F96" w:rsidRPr="00780334">
        <w:rPr>
          <w:color w:val="000000"/>
          <w:szCs w:val="22"/>
          <w:lang w:val="fr-FR"/>
        </w:rPr>
        <w:t>prolongations de validité des</w:t>
      </w:r>
      <w:r w:rsidR="00B02F96" w:rsidRPr="001254FE">
        <w:rPr>
          <w:szCs w:val="22"/>
          <w:lang w:val="fr-FR"/>
        </w:rPr>
        <w:t xml:space="preserve"> brevets pour la</w:t>
      </w:r>
      <w:r w:rsidR="00B02F96" w:rsidRPr="00780334">
        <w:rPr>
          <w:color w:val="000000"/>
          <w:szCs w:val="22"/>
          <w:lang w:val="fr-FR"/>
        </w:rPr>
        <w:t xml:space="preserve"> </w:t>
      </w:r>
      <w:r w:rsidR="00B02F96" w:rsidRPr="001254FE">
        <w:rPr>
          <w:szCs w:val="22"/>
          <w:lang w:val="fr-FR"/>
        </w:rPr>
        <w:t>partie</w:t>
      </w:r>
      <w:r w:rsidR="00C95F81">
        <w:rPr>
          <w:color w:val="000000"/>
          <w:szCs w:val="22"/>
          <w:lang w:val="fr-FR"/>
        </w:rPr>
        <w:t> </w:t>
      </w:r>
      <w:r w:rsidR="00B02F96" w:rsidRPr="00780334">
        <w:rPr>
          <w:color w:val="000000"/>
          <w:szCs w:val="22"/>
          <w:lang w:val="fr-FR"/>
        </w:rPr>
        <w:t>7</w:t>
      </w:r>
      <w:r w:rsidR="00B02F96" w:rsidRPr="001254FE">
        <w:rPr>
          <w:szCs w:val="22"/>
          <w:lang w:val="fr-FR"/>
        </w:rPr>
        <w:t xml:space="preserve"> du Manuel de l</w:t>
      </w:r>
      <w:r w:rsidR="00562836">
        <w:rPr>
          <w:szCs w:val="22"/>
          <w:lang w:val="fr-FR"/>
        </w:rPr>
        <w:t>’</w:t>
      </w:r>
      <w:r w:rsidR="00B02F96" w:rsidRPr="001254FE">
        <w:rPr>
          <w:szCs w:val="22"/>
          <w:lang w:val="fr-FR"/>
        </w:rPr>
        <w:t>OMPI</w:t>
      </w:r>
      <w:r w:rsidR="00E80D1A">
        <w:rPr>
          <w:szCs w:val="22"/>
          <w:lang w:val="fr-FR"/>
        </w:rPr>
        <w:t xml:space="preserve">.  </w:t>
      </w:r>
      <w:r w:rsidR="00B02F96" w:rsidRPr="001254FE">
        <w:rPr>
          <w:szCs w:val="22"/>
          <w:lang w:val="fr-FR"/>
        </w:rPr>
        <w:t>L</w:t>
      </w:r>
      <w:r w:rsidR="00562836">
        <w:rPr>
          <w:szCs w:val="22"/>
          <w:lang w:val="fr-FR"/>
        </w:rPr>
        <w:t>’</w:t>
      </w:r>
      <w:r w:rsidR="00B02F96" w:rsidRPr="001254FE">
        <w:rPr>
          <w:szCs w:val="22"/>
          <w:lang w:val="fr-FR"/>
        </w:rPr>
        <w:t>équipe d</w:t>
      </w:r>
      <w:r w:rsidR="00562836">
        <w:rPr>
          <w:szCs w:val="22"/>
          <w:lang w:val="fr-FR"/>
        </w:rPr>
        <w:t>’</w:t>
      </w:r>
      <w:r w:rsidR="00B02F96" w:rsidRPr="001254FE">
        <w:rPr>
          <w:szCs w:val="22"/>
          <w:lang w:val="fr-FR"/>
        </w:rPr>
        <w:t>experts propose l</w:t>
      </w:r>
      <w:r w:rsidR="00B02F96" w:rsidRPr="00780334">
        <w:rPr>
          <w:color w:val="000000"/>
          <w:szCs w:val="22"/>
          <w:lang w:val="fr-FR"/>
        </w:rPr>
        <w:t>e</w:t>
      </w:r>
      <w:r w:rsidR="00B02F96" w:rsidRPr="001254FE">
        <w:rPr>
          <w:szCs w:val="22"/>
          <w:lang w:val="fr-FR"/>
        </w:rPr>
        <w:t xml:space="preserve"> nouvel </w:t>
      </w:r>
      <w:r w:rsidR="00B02F96" w:rsidRPr="00780334">
        <w:rPr>
          <w:color w:val="000000"/>
          <w:szCs w:val="22"/>
          <w:lang w:val="fr-FR"/>
        </w:rPr>
        <w:t>événement ci</w:t>
      </w:r>
      <w:r w:rsidR="00562836">
        <w:rPr>
          <w:color w:val="000000"/>
          <w:szCs w:val="22"/>
          <w:lang w:val="fr-FR"/>
        </w:rPr>
        <w:t>-</w:t>
      </w:r>
      <w:r w:rsidR="00B02F96" w:rsidRPr="00780334">
        <w:rPr>
          <w:color w:val="000000"/>
          <w:szCs w:val="22"/>
          <w:lang w:val="fr-FR"/>
        </w:rPr>
        <w:t>après</w:t>
      </w:r>
      <w:r w:rsidR="00B02F96" w:rsidRPr="001254FE">
        <w:rPr>
          <w:szCs w:val="22"/>
          <w:lang w:val="fr-FR"/>
        </w:rPr>
        <w:t xml:space="preserve"> pour la norme</w:t>
      </w:r>
      <w:r w:rsidR="00C95F81" w:rsidRPr="001254FE">
        <w:rPr>
          <w:szCs w:val="22"/>
          <w:lang w:val="fr-FR"/>
        </w:rPr>
        <w:t> </w:t>
      </w:r>
      <w:r w:rsidR="00B02F96" w:rsidRPr="001254FE">
        <w:rPr>
          <w:szCs w:val="22"/>
          <w:lang w:val="fr-FR"/>
        </w:rPr>
        <w:t>ST.27 de l</w:t>
      </w:r>
      <w:r w:rsidR="00562836">
        <w:rPr>
          <w:szCs w:val="22"/>
          <w:lang w:val="fr-FR"/>
        </w:rPr>
        <w:t>’</w:t>
      </w:r>
      <w:r w:rsidR="00B02F96" w:rsidRPr="001254FE">
        <w:rPr>
          <w:szCs w:val="22"/>
          <w:lang w:val="fr-FR"/>
        </w:rPr>
        <w:t>OMPI</w:t>
      </w:r>
      <w:r w:rsidR="00E80D1A">
        <w:rPr>
          <w:szCs w:val="22"/>
          <w:lang w:val="fr-FR"/>
        </w:rPr>
        <w:t> :</w:t>
      </w:r>
    </w:p>
    <w:p w14:paraId="06602788" w14:textId="65F448FE" w:rsidR="00286340" w:rsidRPr="00780334" w:rsidRDefault="001A2212" w:rsidP="00711378">
      <w:pPr>
        <w:spacing w:after="200"/>
        <w:ind w:left="1134" w:hanging="567"/>
        <w:jc w:val="both"/>
        <w:rPr>
          <w:szCs w:val="22"/>
          <w:lang w:val="fr-FR"/>
        </w:rPr>
      </w:pPr>
      <w:r w:rsidRPr="00780334">
        <w:rPr>
          <w:bCs/>
          <w:szCs w:val="22"/>
          <w:u w:val="single"/>
          <w:lang w:val="fr-FR"/>
        </w:rPr>
        <w:t>F17.</w:t>
      </w:r>
      <w:r w:rsidRPr="00780334">
        <w:rPr>
          <w:b/>
          <w:bCs/>
          <w:szCs w:val="22"/>
          <w:u w:val="single"/>
          <w:lang w:val="fr-FR"/>
        </w:rPr>
        <w:tab/>
      </w:r>
      <w:r w:rsidR="00B02F96" w:rsidRPr="00780334">
        <w:rPr>
          <w:bCs/>
          <w:szCs w:val="22"/>
          <w:u w:val="single"/>
          <w:lang w:val="fr-FR"/>
        </w:rPr>
        <w:t>Droit de propriété industrielle entré en vigueur</w:t>
      </w:r>
      <w:r w:rsidR="00E80D1A">
        <w:rPr>
          <w:bCs/>
          <w:szCs w:val="22"/>
          <w:u w:val="single"/>
          <w:lang w:val="fr-FR"/>
        </w:rPr>
        <w:t xml:space="preserve">.  </w:t>
      </w:r>
      <w:r w:rsidRPr="00780334">
        <w:rPr>
          <w:szCs w:val="22"/>
          <w:u w:val="single"/>
          <w:lang w:val="fr-FR"/>
        </w:rPr>
        <w:t>(</w:t>
      </w:r>
      <w:r w:rsidR="00B02F96" w:rsidRPr="00780334">
        <w:rPr>
          <w:szCs w:val="22"/>
          <w:u w:val="single"/>
          <w:lang w:val="fr-FR"/>
        </w:rPr>
        <w:t>Cet événement concerne les droits de propriété industrielle qui entrent en vigueur un certain temps après l</w:t>
      </w:r>
      <w:r w:rsidR="00562836">
        <w:rPr>
          <w:szCs w:val="22"/>
          <w:u w:val="single"/>
          <w:lang w:val="fr-FR"/>
        </w:rPr>
        <w:t>’</w:t>
      </w:r>
      <w:r w:rsidR="00B02F96" w:rsidRPr="00780334">
        <w:rPr>
          <w:szCs w:val="22"/>
          <w:u w:val="single"/>
          <w:lang w:val="fr-FR"/>
        </w:rPr>
        <w:t xml:space="preserve">octroi, </w:t>
      </w:r>
      <w:r w:rsidR="006B2394">
        <w:rPr>
          <w:szCs w:val="22"/>
          <w:u w:val="single"/>
          <w:lang w:val="fr-FR"/>
        </w:rPr>
        <w:t>tels que l</w:t>
      </w:r>
      <w:r w:rsidR="00B02F96" w:rsidRPr="00780334">
        <w:rPr>
          <w:szCs w:val="22"/>
          <w:u w:val="single"/>
          <w:lang w:val="fr-FR"/>
        </w:rPr>
        <w:t>es certificats complémentaires de protection</w:t>
      </w:r>
      <w:r w:rsidR="00E80D1A">
        <w:rPr>
          <w:szCs w:val="22"/>
          <w:u w:val="single"/>
          <w:lang w:val="fr-FR"/>
        </w:rPr>
        <w:t xml:space="preserve">.  </w:t>
      </w:r>
      <w:r w:rsidR="00B02F96" w:rsidRPr="00780334">
        <w:rPr>
          <w:szCs w:val="22"/>
          <w:u w:val="single"/>
          <w:lang w:val="fr-FR"/>
        </w:rPr>
        <w:t>Les offices ne sont pas tenus d</w:t>
      </w:r>
      <w:r w:rsidR="00562836">
        <w:rPr>
          <w:szCs w:val="22"/>
          <w:u w:val="single"/>
          <w:lang w:val="fr-FR"/>
        </w:rPr>
        <w:t>’</w:t>
      </w:r>
      <w:r w:rsidR="00B02F96" w:rsidRPr="00780334">
        <w:rPr>
          <w:szCs w:val="22"/>
          <w:u w:val="single"/>
          <w:lang w:val="fr-FR"/>
        </w:rPr>
        <w:t>utiliser cet événement lorsque l</w:t>
      </w:r>
      <w:r w:rsidR="00562836">
        <w:rPr>
          <w:szCs w:val="22"/>
          <w:u w:val="single"/>
          <w:lang w:val="fr-FR"/>
        </w:rPr>
        <w:t>’</w:t>
      </w:r>
      <w:r w:rsidR="00B02F96" w:rsidRPr="00780334">
        <w:rPr>
          <w:szCs w:val="22"/>
          <w:u w:val="single"/>
          <w:lang w:val="fr-FR"/>
        </w:rPr>
        <w:t>octroi et l</w:t>
      </w:r>
      <w:r w:rsidR="00562836">
        <w:rPr>
          <w:szCs w:val="22"/>
          <w:u w:val="single"/>
          <w:lang w:val="fr-FR"/>
        </w:rPr>
        <w:t>’</w:t>
      </w:r>
      <w:r w:rsidR="00B02F96" w:rsidRPr="00780334">
        <w:rPr>
          <w:szCs w:val="22"/>
          <w:u w:val="single"/>
          <w:lang w:val="fr-FR"/>
        </w:rPr>
        <w:t>entrée en vigueur ont lieu en même temps, comme dans le cas de la délivrance d</w:t>
      </w:r>
      <w:r w:rsidR="00562836">
        <w:rPr>
          <w:szCs w:val="22"/>
          <w:u w:val="single"/>
          <w:lang w:val="fr-FR"/>
        </w:rPr>
        <w:t>’</w:t>
      </w:r>
      <w:r w:rsidR="00B02F96" w:rsidRPr="00780334">
        <w:rPr>
          <w:szCs w:val="22"/>
          <w:u w:val="single"/>
          <w:lang w:val="fr-FR"/>
        </w:rPr>
        <w:t>un brevet</w:t>
      </w:r>
      <w:r w:rsidRPr="00780334">
        <w:rPr>
          <w:szCs w:val="22"/>
          <w:u w:val="single"/>
          <w:lang w:val="fr-FR"/>
        </w:rPr>
        <w:t>.)</w:t>
      </w:r>
    </w:p>
    <w:p w14:paraId="7463AA91" w14:textId="16978721" w:rsidR="00286340" w:rsidRPr="00780334" w:rsidRDefault="007D2A6F" w:rsidP="007D2A6F">
      <w:pPr>
        <w:numPr>
          <w:ilvl w:val="0"/>
          <w:numId w:val="5"/>
        </w:numPr>
        <w:tabs>
          <w:tab w:val="clear" w:pos="567"/>
        </w:tabs>
        <w:spacing w:after="220"/>
        <w:rPr>
          <w:szCs w:val="22"/>
          <w:lang w:val="fr-FR"/>
        </w:rPr>
      </w:pPr>
      <w:r w:rsidRPr="001254FE">
        <w:rPr>
          <w:rFonts w:eastAsia="Batang"/>
          <w:szCs w:val="22"/>
          <w:lang w:val="fr-FR" w:eastAsia="ko-KR"/>
        </w:rPr>
        <w:t>L</w:t>
      </w:r>
      <w:r w:rsidR="00562836">
        <w:rPr>
          <w:rFonts w:eastAsia="Batang"/>
          <w:szCs w:val="22"/>
          <w:lang w:val="fr-FR" w:eastAsia="ko-KR"/>
        </w:rPr>
        <w:t>’</w:t>
      </w:r>
      <w:r w:rsidRPr="001254FE">
        <w:rPr>
          <w:rFonts w:eastAsia="Batang"/>
          <w:szCs w:val="22"/>
          <w:lang w:val="fr-FR" w:eastAsia="ko-KR"/>
        </w:rPr>
        <w:t>équipe d</w:t>
      </w:r>
      <w:r w:rsidR="00562836">
        <w:rPr>
          <w:rFonts w:eastAsia="Batang"/>
          <w:szCs w:val="22"/>
          <w:lang w:val="fr-FR" w:eastAsia="ko-KR"/>
        </w:rPr>
        <w:t>’</w:t>
      </w:r>
      <w:r w:rsidRPr="001254FE">
        <w:rPr>
          <w:rFonts w:eastAsia="Batang"/>
          <w:szCs w:val="22"/>
          <w:lang w:val="fr-FR" w:eastAsia="ko-KR"/>
        </w:rPr>
        <w:t xml:space="preserve">experts propose de </w:t>
      </w:r>
      <w:r w:rsidRPr="00780334">
        <w:rPr>
          <w:rFonts w:eastAsia="Batang"/>
          <w:color w:val="000000"/>
          <w:szCs w:val="22"/>
          <w:lang w:val="fr-FR" w:eastAsia="ko-KR"/>
        </w:rPr>
        <w:t xml:space="preserve">remplacer </w:t>
      </w:r>
      <w:r w:rsidRPr="001254FE">
        <w:rPr>
          <w:rFonts w:eastAsia="Batang"/>
          <w:szCs w:val="22"/>
          <w:lang w:val="fr-FR" w:eastAsia="ko-KR"/>
        </w:rPr>
        <w:t>l</w:t>
      </w:r>
      <w:r w:rsidR="00562836">
        <w:rPr>
          <w:rFonts w:eastAsia="Batang"/>
          <w:color w:val="000000"/>
          <w:szCs w:val="22"/>
          <w:lang w:val="fr-FR" w:eastAsia="ko-KR"/>
        </w:rPr>
        <w:t>’</w:t>
      </w:r>
      <w:r w:rsidRPr="00780334">
        <w:rPr>
          <w:rFonts w:eastAsia="Batang"/>
          <w:color w:val="000000"/>
          <w:szCs w:val="22"/>
          <w:lang w:val="fr-FR" w:eastAsia="ko-KR"/>
        </w:rPr>
        <w:t>intitulé</w:t>
      </w:r>
      <w:r w:rsidRPr="001254FE">
        <w:rPr>
          <w:rFonts w:eastAsia="Batang"/>
          <w:szCs w:val="22"/>
          <w:lang w:val="fr-FR" w:eastAsia="ko-KR"/>
        </w:rPr>
        <w:t xml:space="preserve"> de la catégorie S </w:t>
      </w:r>
      <w:r w:rsidR="00C95F81" w:rsidRPr="001254FE">
        <w:rPr>
          <w:rFonts w:eastAsia="Batang"/>
          <w:szCs w:val="22"/>
          <w:lang w:val="fr-FR" w:eastAsia="ko-KR"/>
        </w:rPr>
        <w:t>“</w:t>
      </w:r>
      <w:r w:rsidRPr="00780334">
        <w:rPr>
          <w:rFonts w:eastAsia="Batang"/>
          <w:color w:val="000000"/>
          <w:szCs w:val="22"/>
          <w:lang w:val="fr-FR" w:eastAsia="ko-KR"/>
        </w:rPr>
        <w:t>L</w:t>
      </w:r>
      <w:r w:rsidRPr="001254FE">
        <w:rPr>
          <w:rFonts w:eastAsia="Batang"/>
          <w:szCs w:val="22"/>
          <w:lang w:val="fr-FR" w:eastAsia="ko-KR"/>
        </w:rPr>
        <w:t>icences</w:t>
      </w:r>
      <w:r w:rsidR="00C95F81" w:rsidRPr="001254FE">
        <w:rPr>
          <w:rFonts w:eastAsia="Batang"/>
          <w:szCs w:val="22"/>
          <w:lang w:val="fr-FR" w:eastAsia="ko-KR"/>
        </w:rPr>
        <w:t>”</w:t>
      </w:r>
      <w:r w:rsidRPr="001254FE">
        <w:rPr>
          <w:rFonts w:eastAsia="Batang"/>
          <w:szCs w:val="22"/>
          <w:lang w:val="fr-FR" w:eastAsia="ko-KR"/>
        </w:rPr>
        <w:t xml:space="preserve"> </w:t>
      </w:r>
      <w:r w:rsidRPr="00780334">
        <w:rPr>
          <w:rFonts w:eastAsia="Batang"/>
          <w:color w:val="000000"/>
          <w:szCs w:val="22"/>
          <w:lang w:val="fr-FR" w:eastAsia="ko-KR"/>
        </w:rPr>
        <w:t xml:space="preserve">par </w:t>
      </w:r>
      <w:r w:rsidR="00C95F81" w:rsidRPr="001254FE">
        <w:rPr>
          <w:rFonts w:eastAsia="Batang"/>
          <w:szCs w:val="22"/>
          <w:lang w:val="fr-FR" w:eastAsia="ko-KR"/>
        </w:rPr>
        <w:t>“</w:t>
      </w:r>
      <w:r w:rsidRPr="00780334">
        <w:rPr>
          <w:rFonts w:eastAsia="Batang"/>
          <w:color w:val="000000"/>
          <w:szCs w:val="22"/>
          <w:lang w:val="fr-FR" w:eastAsia="ko-KR"/>
        </w:rPr>
        <w:t>L</w:t>
      </w:r>
      <w:r w:rsidRPr="001254FE">
        <w:rPr>
          <w:rFonts w:eastAsia="Batang"/>
          <w:szCs w:val="22"/>
          <w:lang w:val="fr-FR" w:eastAsia="ko-KR"/>
        </w:rPr>
        <w:t>icences et transactions connexes</w:t>
      </w:r>
      <w:r w:rsidR="00C95F81" w:rsidRPr="001254FE">
        <w:rPr>
          <w:rFonts w:eastAsia="Batang"/>
          <w:szCs w:val="22"/>
          <w:lang w:val="fr-FR" w:eastAsia="ko-KR"/>
        </w:rPr>
        <w:t>”</w:t>
      </w:r>
      <w:r w:rsidRPr="001254FE">
        <w:rPr>
          <w:rFonts w:eastAsia="Batang"/>
          <w:szCs w:val="22"/>
          <w:lang w:val="fr-FR" w:eastAsia="ko-KR"/>
        </w:rPr>
        <w:t xml:space="preserve"> afin de mieux tenir compte des événements de la catégorie S qui n</w:t>
      </w:r>
      <w:r w:rsidR="00562836">
        <w:rPr>
          <w:rFonts w:eastAsia="Batang"/>
          <w:szCs w:val="22"/>
          <w:lang w:val="fr-FR" w:eastAsia="ko-KR"/>
        </w:rPr>
        <w:t>’</w:t>
      </w:r>
      <w:r w:rsidRPr="001254FE">
        <w:rPr>
          <w:rFonts w:eastAsia="Batang"/>
          <w:szCs w:val="22"/>
          <w:lang w:val="fr-FR" w:eastAsia="ko-KR"/>
        </w:rPr>
        <w:t>impliquent pas la concession de licences, comme les sûretés</w:t>
      </w:r>
      <w:r w:rsidRPr="00780334">
        <w:rPr>
          <w:rFonts w:eastAsia="Batang"/>
          <w:color w:val="000000"/>
          <w:szCs w:val="22"/>
          <w:lang w:val="fr-FR" w:eastAsia="ko-KR"/>
        </w:rPr>
        <w:t xml:space="preserve"> réelles</w:t>
      </w:r>
      <w:r w:rsidRPr="001254FE">
        <w:rPr>
          <w:rFonts w:eastAsia="Batang"/>
          <w:szCs w:val="22"/>
          <w:lang w:val="fr-FR" w:eastAsia="ko-KR"/>
        </w:rPr>
        <w:t xml:space="preserve"> ou les </w:t>
      </w:r>
      <w:r w:rsidRPr="00780334">
        <w:rPr>
          <w:rFonts w:eastAsia="Batang"/>
          <w:color w:val="000000"/>
          <w:szCs w:val="22"/>
          <w:lang w:val="fr-FR" w:eastAsia="ko-KR"/>
        </w:rPr>
        <w:t xml:space="preserve">contrats </w:t>
      </w:r>
      <w:r w:rsidRPr="001254FE">
        <w:rPr>
          <w:rFonts w:eastAsia="Batang"/>
          <w:szCs w:val="22"/>
          <w:lang w:val="fr-FR" w:eastAsia="ko-KR"/>
        </w:rPr>
        <w:t>de redevances</w:t>
      </w:r>
      <w:r w:rsidR="00E80D1A">
        <w:rPr>
          <w:rFonts w:eastAsia="Batang"/>
          <w:szCs w:val="22"/>
          <w:lang w:val="fr-FR" w:eastAsia="ko-KR"/>
        </w:rPr>
        <w:t xml:space="preserve">.  </w:t>
      </w:r>
      <w:r w:rsidRPr="001254FE">
        <w:rPr>
          <w:rFonts w:eastAsia="Batang"/>
          <w:szCs w:val="22"/>
          <w:lang w:val="fr-FR" w:eastAsia="ko-KR"/>
        </w:rPr>
        <w:t>L</w:t>
      </w:r>
      <w:r w:rsidR="00562836">
        <w:rPr>
          <w:rFonts w:eastAsia="Batang"/>
          <w:szCs w:val="22"/>
          <w:lang w:val="fr-FR" w:eastAsia="ko-KR"/>
        </w:rPr>
        <w:t>’</w:t>
      </w:r>
      <w:r w:rsidRPr="001254FE">
        <w:rPr>
          <w:rFonts w:eastAsia="Batang"/>
          <w:szCs w:val="22"/>
          <w:lang w:val="fr-FR" w:eastAsia="ko-KR"/>
        </w:rPr>
        <w:t>équipe d</w:t>
      </w:r>
      <w:r w:rsidR="00562836">
        <w:rPr>
          <w:rFonts w:eastAsia="Batang"/>
          <w:szCs w:val="22"/>
          <w:lang w:val="fr-FR" w:eastAsia="ko-KR"/>
        </w:rPr>
        <w:t>’</w:t>
      </w:r>
      <w:r w:rsidRPr="001254FE">
        <w:rPr>
          <w:rFonts w:eastAsia="Batang"/>
          <w:szCs w:val="22"/>
          <w:lang w:val="fr-FR" w:eastAsia="ko-KR"/>
        </w:rPr>
        <w:t>experts a également envisagé de réduire le nombre d</w:t>
      </w:r>
      <w:r w:rsidR="00562836">
        <w:rPr>
          <w:rFonts w:eastAsia="Batang"/>
          <w:color w:val="000000"/>
          <w:szCs w:val="22"/>
          <w:lang w:val="fr-FR" w:eastAsia="ko-KR"/>
        </w:rPr>
        <w:t>’</w:t>
      </w:r>
      <w:r w:rsidRPr="00780334">
        <w:rPr>
          <w:rFonts w:eastAsia="Batang"/>
          <w:color w:val="000000"/>
          <w:szCs w:val="22"/>
          <w:lang w:val="fr-FR" w:eastAsia="ko-KR"/>
        </w:rPr>
        <w:t xml:space="preserve">événements </w:t>
      </w:r>
      <w:r w:rsidRPr="001254FE">
        <w:rPr>
          <w:rFonts w:eastAsia="Batang"/>
          <w:szCs w:val="22"/>
          <w:lang w:val="fr-FR" w:eastAsia="ko-KR"/>
        </w:rPr>
        <w:t xml:space="preserve">dans la catégorie S </w:t>
      </w:r>
      <w:r w:rsidR="006B2394">
        <w:rPr>
          <w:rFonts w:eastAsia="Batang"/>
          <w:szCs w:val="22"/>
          <w:lang w:val="fr-FR" w:eastAsia="ko-KR"/>
        </w:rPr>
        <w:t>du fait</w:t>
      </w:r>
      <w:r w:rsidRPr="001254FE">
        <w:rPr>
          <w:rFonts w:eastAsia="Batang"/>
          <w:szCs w:val="22"/>
          <w:lang w:val="fr-FR" w:eastAsia="ko-KR"/>
        </w:rPr>
        <w:t xml:space="preserve"> que certaines distinctions </w:t>
      </w:r>
      <w:r w:rsidRPr="00780334">
        <w:rPr>
          <w:rFonts w:eastAsia="Batang"/>
          <w:color w:val="000000"/>
          <w:szCs w:val="22"/>
          <w:lang w:val="fr-FR" w:eastAsia="ko-KR"/>
        </w:rPr>
        <w:t xml:space="preserve">concernant les </w:t>
      </w:r>
      <w:r w:rsidRPr="001254FE">
        <w:rPr>
          <w:rFonts w:eastAsia="Batang"/>
          <w:szCs w:val="22"/>
          <w:lang w:val="fr-FR" w:eastAsia="ko-KR"/>
        </w:rPr>
        <w:t>concession</w:t>
      </w:r>
      <w:r w:rsidRPr="00780334">
        <w:rPr>
          <w:rFonts w:eastAsia="Batang"/>
          <w:color w:val="000000"/>
          <w:szCs w:val="22"/>
          <w:lang w:val="fr-FR" w:eastAsia="ko-KR"/>
        </w:rPr>
        <w:t>s</w:t>
      </w:r>
      <w:r w:rsidRPr="001254FE">
        <w:rPr>
          <w:rFonts w:eastAsia="Batang"/>
          <w:szCs w:val="22"/>
          <w:lang w:val="fr-FR" w:eastAsia="ko-KR"/>
        </w:rPr>
        <w:t xml:space="preserve"> de licences </w:t>
      </w:r>
      <w:r w:rsidRPr="00780334">
        <w:rPr>
          <w:rFonts w:eastAsia="Batang"/>
          <w:color w:val="000000"/>
          <w:szCs w:val="22"/>
          <w:lang w:val="fr-FR" w:eastAsia="ko-KR"/>
        </w:rPr>
        <w:t xml:space="preserve">pourraient plutôt être </w:t>
      </w:r>
      <w:r w:rsidRPr="001254FE">
        <w:rPr>
          <w:rFonts w:eastAsia="Batang"/>
          <w:szCs w:val="22"/>
          <w:lang w:val="fr-FR" w:eastAsia="ko-KR"/>
        </w:rPr>
        <w:t>enregistrées en tant que données supplémentaires</w:t>
      </w:r>
      <w:r w:rsidR="00E80D1A">
        <w:rPr>
          <w:rFonts w:eastAsia="Batang"/>
          <w:szCs w:val="22"/>
          <w:lang w:val="fr-FR" w:eastAsia="ko-KR"/>
        </w:rPr>
        <w:t xml:space="preserve">.  </w:t>
      </w:r>
      <w:r w:rsidRPr="00780334">
        <w:rPr>
          <w:rFonts w:eastAsia="Batang"/>
          <w:szCs w:val="22"/>
          <w:lang w:val="fr-FR" w:eastAsia="ko-KR"/>
        </w:rPr>
        <w:t>Une étude plus approfondie doit être réalisée avant qu</w:t>
      </w:r>
      <w:r w:rsidR="00562836">
        <w:rPr>
          <w:rFonts w:eastAsia="Batang"/>
          <w:szCs w:val="22"/>
          <w:lang w:val="fr-FR" w:eastAsia="ko-KR"/>
        </w:rPr>
        <w:t>’</w:t>
      </w:r>
      <w:r w:rsidRPr="00780334">
        <w:rPr>
          <w:rFonts w:eastAsia="Batang"/>
          <w:szCs w:val="22"/>
          <w:lang w:val="fr-FR" w:eastAsia="ko-KR"/>
        </w:rPr>
        <w:t>une proposition puisse être présentée</w:t>
      </w:r>
      <w:r w:rsidR="00AA65C5" w:rsidRPr="00780334">
        <w:rPr>
          <w:rFonts w:eastAsia="Batang"/>
          <w:szCs w:val="22"/>
          <w:lang w:val="fr-FR" w:eastAsia="ko-KR"/>
        </w:rPr>
        <w:t>.</w:t>
      </w:r>
    </w:p>
    <w:p w14:paraId="69C065C7" w14:textId="45F04A68" w:rsidR="00286340" w:rsidRPr="00780334" w:rsidRDefault="007D2A6F" w:rsidP="006541BC">
      <w:pPr>
        <w:keepNext/>
        <w:keepLines/>
        <w:spacing w:after="120"/>
        <w:rPr>
          <w:caps/>
          <w:szCs w:val="22"/>
          <w:lang w:val="fr-FR"/>
        </w:rPr>
      </w:pPr>
      <w:r w:rsidRPr="001254FE">
        <w:rPr>
          <w:caps/>
          <w:szCs w:val="22"/>
          <w:lang w:val="fr-FR"/>
        </w:rPr>
        <w:t xml:space="preserve">Nouvelle </w:t>
      </w:r>
      <w:r w:rsidR="001B1667" w:rsidRPr="001254FE">
        <w:rPr>
          <w:caps/>
          <w:szCs w:val="22"/>
          <w:lang w:val="fr-FR"/>
        </w:rPr>
        <w:t>annexe V</w:t>
      </w:r>
      <w:r w:rsidRPr="001254FE">
        <w:rPr>
          <w:caps/>
          <w:szCs w:val="22"/>
          <w:lang w:val="fr-FR"/>
        </w:rPr>
        <w:t xml:space="preserve"> de la norme</w:t>
      </w:r>
      <w:r w:rsidR="00C95F81" w:rsidRPr="001254FE">
        <w:rPr>
          <w:caps/>
          <w:szCs w:val="22"/>
          <w:lang w:val="fr-FR"/>
        </w:rPr>
        <w:t> </w:t>
      </w:r>
      <w:r w:rsidRPr="001254FE">
        <w:rPr>
          <w:caps/>
          <w:szCs w:val="22"/>
          <w:lang w:val="fr-FR"/>
        </w:rPr>
        <w:t>ST.27 de l</w:t>
      </w:r>
      <w:r w:rsidR="00562836">
        <w:rPr>
          <w:caps/>
          <w:szCs w:val="22"/>
          <w:lang w:val="fr-FR"/>
        </w:rPr>
        <w:t>’</w:t>
      </w:r>
      <w:r w:rsidRPr="00780334">
        <w:rPr>
          <w:caps/>
          <w:color w:val="000000"/>
          <w:szCs w:val="22"/>
          <w:lang w:val="fr-FR"/>
        </w:rPr>
        <w:t>OMPI</w:t>
      </w:r>
    </w:p>
    <w:p w14:paraId="40C86456" w14:textId="07F3BCF3" w:rsidR="00286340" w:rsidRPr="00780334" w:rsidRDefault="00CB1577" w:rsidP="006541BC">
      <w:pPr>
        <w:keepNext/>
        <w:keepLines/>
        <w:numPr>
          <w:ilvl w:val="0"/>
          <w:numId w:val="5"/>
        </w:numPr>
        <w:tabs>
          <w:tab w:val="clear" w:pos="567"/>
        </w:tabs>
        <w:spacing w:after="220"/>
        <w:rPr>
          <w:szCs w:val="22"/>
          <w:lang w:val="fr-FR"/>
        </w:rPr>
      </w:pPr>
      <w:r w:rsidRPr="00780334">
        <w:rPr>
          <w:color w:val="000000"/>
          <w:szCs w:val="22"/>
          <w:lang w:val="fr-FR"/>
        </w:rPr>
        <w:t xml:space="preserve">Pour donner suite </w:t>
      </w:r>
      <w:r w:rsidRPr="001254FE">
        <w:rPr>
          <w:szCs w:val="22"/>
          <w:lang w:val="fr-FR"/>
        </w:rPr>
        <w:t>à la décision prise</w:t>
      </w:r>
      <w:r w:rsidRPr="00780334">
        <w:rPr>
          <w:color w:val="000000"/>
          <w:szCs w:val="22"/>
          <w:lang w:val="fr-FR"/>
        </w:rPr>
        <w:t xml:space="preserve"> par</w:t>
      </w:r>
      <w:r w:rsidR="001B1667" w:rsidRPr="00780334">
        <w:rPr>
          <w:color w:val="000000"/>
          <w:szCs w:val="22"/>
          <w:lang w:val="fr-FR"/>
        </w:rPr>
        <w:t xml:space="preserve"> le</w:t>
      </w:r>
      <w:r w:rsidR="001B1667">
        <w:rPr>
          <w:color w:val="000000"/>
          <w:szCs w:val="22"/>
          <w:lang w:val="fr-FR"/>
        </w:rPr>
        <w:t> </w:t>
      </w:r>
      <w:r w:rsidR="001B1667" w:rsidRPr="00780334">
        <w:rPr>
          <w:color w:val="000000"/>
          <w:szCs w:val="22"/>
          <w:lang w:val="fr-FR"/>
        </w:rPr>
        <w:t>CWS</w:t>
      </w:r>
      <w:r w:rsidRPr="001254FE">
        <w:rPr>
          <w:szCs w:val="22"/>
          <w:lang w:val="fr-FR"/>
        </w:rPr>
        <w:t xml:space="preserve"> à </w:t>
      </w:r>
      <w:r w:rsidRPr="00780334">
        <w:rPr>
          <w:color w:val="000000"/>
          <w:szCs w:val="22"/>
          <w:lang w:val="fr-FR"/>
        </w:rPr>
        <w:t>sa</w:t>
      </w:r>
      <w:r w:rsidRPr="001254FE">
        <w:rPr>
          <w:szCs w:val="22"/>
          <w:lang w:val="fr-FR"/>
        </w:rPr>
        <w:t xml:space="preserve"> six</w:t>
      </w:r>
      <w:r w:rsidR="00562836">
        <w:rPr>
          <w:szCs w:val="22"/>
          <w:lang w:val="fr-FR"/>
        </w:rPr>
        <w:t>ième session</w:t>
      </w:r>
      <w:r w:rsidRPr="00780334">
        <w:rPr>
          <w:color w:val="000000"/>
          <w:szCs w:val="22"/>
          <w:lang w:val="fr-FR"/>
        </w:rPr>
        <w:t>,</w:t>
      </w:r>
      <w:r w:rsidRPr="001254FE">
        <w:rPr>
          <w:szCs w:val="22"/>
          <w:lang w:val="fr-FR"/>
        </w:rPr>
        <w:t xml:space="preserve"> l</w:t>
      </w:r>
      <w:r w:rsidR="00562836">
        <w:rPr>
          <w:szCs w:val="22"/>
          <w:lang w:val="fr-FR"/>
        </w:rPr>
        <w:t>’</w:t>
      </w:r>
      <w:r w:rsidRPr="001254FE">
        <w:rPr>
          <w:szCs w:val="22"/>
          <w:lang w:val="fr-FR"/>
        </w:rPr>
        <w:t>équipe d</w:t>
      </w:r>
      <w:r w:rsidR="00562836">
        <w:rPr>
          <w:szCs w:val="22"/>
          <w:lang w:val="fr-FR"/>
        </w:rPr>
        <w:t>’</w:t>
      </w:r>
      <w:r w:rsidRPr="001254FE">
        <w:rPr>
          <w:szCs w:val="22"/>
          <w:lang w:val="fr-FR"/>
        </w:rPr>
        <w:t xml:space="preserve">experts a </w:t>
      </w:r>
      <w:r w:rsidRPr="00780334">
        <w:rPr>
          <w:color w:val="000000"/>
          <w:szCs w:val="22"/>
          <w:lang w:val="fr-FR"/>
        </w:rPr>
        <w:t xml:space="preserve">rédigé </w:t>
      </w:r>
      <w:r w:rsidRPr="001254FE">
        <w:rPr>
          <w:szCs w:val="22"/>
          <w:lang w:val="fr-FR"/>
        </w:rPr>
        <w:t xml:space="preserve">une proposition finale concernant le </w:t>
      </w:r>
      <w:r w:rsidRPr="00780334">
        <w:rPr>
          <w:color w:val="000000"/>
          <w:szCs w:val="22"/>
          <w:lang w:val="fr-FR"/>
        </w:rPr>
        <w:t>d</w:t>
      </w:r>
      <w:r w:rsidRPr="001254FE">
        <w:rPr>
          <w:szCs w:val="22"/>
          <w:lang w:val="fr-FR"/>
        </w:rPr>
        <w:t>ocument d</w:t>
      </w:r>
      <w:r w:rsidR="00562836">
        <w:rPr>
          <w:szCs w:val="22"/>
          <w:lang w:val="fr-FR"/>
        </w:rPr>
        <w:t>’</w:t>
      </w:r>
      <w:r w:rsidRPr="001254FE">
        <w:rPr>
          <w:szCs w:val="22"/>
          <w:lang w:val="fr-FR"/>
        </w:rPr>
        <w:t>orientation</w:t>
      </w:r>
      <w:r w:rsidR="00E80D1A">
        <w:rPr>
          <w:szCs w:val="22"/>
          <w:lang w:val="fr-FR"/>
        </w:rPr>
        <w:t xml:space="preserve">.  </w:t>
      </w:r>
      <w:r w:rsidRPr="001254FE">
        <w:rPr>
          <w:szCs w:val="22"/>
          <w:lang w:val="fr-FR"/>
        </w:rPr>
        <w:t>L</w:t>
      </w:r>
      <w:r w:rsidR="00562836">
        <w:rPr>
          <w:szCs w:val="22"/>
          <w:lang w:val="fr-FR"/>
        </w:rPr>
        <w:t>’</w:t>
      </w:r>
      <w:r w:rsidRPr="001254FE">
        <w:rPr>
          <w:szCs w:val="22"/>
          <w:lang w:val="fr-FR"/>
        </w:rPr>
        <w:t>équipe d</w:t>
      </w:r>
      <w:r w:rsidR="00562836">
        <w:rPr>
          <w:szCs w:val="22"/>
          <w:lang w:val="fr-FR"/>
        </w:rPr>
        <w:t>’</w:t>
      </w:r>
      <w:r w:rsidRPr="001254FE">
        <w:rPr>
          <w:szCs w:val="22"/>
          <w:lang w:val="fr-FR"/>
        </w:rPr>
        <w:t xml:space="preserve">experts a </w:t>
      </w:r>
      <w:r w:rsidRPr="00780334">
        <w:rPr>
          <w:color w:val="000000"/>
          <w:szCs w:val="22"/>
          <w:lang w:val="fr-FR"/>
        </w:rPr>
        <w:t xml:space="preserve">préparé </w:t>
      </w:r>
      <w:r w:rsidRPr="001254FE">
        <w:rPr>
          <w:szCs w:val="22"/>
          <w:lang w:val="fr-FR"/>
        </w:rPr>
        <w:t>une nouvelle série d</w:t>
      </w:r>
      <w:r w:rsidR="00562836">
        <w:rPr>
          <w:szCs w:val="22"/>
          <w:lang w:val="fr-FR"/>
        </w:rPr>
        <w:t>’</w:t>
      </w:r>
      <w:r w:rsidRPr="001254FE">
        <w:rPr>
          <w:szCs w:val="22"/>
          <w:lang w:val="fr-FR"/>
        </w:rPr>
        <w:t xml:space="preserve">exemples destinés à aider les offices de propriété industrielle et autres offices à comprendre comment utiliser </w:t>
      </w:r>
      <w:r w:rsidRPr="00780334">
        <w:rPr>
          <w:color w:val="000000"/>
          <w:szCs w:val="22"/>
          <w:lang w:val="fr-FR"/>
        </w:rPr>
        <w:t>la norme</w:t>
      </w:r>
      <w:r w:rsidR="00C95F81">
        <w:rPr>
          <w:color w:val="000000"/>
          <w:szCs w:val="22"/>
          <w:lang w:val="fr-FR"/>
        </w:rPr>
        <w:t> </w:t>
      </w:r>
      <w:r w:rsidRPr="001254FE">
        <w:rPr>
          <w:szCs w:val="22"/>
          <w:lang w:val="fr-FR"/>
        </w:rPr>
        <w:t>ST</w:t>
      </w:r>
      <w:r w:rsidRPr="00780334">
        <w:rPr>
          <w:color w:val="000000"/>
          <w:szCs w:val="22"/>
          <w:lang w:val="fr-FR"/>
        </w:rPr>
        <w:t>.</w:t>
      </w:r>
      <w:r w:rsidRPr="001254FE">
        <w:rPr>
          <w:szCs w:val="22"/>
          <w:lang w:val="fr-FR"/>
        </w:rPr>
        <w:t>27</w:t>
      </w:r>
      <w:r w:rsidR="00E80D1A">
        <w:rPr>
          <w:color w:val="000000"/>
          <w:szCs w:val="22"/>
          <w:lang w:val="fr-FR"/>
        </w:rPr>
        <w:t xml:space="preserve">.  </w:t>
      </w:r>
      <w:r w:rsidR="00A2292E">
        <w:rPr>
          <w:color w:val="000000"/>
          <w:szCs w:val="22"/>
          <w:lang w:val="fr-FR"/>
        </w:rPr>
        <w:t>Ces</w:t>
      </w:r>
      <w:r w:rsidRPr="001254FE">
        <w:rPr>
          <w:szCs w:val="22"/>
          <w:lang w:val="fr-FR"/>
        </w:rPr>
        <w:t xml:space="preserve"> exemples </w:t>
      </w:r>
      <w:r w:rsidRPr="00780334">
        <w:rPr>
          <w:color w:val="000000"/>
          <w:szCs w:val="22"/>
          <w:lang w:val="fr-FR"/>
        </w:rPr>
        <w:t>ont été préparés sur la base d</w:t>
      </w:r>
      <w:r w:rsidR="00562836">
        <w:rPr>
          <w:color w:val="000000"/>
          <w:szCs w:val="22"/>
          <w:lang w:val="fr-FR"/>
        </w:rPr>
        <w:t>’</w:t>
      </w:r>
      <w:r w:rsidRPr="00780334">
        <w:rPr>
          <w:color w:val="000000"/>
          <w:szCs w:val="22"/>
          <w:lang w:val="fr-FR"/>
        </w:rPr>
        <w:t>un</w:t>
      </w:r>
      <w:r w:rsidRPr="001254FE">
        <w:rPr>
          <w:szCs w:val="22"/>
          <w:lang w:val="fr-FR"/>
        </w:rPr>
        <w:t xml:space="preserve"> ensemble de scénarios </w:t>
      </w:r>
      <w:r w:rsidRPr="00780334">
        <w:rPr>
          <w:color w:val="000000"/>
          <w:szCs w:val="22"/>
          <w:lang w:val="fr-FR"/>
        </w:rPr>
        <w:t xml:space="preserve">courants </w:t>
      </w:r>
      <w:r w:rsidRPr="001254FE">
        <w:rPr>
          <w:szCs w:val="22"/>
          <w:lang w:val="fr-FR"/>
        </w:rPr>
        <w:t>recensés par l</w:t>
      </w:r>
      <w:r w:rsidR="00562836">
        <w:rPr>
          <w:szCs w:val="22"/>
          <w:lang w:val="fr-FR"/>
        </w:rPr>
        <w:t>’</w:t>
      </w:r>
      <w:r w:rsidRPr="001254FE">
        <w:rPr>
          <w:szCs w:val="22"/>
          <w:lang w:val="fr-FR"/>
        </w:rPr>
        <w:t>équipe d</w:t>
      </w:r>
      <w:r w:rsidR="00562836">
        <w:rPr>
          <w:szCs w:val="22"/>
          <w:lang w:val="fr-FR"/>
        </w:rPr>
        <w:t>’</w:t>
      </w:r>
      <w:r w:rsidRPr="001254FE">
        <w:rPr>
          <w:szCs w:val="22"/>
          <w:lang w:val="fr-FR"/>
        </w:rPr>
        <w:t xml:space="preserve">experts, chaque scénario </w:t>
      </w:r>
      <w:r w:rsidRPr="00780334">
        <w:rPr>
          <w:color w:val="000000"/>
          <w:szCs w:val="22"/>
          <w:lang w:val="fr-FR"/>
        </w:rPr>
        <w:t>étant assorti d</w:t>
      </w:r>
      <w:r w:rsidR="00562836">
        <w:rPr>
          <w:color w:val="000000"/>
          <w:szCs w:val="22"/>
          <w:lang w:val="fr-FR"/>
        </w:rPr>
        <w:t>’</w:t>
      </w:r>
      <w:r w:rsidRPr="00780334">
        <w:rPr>
          <w:color w:val="000000"/>
          <w:szCs w:val="22"/>
          <w:lang w:val="fr-FR"/>
        </w:rPr>
        <w:t xml:space="preserve">exemples </w:t>
      </w:r>
      <w:r w:rsidRPr="001254FE">
        <w:rPr>
          <w:szCs w:val="22"/>
          <w:lang w:val="fr-FR"/>
        </w:rPr>
        <w:t>fourni</w:t>
      </w:r>
      <w:r w:rsidRPr="00780334">
        <w:rPr>
          <w:color w:val="000000"/>
          <w:szCs w:val="22"/>
          <w:lang w:val="fr-FR"/>
        </w:rPr>
        <w:t>s</w:t>
      </w:r>
      <w:r w:rsidRPr="001254FE">
        <w:rPr>
          <w:szCs w:val="22"/>
          <w:lang w:val="fr-FR"/>
        </w:rPr>
        <w:t xml:space="preserve"> par </w:t>
      </w:r>
      <w:r w:rsidR="00537308">
        <w:rPr>
          <w:szCs w:val="22"/>
          <w:lang w:val="fr-FR"/>
        </w:rPr>
        <w:t>différents</w:t>
      </w:r>
      <w:r w:rsidRPr="001254FE">
        <w:rPr>
          <w:szCs w:val="22"/>
          <w:lang w:val="fr-FR"/>
        </w:rPr>
        <w:t xml:space="preserve"> offices</w:t>
      </w:r>
      <w:r w:rsidR="00E80D1A">
        <w:rPr>
          <w:szCs w:val="22"/>
          <w:lang w:val="fr-FR"/>
        </w:rPr>
        <w:t xml:space="preserve">.  </w:t>
      </w:r>
      <w:r w:rsidR="0090786D" w:rsidRPr="00780334">
        <w:rPr>
          <w:color w:val="000000"/>
          <w:szCs w:val="22"/>
          <w:lang w:val="fr-FR"/>
        </w:rPr>
        <w:t>C</w:t>
      </w:r>
      <w:r w:rsidR="0090786D" w:rsidRPr="001254FE">
        <w:rPr>
          <w:szCs w:val="22"/>
          <w:lang w:val="fr-FR"/>
        </w:rPr>
        <w:t xml:space="preserve">es exemples visent à mieux </w:t>
      </w:r>
      <w:r w:rsidR="0090786D" w:rsidRPr="00780334">
        <w:rPr>
          <w:color w:val="000000"/>
          <w:szCs w:val="22"/>
          <w:lang w:val="fr-FR"/>
        </w:rPr>
        <w:t xml:space="preserve">illustrer la façon dont </w:t>
      </w:r>
      <w:r w:rsidR="0090786D" w:rsidRPr="001254FE">
        <w:rPr>
          <w:szCs w:val="22"/>
          <w:lang w:val="fr-FR"/>
        </w:rPr>
        <w:t xml:space="preserve">les événements nationaux </w:t>
      </w:r>
      <w:r w:rsidR="0090786D" w:rsidRPr="00780334">
        <w:rPr>
          <w:color w:val="000000"/>
          <w:szCs w:val="22"/>
          <w:lang w:val="fr-FR"/>
        </w:rPr>
        <w:t xml:space="preserve">peuvent être reliés </w:t>
      </w:r>
      <w:r w:rsidR="0090786D" w:rsidRPr="001254FE">
        <w:rPr>
          <w:szCs w:val="22"/>
          <w:lang w:val="fr-FR"/>
        </w:rPr>
        <w:t xml:space="preserve">aux événements </w:t>
      </w:r>
      <w:r w:rsidR="0090786D" w:rsidRPr="00780334">
        <w:rPr>
          <w:color w:val="000000"/>
          <w:szCs w:val="22"/>
          <w:lang w:val="fr-FR"/>
        </w:rPr>
        <w:t>définis dans la norme</w:t>
      </w:r>
      <w:r w:rsidR="00C95F81" w:rsidRPr="001254FE">
        <w:rPr>
          <w:szCs w:val="22"/>
          <w:lang w:val="fr-FR"/>
        </w:rPr>
        <w:t> </w:t>
      </w:r>
      <w:r w:rsidR="0090786D" w:rsidRPr="001254FE">
        <w:rPr>
          <w:szCs w:val="22"/>
          <w:lang w:val="fr-FR"/>
        </w:rPr>
        <w:t xml:space="preserve">ST.27 et </w:t>
      </w:r>
      <w:r w:rsidR="0090786D" w:rsidRPr="00780334">
        <w:rPr>
          <w:color w:val="000000"/>
          <w:szCs w:val="22"/>
          <w:lang w:val="fr-FR"/>
        </w:rPr>
        <w:t>la manière de</w:t>
      </w:r>
      <w:r w:rsidR="0090786D" w:rsidRPr="001254FE">
        <w:rPr>
          <w:szCs w:val="22"/>
          <w:lang w:val="fr-FR"/>
        </w:rPr>
        <w:t xml:space="preserve"> transformer ces </w:t>
      </w:r>
      <w:r w:rsidR="0090786D" w:rsidRPr="00780334">
        <w:rPr>
          <w:color w:val="000000"/>
          <w:szCs w:val="22"/>
          <w:lang w:val="fr-FR"/>
        </w:rPr>
        <w:t xml:space="preserve">correspondances </w:t>
      </w:r>
      <w:r w:rsidR="0090786D" w:rsidRPr="001254FE">
        <w:rPr>
          <w:szCs w:val="22"/>
          <w:lang w:val="fr-FR"/>
        </w:rPr>
        <w:t>en fichier de données</w:t>
      </w:r>
      <w:r w:rsidR="0090786D" w:rsidRPr="00780334">
        <w:rPr>
          <w:color w:val="000000"/>
          <w:szCs w:val="22"/>
          <w:lang w:val="fr-FR"/>
        </w:rPr>
        <w:t xml:space="preserve"> </w:t>
      </w:r>
      <w:r w:rsidR="00465B0A">
        <w:rPr>
          <w:color w:val="000000"/>
          <w:szCs w:val="22"/>
          <w:lang w:val="fr-FR"/>
        </w:rPr>
        <w:t>conforme à</w:t>
      </w:r>
      <w:r w:rsidR="0090786D" w:rsidRPr="00780334">
        <w:rPr>
          <w:color w:val="000000"/>
          <w:szCs w:val="22"/>
          <w:lang w:val="fr-FR"/>
        </w:rPr>
        <w:t xml:space="preserve"> la norme</w:t>
      </w:r>
      <w:r w:rsidR="00C95F81" w:rsidRPr="001254FE">
        <w:rPr>
          <w:szCs w:val="22"/>
          <w:lang w:val="fr-FR"/>
        </w:rPr>
        <w:t> </w:t>
      </w:r>
      <w:r w:rsidR="0090786D" w:rsidRPr="001254FE">
        <w:rPr>
          <w:szCs w:val="22"/>
          <w:lang w:val="fr-FR"/>
        </w:rPr>
        <w:t xml:space="preserve">ST.27 </w:t>
      </w:r>
      <w:r w:rsidR="0090786D" w:rsidRPr="00780334">
        <w:rPr>
          <w:color w:val="000000"/>
          <w:szCs w:val="22"/>
          <w:lang w:val="fr-FR"/>
        </w:rPr>
        <w:t>pouvant être échangé avec des tiers</w:t>
      </w:r>
      <w:r w:rsidR="0090786D" w:rsidRPr="001254FE">
        <w:rPr>
          <w:szCs w:val="22"/>
          <w:lang w:val="fr-FR"/>
        </w:rPr>
        <w:t>.</w:t>
      </w:r>
    </w:p>
    <w:p w14:paraId="31D5B677" w14:textId="4DC2BC05" w:rsidR="00286340" w:rsidRPr="00780334" w:rsidRDefault="0090786D" w:rsidP="0090786D">
      <w:pPr>
        <w:numPr>
          <w:ilvl w:val="0"/>
          <w:numId w:val="5"/>
        </w:numPr>
        <w:tabs>
          <w:tab w:val="clear" w:pos="567"/>
        </w:tabs>
        <w:spacing w:after="220"/>
        <w:rPr>
          <w:szCs w:val="22"/>
          <w:lang w:val="fr-FR"/>
        </w:rPr>
      </w:pPr>
      <w:r w:rsidRPr="001254FE">
        <w:rPr>
          <w:szCs w:val="22"/>
          <w:lang w:val="fr-FR"/>
        </w:rPr>
        <w:t xml:space="preserve">Compte tenu de la longueur et </w:t>
      </w:r>
      <w:r w:rsidRPr="00780334">
        <w:rPr>
          <w:color w:val="000000"/>
          <w:szCs w:val="22"/>
          <w:lang w:val="fr-FR"/>
        </w:rPr>
        <w:t xml:space="preserve">des différentes </w:t>
      </w:r>
      <w:r w:rsidR="00E73E87">
        <w:rPr>
          <w:color w:val="000000"/>
          <w:szCs w:val="22"/>
          <w:lang w:val="fr-FR"/>
        </w:rPr>
        <w:t>finalités</w:t>
      </w:r>
      <w:r w:rsidRPr="00780334">
        <w:rPr>
          <w:color w:val="000000"/>
          <w:szCs w:val="22"/>
          <w:lang w:val="fr-FR"/>
        </w:rPr>
        <w:t xml:space="preserve"> </w:t>
      </w:r>
      <w:r w:rsidRPr="001254FE">
        <w:rPr>
          <w:szCs w:val="22"/>
          <w:lang w:val="fr-FR"/>
        </w:rPr>
        <w:t>de</w:t>
      </w:r>
      <w:r w:rsidR="00E73E87">
        <w:rPr>
          <w:szCs w:val="22"/>
          <w:lang w:val="fr-FR"/>
        </w:rPr>
        <w:t xml:space="preserve"> ces </w:t>
      </w:r>
      <w:r w:rsidRPr="001254FE">
        <w:rPr>
          <w:szCs w:val="22"/>
          <w:lang w:val="fr-FR"/>
        </w:rPr>
        <w:t>exemples, il est proposé de</w:t>
      </w:r>
      <w:r w:rsidRPr="00780334">
        <w:rPr>
          <w:color w:val="000000"/>
          <w:szCs w:val="22"/>
          <w:lang w:val="fr-FR"/>
        </w:rPr>
        <w:t xml:space="preserve"> le</w:t>
      </w:r>
      <w:r w:rsidRPr="001254FE">
        <w:rPr>
          <w:szCs w:val="22"/>
          <w:lang w:val="fr-FR"/>
        </w:rPr>
        <w:t>s faire figurer dans une nouvelle annexe de la norme</w:t>
      </w:r>
      <w:r w:rsidR="00C95F81" w:rsidRPr="001254FE">
        <w:rPr>
          <w:szCs w:val="22"/>
          <w:lang w:val="fr-FR"/>
        </w:rPr>
        <w:t> </w:t>
      </w:r>
      <w:r w:rsidRPr="001254FE">
        <w:rPr>
          <w:szCs w:val="22"/>
          <w:lang w:val="fr-FR"/>
        </w:rPr>
        <w:t xml:space="preserve">ST.27 </w:t>
      </w:r>
      <w:r w:rsidRPr="00780334">
        <w:rPr>
          <w:color w:val="000000"/>
          <w:szCs w:val="22"/>
          <w:lang w:val="fr-FR"/>
        </w:rPr>
        <w:t>plutôt que de les</w:t>
      </w:r>
      <w:r w:rsidRPr="001254FE">
        <w:rPr>
          <w:szCs w:val="22"/>
          <w:lang w:val="fr-FR"/>
        </w:rPr>
        <w:t xml:space="preserve"> incorporer dans le document d</w:t>
      </w:r>
      <w:r w:rsidR="00562836">
        <w:rPr>
          <w:szCs w:val="22"/>
          <w:lang w:val="fr-FR"/>
        </w:rPr>
        <w:t>’</w:t>
      </w:r>
      <w:r w:rsidRPr="001254FE">
        <w:rPr>
          <w:szCs w:val="22"/>
          <w:lang w:val="fr-FR"/>
        </w:rPr>
        <w:t xml:space="preserve">orientation actuel </w:t>
      </w:r>
      <w:r w:rsidRPr="00780334">
        <w:rPr>
          <w:color w:val="000000"/>
          <w:szCs w:val="22"/>
          <w:lang w:val="fr-FR"/>
        </w:rPr>
        <w:t xml:space="preserve">figurant </w:t>
      </w:r>
      <w:r w:rsidRPr="001254FE">
        <w:rPr>
          <w:szCs w:val="22"/>
          <w:lang w:val="fr-FR"/>
        </w:rPr>
        <w:t>à l</w:t>
      </w:r>
      <w:r w:rsidR="00562836">
        <w:rPr>
          <w:szCs w:val="22"/>
          <w:lang w:val="fr-FR"/>
        </w:rPr>
        <w:t>’</w:t>
      </w:r>
      <w:r w:rsidR="001B1667" w:rsidRPr="001254FE">
        <w:rPr>
          <w:szCs w:val="22"/>
          <w:lang w:val="fr-FR"/>
        </w:rPr>
        <w:t>annexe V</w:t>
      </w:r>
      <w:r w:rsidRPr="001254FE">
        <w:rPr>
          <w:szCs w:val="22"/>
          <w:lang w:val="fr-FR"/>
        </w:rPr>
        <w:t xml:space="preserve"> </w:t>
      </w:r>
      <w:r w:rsidRPr="00780334">
        <w:rPr>
          <w:color w:val="000000"/>
          <w:szCs w:val="22"/>
          <w:lang w:val="fr-FR"/>
        </w:rPr>
        <w:t>de</w:t>
      </w:r>
      <w:r w:rsidRPr="001254FE">
        <w:rPr>
          <w:szCs w:val="22"/>
          <w:lang w:val="fr-FR"/>
        </w:rPr>
        <w:t xml:space="preserve"> la norme</w:t>
      </w:r>
      <w:r w:rsidR="00C95F81" w:rsidRPr="001254FE">
        <w:rPr>
          <w:szCs w:val="22"/>
          <w:lang w:val="fr-FR"/>
        </w:rPr>
        <w:t> </w:t>
      </w:r>
      <w:r w:rsidRPr="001254FE">
        <w:rPr>
          <w:szCs w:val="22"/>
          <w:lang w:val="fr-FR"/>
        </w:rPr>
        <w:t>ST</w:t>
      </w:r>
      <w:r w:rsidRPr="00780334">
        <w:rPr>
          <w:color w:val="000000"/>
          <w:szCs w:val="22"/>
          <w:lang w:val="fr-FR"/>
        </w:rPr>
        <w:t>.</w:t>
      </w:r>
      <w:r w:rsidRPr="001254FE">
        <w:rPr>
          <w:szCs w:val="22"/>
          <w:lang w:val="fr-FR"/>
        </w:rPr>
        <w:t>27</w:t>
      </w:r>
      <w:r w:rsidR="00E80D1A">
        <w:rPr>
          <w:color w:val="000000"/>
          <w:szCs w:val="22"/>
          <w:lang w:val="fr-FR"/>
        </w:rPr>
        <w:t xml:space="preserve">.  </w:t>
      </w:r>
      <w:r w:rsidRPr="00780334">
        <w:rPr>
          <w:color w:val="000000"/>
          <w:szCs w:val="22"/>
          <w:lang w:val="fr-FR"/>
        </w:rPr>
        <w:t>Dans</w:t>
      </w:r>
      <w:r w:rsidRPr="001254FE">
        <w:rPr>
          <w:szCs w:val="22"/>
          <w:lang w:val="fr-FR"/>
        </w:rPr>
        <w:t xml:space="preserve"> cette proposition, </w:t>
      </w:r>
      <w:r w:rsidRPr="00780334">
        <w:rPr>
          <w:color w:val="000000"/>
          <w:szCs w:val="22"/>
          <w:lang w:val="fr-FR"/>
        </w:rPr>
        <w:t>l</w:t>
      </w:r>
      <w:r w:rsidRPr="001254FE">
        <w:rPr>
          <w:szCs w:val="22"/>
          <w:lang w:val="fr-FR"/>
        </w:rPr>
        <w:t xml:space="preserve">es nouveaux exemples </w:t>
      </w:r>
      <w:r w:rsidRPr="00780334">
        <w:rPr>
          <w:color w:val="000000"/>
          <w:szCs w:val="22"/>
          <w:lang w:val="fr-FR"/>
        </w:rPr>
        <w:t>figureraient</w:t>
      </w:r>
      <w:r w:rsidRPr="001254FE">
        <w:rPr>
          <w:szCs w:val="22"/>
          <w:lang w:val="fr-FR"/>
        </w:rPr>
        <w:t xml:space="preserve"> dans une nouvelle </w:t>
      </w:r>
      <w:r w:rsidR="001B1667" w:rsidRPr="001254FE">
        <w:rPr>
          <w:szCs w:val="22"/>
          <w:lang w:val="fr-FR"/>
        </w:rPr>
        <w:t>annexe V</w:t>
      </w:r>
      <w:r w:rsidRPr="001254FE">
        <w:rPr>
          <w:szCs w:val="22"/>
          <w:lang w:val="fr-FR"/>
        </w:rPr>
        <w:t xml:space="preserve"> intitulée </w:t>
      </w:r>
      <w:r w:rsidR="00C95F81" w:rsidRPr="001254FE">
        <w:rPr>
          <w:szCs w:val="22"/>
          <w:lang w:val="fr-FR"/>
        </w:rPr>
        <w:t>“</w:t>
      </w:r>
      <w:r w:rsidRPr="001254FE">
        <w:rPr>
          <w:szCs w:val="22"/>
          <w:lang w:val="fr-FR"/>
        </w:rPr>
        <w:t>Document d</w:t>
      </w:r>
      <w:r w:rsidR="00562836">
        <w:rPr>
          <w:szCs w:val="22"/>
          <w:lang w:val="fr-FR"/>
        </w:rPr>
        <w:t>’</w:t>
      </w:r>
      <w:r w:rsidRPr="001254FE">
        <w:rPr>
          <w:szCs w:val="22"/>
          <w:lang w:val="fr-FR"/>
        </w:rPr>
        <w:t xml:space="preserve">orientation </w:t>
      </w:r>
      <w:r w:rsidR="00DF3C5B" w:rsidRPr="00780334">
        <w:rPr>
          <w:color w:val="000000"/>
          <w:szCs w:val="22"/>
          <w:lang w:val="fr-FR"/>
        </w:rPr>
        <w:t>contenant des exemples de</w:t>
      </w:r>
      <w:r w:rsidRPr="001254FE">
        <w:rPr>
          <w:szCs w:val="22"/>
          <w:lang w:val="fr-FR"/>
        </w:rPr>
        <w:t xml:space="preserve"> scénarios </w:t>
      </w:r>
      <w:r w:rsidRPr="00780334">
        <w:rPr>
          <w:color w:val="000000"/>
          <w:szCs w:val="22"/>
          <w:lang w:val="fr-FR"/>
        </w:rPr>
        <w:t>courants</w:t>
      </w:r>
      <w:r w:rsidR="00C95F81" w:rsidRPr="001254FE">
        <w:rPr>
          <w:szCs w:val="22"/>
          <w:lang w:val="fr-FR"/>
        </w:rPr>
        <w:t>”</w:t>
      </w:r>
      <w:r w:rsidR="00E80D1A">
        <w:rPr>
          <w:szCs w:val="22"/>
          <w:lang w:val="fr-FR"/>
        </w:rPr>
        <w:t xml:space="preserve">.  </w:t>
      </w:r>
      <w:r w:rsidRPr="00780334">
        <w:rPr>
          <w:szCs w:val="22"/>
          <w:lang w:val="fr-FR"/>
        </w:rPr>
        <w:t>Le document d</w:t>
      </w:r>
      <w:r w:rsidR="00562836">
        <w:rPr>
          <w:szCs w:val="22"/>
          <w:lang w:val="fr-FR"/>
        </w:rPr>
        <w:t>’</w:t>
      </w:r>
      <w:r w:rsidRPr="00780334">
        <w:rPr>
          <w:szCs w:val="22"/>
          <w:lang w:val="fr-FR"/>
        </w:rPr>
        <w:t>orientation actuel faisant l</w:t>
      </w:r>
      <w:r w:rsidR="00562836">
        <w:rPr>
          <w:szCs w:val="22"/>
          <w:lang w:val="fr-FR"/>
        </w:rPr>
        <w:t>’</w:t>
      </w:r>
      <w:r w:rsidRPr="00780334">
        <w:rPr>
          <w:szCs w:val="22"/>
          <w:lang w:val="fr-FR"/>
        </w:rPr>
        <w:t>objet de l</w:t>
      </w:r>
      <w:r w:rsidR="00562836">
        <w:rPr>
          <w:szCs w:val="22"/>
          <w:lang w:val="fr-FR"/>
        </w:rPr>
        <w:t>’</w:t>
      </w:r>
      <w:r w:rsidR="001B1667" w:rsidRPr="00780334">
        <w:rPr>
          <w:szCs w:val="22"/>
          <w:lang w:val="fr-FR"/>
        </w:rPr>
        <w:t>annexe</w:t>
      </w:r>
      <w:r w:rsidR="001B1667">
        <w:rPr>
          <w:szCs w:val="22"/>
          <w:lang w:val="fr-FR"/>
        </w:rPr>
        <w:t> </w:t>
      </w:r>
      <w:r w:rsidR="001B1667" w:rsidRPr="00780334">
        <w:rPr>
          <w:szCs w:val="22"/>
          <w:lang w:val="fr-FR"/>
        </w:rPr>
        <w:t>V</w:t>
      </w:r>
      <w:r w:rsidRPr="00780334">
        <w:rPr>
          <w:szCs w:val="22"/>
          <w:lang w:val="fr-FR"/>
        </w:rPr>
        <w:t xml:space="preserve"> deviendra l</w:t>
      </w:r>
      <w:r w:rsidR="00562836">
        <w:rPr>
          <w:szCs w:val="22"/>
          <w:lang w:val="fr-FR"/>
        </w:rPr>
        <w:t>’</w:t>
      </w:r>
      <w:r w:rsidRPr="00780334">
        <w:rPr>
          <w:szCs w:val="22"/>
          <w:lang w:val="fr-FR"/>
        </w:rPr>
        <w:t>annexe</w:t>
      </w:r>
      <w:r w:rsidR="00C95F81">
        <w:rPr>
          <w:szCs w:val="22"/>
          <w:lang w:val="fr-FR"/>
        </w:rPr>
        <w:t> </w:t>
      </w:r>
      <w:r w:rsidRPr="00780334">
        <w:rPr>
          <w:szCs w:val="22"/>
          <w:lang w:val="fr-FR"/>
        </w:rPr>
        <w:t xml:space="preserve">VI et sera renommé </w:t>
      </w:r>
      <w:r w:rsidR="00DA6500" w:rsidRPr="00780334">
        <w:rPr>
          <w:szCs w:val="22"/>
          <w:lang w:val="fr-FR"/>
        </w:rPr>
        <w:t>“</w:t>
      </w:r>
      <w:r w:rsidRPr="00780334">
        <w:rPr>
          <w:szCs w:val="22"/>
          <w:lang w:val="fr-FR"/>
        </w:rPr>
        <w:t>Document d</w:t>
      </w:r>
      <w:r w:rsidR="00562836">
        <w:rPr>
          <w:szCs w:val="22"/>
          <w:lang w:val="fr-FR"/>
        </w:rPr>
        <w:t>’</w:t>
      </w:r>
      <w:r w:rsidRPr="00780334">
        <w:rPr>
          <w:szCs w:val="22"/>
          <w:lang w:val="fr-FR"/>
        </w:rPr>
        <w:t>orientation fondé sur les catégories</w:t>
      </w:r>
      <w:r w:rsidR="00DA6500" w:rsidRPr="00780334">
        <w:rPr>
          <w:szCs w:val="22"/>
          <w:lang w:val="fr-FR"/>
        </w:rPr>
        <w:t>”.</w:t>
      </w:r>
    </w:p>
    <w:p w14:paraId="32707EB5" w14:textId="305FFD8B" w:rsidR="00286340" w:rsidRPr="00780334" w:rsidRDefault="0090786D" w:rsidP="00014519">
      <w:pPr>
        <w:numPr>
          <w:ilvl w:val="0"/>
          <w:numId w:val="5"/>
        </w:numPr>
        <w:tabs>
          <w:tab w:val="clear" w:pos="567"/>
        </w:tabs>
        <w:spacing w:after="220"/>
        <w:rPr>
          <w:szCs w:val="22"/>
          <w:lang w:val="fr-FR"/>
        </w:rPr>
      </w:pPr>
      <w:r w:rsidRPr="001254FE">
        <w:rPr>
          <w:szCs w:val="22"/>
          <w:lang w:val="fr-FR"/>
        </w:rPr>
        <w:t xml:space="preserve">La nouvelle </w:t>
      </w:r>
      <w:r w:rsidR="001B1667" w:rsidRPr="001254FE">
        <w:rPr>
          <w:szCs w:val="22"/>
          <w:lang w:val="fr-FR"/>
        </w:rPr>
        <w:t>annexe V</w:t>
      </w:r>
      <w:r w:rsidRPr="001254FE">
        <w:rPr>
          <w:szCs w:val="22"/>
          <w:lang w:val="fr-FR"/>
        </w:rPr>
        <w:t xml:space="preserve"> </w:t>
      </w:r>
      <w:r w:rsidRPr="00780334">
        <w:rPr>
          <w:color w:val="000000"/>
          <w:szCs w:val="22"/>
          <w:lang w:val="fr-FR"/>
        </w:rPr>
        <w:t>proposée pour</w:t>
      </w:r>
      <w:r w:rsidRPr="001254FE">
        <w:rPr>
          <w:szCs w:val="22"/>
          <w:lang w:val="fr-FR"/>
        </w:rPr>
        <w:t xml:space="preserve"> la norme</w:t>
      </w:r>
      <w:r w:rsidR="00C95F81" w:rsidRPr="001254FE">
        <w:rPr>
          <w:szCs w:val="22"/>
          <w:lang w:val="fr-FR"/>
        </w:rPr>
        <w:t> </w:t>
      </w:r>
      <w:r w:rsidRPr="001254FE">
        <w:rPr>
          <w:szCs w:val="22"/>
          <w:lang w:val="fr-FR"/>
        </w:rPr>
        <w:t>ST.27 est présentée à l</w:t>
      </w:r>
      <w:r w:rsidR="00562836">
        <w:rPr>
          <w:szCs w:val="22"/>
          <w:lang w:val="fr-FR"/>
        </w:rPr>
        <w:t>’</w:t>
      </w:r>
      <w:r w:rsidR="001B1667" w:rsidRPr="001254FE">
        <w:rPr>
          <w:szCs w:val="22"/>
          <w:lang w:val="fr-FR"/>
        </w:rPr>
        <w:t>annexe I</w:t>
      </w:r>
      <w:r w:rsidRPr="001254FE">
        <w:rPr>
          <w:szCs w:val="22"/>
          <w:lang w:val="fr-FR"/>
        </w:rPr>
        <w:t xml:space="preserve"> du présent document</w:t>
      </w:r>
      <w:r w:rsidR="00E80D1A">
        <w:rPr>
          <w:szCs w:val="22"/>
          <w:lang w:val="fr-FR"/>
        </w:rPr>
        <w:t xml:space="preserve">.  </w:t>
      </w:r>
      <w:r w:rsidR="00014519" w:rsidRPr="00780334">
        <w:rPr>
          <w:color w:val="000000"/>
          <w:szCs w:val="22"/>
          <w:lang w:val="fr-FR"/>
        </w:rPr>
        <w:t>Seuls la numérotation et le titre de l</w:t>
      </w:r>
      <w:r w:rsidR="00562836">
        <w:rPr>
          <w:szCs w:val="22"/>
          <w:lang w:val="fr-FR"/>
        </w:rPr>
        <w:t>’</w:t>
      </w:r>
      <w:r w:rsidR="001B1667" w:rsidRPr="001254FE">
        <w:rPr>
          <w:szCs w:val="22"/>
          <w:lang w:val="fr-FR"/>
        </w:rPr>
        <w:t>annexe V</w:t>
      </w:r>
      <w:r w:rsidR="00014519" w:rsidRPr="001254FE">
        <w:rPr>
          <w:szCs w:val="22"/>
          <w:lang w:val="fr-FR"/>
        </w:rPr>
        <w:t xml:space="preserve"> actuelle </w:t>
      </w:r>
      <w:r w:rsidR="00014519" w:rsidRPr="00780334">
        <w:rPr>
          <w:color w:val="000000"/>
          <w:szCs w:val="22"/>
          <w:lang w:val="fr-FR"/>
        </w:rPr>
        <w:t>seront modifiés</w:t>
      </w:r>
      <w:r w:rsidR="00E80D1A">
        <w:rPr>
          <w:szCs w:val="22"/>
          <w:lang w:val="fr-FR"/>
        </w:rPr>
        <w:t xml:space="preserve">.  </w:t>
      </w:r>
      <w:r w:rsidR="00B5522C">
        <w:rPr>
          <w:color w:val="000000"/>
          <w:szCs w:val="22"/>
          <w:lang w:val="fr-FR"/>
        </w:rPr>
        <w:t>Celle</w:t>
      </w:r>
      <w:r w:rsidR="00562836">
        <w:rPr>
          <w:color w:val="000000"/>
          <w:szCs w:val="22"/>
          <w:lang w:val="fr-FR"/>
        </w:rPr>
        <w:t>-</w:t>
      </w:r>
      <w:r w:rsidR="00B5522C">
        <w:rPr>
          <w:color w:val="000000"/>
          <w:szCs w:val="22"/>
          <w:lang w:val="fr-FR"/>
        </w:rPr>
        <w:t>ci</w:t>
      </w:r>
      <w:r w:rsidR="00014519" w:rsidRPr="001254FE">
        <w:rPr>
          <w:szCs w:val="22"/>
          <w:lang w:val="fr-FR"/>
        </w:rPr>
        <w:t xml:space="preserve"> n</w:t>
      </w:r>
      <w:r w:rsidR="00562836">
        <w:rPr>
          <w:szCs w:val="22"/>
          <w:lang w:val="fr-FR"/>
        </w:rPr>
        <w:t>’</w:t>
      </w:r>
      <w:r w:rsidR="00014519" w:rsidRPr="001254FE">
        <w:rPr>
          <w:szCs w:val="22"/>
          <w:lang w:val="fr-FR"/>
        </w:rPr>
        <w:t>est donc pas présenté</w:t>
      </w:r>
      <w:r w:rsidR="00014519" w:rsidRPr="00780334">
        <w:rPr>
          <w:color w:val="000000"/>
          <w:szCs w:val="22"/>
          <w:lang w:val="fr-FR"/>
        </w:rPr>
        <w:t>e</w:t>
      </w:r>
      <w:r w:rsidR="001B1667" w:rsidRPr="001254FE">
        <w:rPr>
          <w:szCs w:val="22"/>
          <w:lang w:val="fr-FR"/>
        </w:rPr>
        <w:t xml:space="preserve"> au CWS</w:t>
      </w:r>
      <w:r w:rsidR="00014519" w:rsidRPr="001254FE">
        <w:rPr>
          <w:szCs w:val="22"/>
          <w:lang w:val="fr-FR"/>
        </w:rPr>
        <w:t xml:space="preserve"> pour examen.</w:t>
      </w:r>
    </w:p>
    <w:p w14:paraId="0FE4084F" w14:textId="31B362AB" w:rsidR="00286340" w:rsidRPr="00780334" w:rsidRDefault="00EF5545" w:rsidP="00EF5545">
      <w:pPr>
        <w:spacing w:after="60"/>
        <w:rPr>
          <w:caps/>
          <w:szCs w:val="22"/>
          <w:lang w:val="fr-FR"/>
        </w:rPr>
      </w:pPr>
      <w:r w:rsidRPr="00780334">
        <w:rPr>
          <w:caps/>
          <w:szCs w:val="22"/>
          <w:lang w:val="fr-FR"/>
        </w:rPr>
        <w:t>Débat sur l</w:t>
      </w:r>
      <w:r w:rsidR="00562836">
        <w:rPr>
          <w:caps/>
          <w:szCs w:val="22"/>
          <w:lang w:val="fr-FR"/>
        </w:rPr>
        <w:t>’</w:t>
      </w:r>
      <w:r w:rsidRPr="00780334">
        <w:rPr>
          <w:caps/>
          <w:szCs w:val="22"/>
          <w:lang w:val="fr-FR"/>
        </w:rPr>
        <w:t>organisation des événements</w:t>
      </w:r>
    </w:p>
    <w:p w14:paraId="6526A61A" w14:textId="263E4C6F" w:rsidR="00286340" w:rsidRPr="00780334" w:rsidRDefault="00853248" w:rsidP="002C1A05">
      <w:pPr>
        <w:numPr>
          <w:ilvl w:val="0"/>
          <w:numId w:val="5"/>
        </w:numPr>
        <w:tabs>
          <w:tab w:val="clear" w:pos="567"/>
        </w:tabs>
        <w:spacing w:after="120"/>
        <w:rPr>
          <w:szCs w:val="22"/>
          <w:lang w:val="fr-FR"/>
        </w:rPr>
      </w:pPr>
      <w:r w:rsidRPr="00780334">
        <w:rPr>
          <w:szCs w:val="22"/>
          <w:lang w:val="fr-FR"/>
        </w:rPr>
        <w:t>Le Bureau international s</w:t>
      </w:r>
      <w:r w:rsidR="00562836">
        <w:rPr>
          <w:szCs w:val="22"/>
          <w:lang w:val="fr-FR"/>
        </w:rPr>
        <w:t>’</w:t>
      </w:r>
      <w:r w:rsidRPr="00780334">
        <w:rPr>
          <w:szCs w:val="22"/>
          <w:lang w:val="fr-FR"/>
        </w:rPr>
        <w:t xml:space="preserve">est appuyé sur les tableaux de correspondance fournis par les offices de propriété </w:t>
      </w:r>
      <w:r w:rsidR="00E44D87">
        <w:rPr>
          <w:szCs w:val="22"/>
          <w:lang w:val="fr-FR"/>
        </w:rPr>
        <w:t>industrielle</w:t>
      </w:r>
      <w:r w:rsidRPr="00780334">
        <w:rPr>
          <w:szCs w:val="22"/>
          <w:lang w:val="fr-FR"/>
        </w:rPr>
        <w:t xml:space="preserve"> </w:t>
      </w:r>
      <w:r w:rsidR="00B5522C">
        <w:rPr>
          <w:szCs w:val="22"/>
          <w:lang w:val="fr-FR"/>
        </w:rPr>
        <w:t xml:space="preserve">pour </w:t>
      </w:r>
      <w:r w:rsidRPr="00780334">
        <w:rPr>
          <w:szCs w:val="22"/>
          <w:lang w:val="fr-FR"/>
        </w:rPr>
        <w:t>examiner les événements figurant dans la norme</w:t>
      </w:r>
      <w:r w:rsidR="00C95F81">
        <w:rPr>
          <w:szCs w:val="22"/>
          <w:lang w:val="fr-FR"/>
        </w:rPr>
        <w:t> </w:t>
      </w:r>
      <w:r w:rsidRPr="00780334">
        <w:rPr>
          <w:szCs w:val="22"/>
          <w:lang w:val="fr-FR"/>
        </w:rPr>
        <w:t>ST.27 et en vérifier la cohérence et l</w:t>
      </w:r>
      <w:r w:rsidR="00562836">
        <w:rPr>
          <w:szCs w:val="22"/>
          <w:lang w:val="fr-FR"/>
        </w:rPr>
        <w:t>’</w:t>
      </w:r>
      <w:r w:rsidRPr="00780334">
        <w:rPr>
          <w:szCs w:val="22"/>
          <w:lang w:val="fr-FR"/>
        </w:rPr>
        <w:t>utilité</w:t>
      </w:r>
      <w:r w:rsidR="00E80D1A">
        <w:rPr>
          <w:szCs w:val="22"/>
          <w:lang w:val="fr-FR"/>
        </w:rPr>
        <w:t xml:space="preserve">.  </w:t>
      </w:r>
      <w:r w:rsidRPr="00780334">
        <w:rPr>
          <w:szCs w:val="22"/>
          <w:lang w:val="fr-FR"/>
        </w:rPr>
        <w:t>Cette analyse a mis en lumière un certain nombre de points qui pourraient être améliorés en ce qui concerne l</w:t>
      </w:r>
      <w:r w:rsidR="00562836">
        <w:rPr>
          <w:szCs w:val="22"/>
          <w:lang w:val="fr-FR"/>
        </w:rPr>
        <w:t>’</w:t>
      </w:r>
      <w:r w:rsidRPr="00780334">
        <w:rPr>
          <w:szCs w:val="22"/>
          <w:lang w:val="fr-FR"/>
        </w:rPr>
        <w:t>organisation des événements</w:t>
      </w:r>
      <w:r w:rsidR="00E80D1A">
        <w:rPr>
          <w:szCs w:val="22"/>
          <w:lang w:val="fr-FR"/>
        </w:rPr>
        <w:t xml:space="preserve">.  </w:t>
      </w:r>
      <w:r w:rsidRPr="00780334">
        <w:rPr>
          <w:szCs w:val="22"/>
          <w:lang w:val="fr-FR"/>
        </w:rPr>
        <w:t>Sur les 168</w:t>
      </w:r>
      <w:r w:rsidR="00C95F81">
        <w:rPr>
          <w:szCs w:val="22"/>
          <w:lang w:val="fr-FR"/>
        </w:rPr>
        <w:t> </w:t>
      </w:r>
      <w:r w:rsidRPr="00780334">
        <w:rPr>
          <w:szCs w:val="22"/>
          <w:lang w:val="fr-FR"/>
        </w:rPr>
        <w:t>événements figurant dans la version</w:t>
      </w:r>
      <w:r w:rsidR="00C95F81">
        <w:rPr>
          <w:szCs w:val="22"/>
          <w:lang w:val="fr-FR"/>
        </w:rPr>
        <w:t> </w:t>
      </w:r>
      <w:r w:rsidRPr="00780334">
        <w:rPr>
          <w:szCs w:val="22"/>
          <w:lang w:val="fr-FR"/>
        </w:rPr>
        <w:t>1.1 de la norme</w:t>
      </w:r>
      <w:r w:rsidR="00C95F81">
        <w:rPr>
          <w:szCs w:val="22"/>
          <w:lang w:val="fr-FR"/>
        </w:rPr>
        <w:t> </w:t>
      </w:r>
      <w:r w:rsidRPr="00780334">
        <w:rPr>
          <w:szCs w:val="22"/>
          <w:lang w:val="fr-FR"/>
        </w:rPr>
        <w:t>ST.27 de l</w:t>
      </w:r>
      <w:r w:rsidR="00562836">
        <w:rPr>
          <w:szCs w:val="22"/>
          <w:lang w:val="fr-FR"/>
        </w:rPr>
        <w:t>’</w:t>
      </w:r>
      <w:r w:rsidRPr="00780334">
        <w:rPr>
          <w:szCs w:val="22"/>
          <w:lang w:val="fr-FR"/>
        </w:rPr>
        <w:t>OMPI, 46</w:t>
      </w:r>
      <w:r w:rsidR="00C95F81">
        <w:rPr>
          <w:szCs w:val="22"/>
          <w:lang w:val="fr-FR"/>
        </w:rPr>
        <w:t> </w:t>
      </w:r>
      <w:r w:rsidRPr="00780334">
        <w:rPr>
          <w:szCs w:val="22"/>
          <w:lang w:val="fr-FR"/>
        </w:rPr>
        <w:t xml:space="preserve">événements (25%) sont directement liés à un autre événement </w:t>
      </w:r>
      <w:r w:rsidR="00B5522C">
        <w:rPr>
          <w:szCs w:val="22"/>
          <w:lang w:val="fr-FR"/>
        </w:rPr>
        <w:t xml:space="preserve">dans </w:t>
      </w:r>
      <w:r w:rsidRPr="00780334">
        <w:rPr>
          <w:szCs w:val="22"/>
          <w:lang w:val="fr-FR"/>
        </w:rPr>
        <w:t>la même catégorie</w:t>
      </w:r>
      <w:r w:rsidR="00E80D1A">
        <w:rPr>
          <w:szCs w:val="22"/>
          <w:lang w:val="fr-FR"/>
        </w:rPr>
        <w:t xml:space="preserve">.  </w:t>
      </w:r>
      <w:r w:rsidR="002C1A05" w:rsidRPr="00780334">
        <w:rPr>
          <w:szCs w:val="22"/>
          <w:lang w:val="fr-FR"/>
        </w:rPr>
        <w:t>Par exemple, A16 concerne les demandes divisionnaires déposées, A17 les demandes divisionnaires rejetées et A18 les demandes divisionnaires acceptées</w:t>
      </w:r>
      <w:r w:rsidR="00E80D1A">
        <w:rPr>
          <w:szCs w:val="22"/>
          <w:lang w:val="fr-FR"/>
        </w:rPr>
        <w:t xml:space="preserve">.  </w:t>
      </w:r>
      <w:r w:rsidR="002C1A05" w:rsidRPr="00780334">
        <w:rPr>
          <w:szCs w:val="22"/>
          <w:lang w:val="fr-FR"/>
        </w:rPr>
        <w:t>Pour les événements</w:t>
      </w:r>
      <w:r w:rsidR="00C95F81">
        <w:rPr>
          <w:szCs w:val="22"/>
          <w:lang w:val="fr-FR"/>
        </w:rPr>
        <w:t> </w:t>
      </w:r>
      <w:r w:rsidR="002C1A05" w:rsidRPr="00780334">
        <w:rPr>
          <w:szCs w:val="22"/>
          <w:lang w:val="fr-FR"/>
        </w:rPr>
        <w:t>A17 ou A18, l</w:t>
      </w:r>
      <w:r w:rsidR="00562836">
        <w:rPr>
          <w:szCs w:val="22"/>
          <w:lang w:val="fr-FR"/>
        </w:rPr>
        <w:t>’</w:t>
      </w:r>
      <w:r w:rsidR="002C1A05" w:rsidRPr="00780334">
        <w:rPr>
          <w:szCs w:val="22"/>
          <w:lang w:val="fr-FR"/>
        </w:rPr>
        <w:t>historique de l</w:t>
      </w:r>
      <w:r w:rsidR="00562836">
        <w:rPr>
          <w:szCs w:val="22"/>
          <w:lang w:val="fr-FR"/>
        </w:rPr>
        <w:t>’</w:t>
      </w:r>
      <w:r w:rsidR="002C1A05" w:rsidRPr="00780334">
        <w:rPr>
          <w:szCs w:val="22"/>
          <w:lang w:val="fr-FR"/>
        </w:rPr>
        <w:t>événement devrait comprendre un événement</w:t>
      </w:r>
      <w:r w:rsidR="00C95F81">
        <w:rPr>
          <w:szCs w:val="22"/>
          <w:lang w:val="fr-FR"/>
        </w:rPr>
        <w:t> </w:t>
      </w:r>
      <w:r w:rsidR="002C1A05" w:rsidRPr="00780334">
        <w:rPr>
          <w:szCs w:val="22"/>
          <w:lang w:val="fr-FR"/>
        </w:rPr>
        <w:t xml:space="preserve">A16 </w:t>
      </w:r>
      <w:r w:rsidR="00D55089">
        <w:rPr>
          <w:szCs w:val="22"/>
          <w:lang w:val="fr-FR"/>
        </w:rPr>
        <w:t>antérieur</w:t>
      </w:r>
      <w:r w:rsidR="002C1A05" w:rsidRPr="00780334">
        <w:rPr>
          <w:szCs w:val="22"/>
          <w:lang w:val="fr-FR"/>
        </w:rPr>
        <w:t>.</w:t>
      </w:r>
    </w:p>
    <w:p w14:paraId="3CFCDDB5" w14:textId="555B1A43" w:rsidR="00286340" w:rsidRPr="00780334" w:rsidRDefault="002C1A05" w:rsidP="0044487F">
      <w:pPr>
        <w:numPr>
          <w:ilvl w:val="0"/>
          <w:numId w:val="5"/>
        </w:numPr>
        <w:tabs>
          <w:tab w:val="clear" w:pos="567"/>
        </w:tabs>
        <w:spacing w:after="220"/>
        <w:rPr>
          <w:szCs w:val="22"/>
          <w:lang w:val="fr-FR"/>
        </w:rPr>
      </w:pPr>
      <w:r w:rsidRPr="00780334">
        <w:rPr>
          <w:szCs w:val="22"/>
          <w:lang w:val="fr-FR"/>
        </w:rPr>
        <w:t>Toutefois, ces relations ne sont pas prises en considération dans les données relatives aux événements définis dans la norme</w:t>
      </w:r>
      <w:r w:rsidR="00C95F81">
        <w:rPr>
          <w:szCs w:val="22"/>
          <w:lang w:val="fr-FR"/>
        </w:rPr>
        <w:t> </w:t>
      </w:r>
      <w:r w:rsidRPr="00780334">
        <w:rPr>
          <w:szCs w:val="22"/>
          <w:lang w:val="fr-FR"/>
        </w:rPr>
        <w:t>ST.27 que les offices échangent</w:t>
      </w:r>
      <w:r w:rsidR="00E80D1A">
        <w:rPr>
          <w:szCs w:val="22"/>
          <w:lang w:val="fr-FR"/>
        </w:rPr>
        <w:t xml:space="preserve">.  </w:t>
      </w:r>
      <w:r w:rsidR="0044487F" w:rsidRPr="00780334">
        <w:rPr>
          <w:szCs w:val="22"/>
          <w:lang w:val="fr-FR"/>
        </w:rPr>
        <w:t>Les codes d</w:t>
      </w:r>
      <w:r w:rsidR="00562836">
        <w:rPr>
          <w:szCs w:val="22"/>
          <w:lang w:val="fr-FR"/>
        </w:rPr>
        <w:t>’</w:t>
      </w:r>
      <w:r w:rsidR="0044487F" w:rsidRPr="00780334">
        <w:rPr>
          <w:szCs w:val="22"/>
          <w:lang w:val="fr-FR"/>
        </w:rPr>
        <w:t>événement</w:t>
      </w:r>
      <w:r w:rsidR="00C95F81">
        <w:rPr>
          <w:szCs w:val="22"/>
          <w:lang w:val="fr-FR"/>
        </w:rPr>
        <w:t> </w:t>
      </w:r>
      <w:r w:rsidR="0044487F" w:rsidRPr="00780334">
        <w:rPr>
          <w:szCs w:val="22"/>
          <w:lang w:val="fr-FR"/>
        </w:rPr>
        <w:t>A16, A17 et A18 n</w:t>
      </w:r>
      <w:r w:rsidR="00562836">
        <w:rPr>
          <w:szCs w:val="22"/>
          <w:lang w:val="fr-FR"/>
        </w:rPr>
        <w:t>’</w:t>
      </w:r>
      <w:r w:rsidR="0044487F" w:rsidRPr="00780334">
        <w:rPr>
          <w:szCs w:val="22"/>
          <w:lang w:val="fr-FR"/>
        </w:rPr>
        <w:t xml:space="preserve">indiquent pas que ces événements </w:t>
      </w:r>
      <w:r w:rsidR="00EF3B54">
        <w:rPr>
          <w:szCs w:val="22"/>
          <w:lang w:val="fr-FR"/>
        </w:rPr>
        <w:t>sont interdépendants</w:t>
      </w:r>
      <w:r w:rsidR="00E80D1A">
        <w:rPr>
          <w:szCs w:val="22"/>
          <w:lang w:val="fr-FR"/>
        </w:rPr>
        <w:t xml:space="preserve">.  </w:t>
      </w:r>
      <w:r w:rsidR="0044487F" w:rsidRPr="00780334">
        <w:rPr>
          <w:szCs w:val="22"/>
          <w:lang w:val="fr-FR"/>
        </w:rPr>
        <w:t xml:space="preserve">Le fait de fournir des informations plus précises sur les relations entre les événements dans les données échangées entre les offices permettrait de mieux comprendre, de mieux mettre en </w:t>
      </w:r>
      <w:r w:rsidR="00F574FC" w:rsidRPr="00780334">
        <w:rPr>
          <w:szCs w:val="22"/>
          <w:lang w:val="fr-FR"/>
        </w:rPr>
        <w:t>œuvre</w:t>
      </w:r>
      <w:r w:rsidR="0044487F" w:rsidRPr="00780334">
        <w:rPr>
          <w:szCs w:val="22"/>
          <w:lang w:val="fr-FR"/>
        </w:rPr>
        <w:t xml:space="preserve"> et de mieux utiliser la norme</w:t>
      </w:r>
      <w:r w:rsidR="00C95F81">
        <w:rPr>
          <w:szCs w:val="22"/>
          <w:lang w:val="fr-FR"/>
        </w:rPr>
        <w:t> </w:t>
      </w:r>
      <w:r w:rsidR="0044487F" w:rsidRPr="00780334">
        <w:rPr>
          <w:szCs w:val="22"/>
          <w:lang w:val="fr-FR"/>
        </w:rPr>
        <w:t>ST.27.</w:t>
      </w:r>
    </w:p>
    <w:p w14:paraId="596BF441" w14:textId="6F53E089" w:rsidR="00286340" w:rsidRPr="00780334" w:rsidRDefault="0044487F" w:rsidP="0044487F">
      <w:pPr>
        <w:numPr>
          <w:ilvl w:val="0"/>
          <w:numId w:val="5"/>
        </w:numPr>
        <w:tabs>
          <w:tab w:val="clear" w:pos="567"/>
        </w:tabs>
        <w:spacing w:after="220"/>
        <w:rPr>
          <w:szCs w:val="22"/>
          <w:lang w:val="fr-FR"/>
        </w:rPr>
      </w:pPr>
      <w:r w:rsidRPr="00780334">
        <w:rPr>
          <w:szCs w:val="22"/>
          <w:lang w:val="fr-FR"/>
        </w:rPr>
        <w:t>Le Bureau international, en concertation avec les membres de l</w:t>
      </w:r>
      <w:r w:rsidR="00562836">
        <w:rPr>
          <w:szCs w:val="22"/>
          <w:lang w:val="fr-FR"/>
        </w:rPr>
        <w:t>’</w:t>
      </w:r>
      <w:r w:rsidRPr="00780334">
        <w:rPr>
          <w:szCs w:val="22"/>
          <w:lang w:val="fr-FR"/>
        </w:rPr>
        <w:t>équipe d</w:t>
      </w:r>
      <w:r w:rsidR="00562836">
        <w:rPr>
          <w:szCs w:val="22"/>
          <w:lang w:val="fr-FR"/>
        </w:rPr>
        <w:t>’</w:t>
      </w:r>
      <w:r w:rsidRPr="00780334">
        <w:rPr>
          <w:szCs w:val="22"/>
          <w:lang w:val="fr-FR"/>
        </w:rPr>
        <w:t>experts, a proposé à cette dernière d</w:t>
      </w:r>
      <w:r w:rsidR="00562836">
        <w:rPr>
          <w:szCs w:val="22"/>
          <w:lang w:val="fr-FR"/>
        </w:rPr>
        <w:t>’</w:t>
      </w:r>
      <w:r w:rsidRPr="00780334">
        <w:rPr>
          <w:szCs w:val="22"/>
          <w:lang w:val="fr-FR"/>
        </w:rPr>
        <w:t>ajouter aux codes des événements figurant dans la norme</w:t>
      </w:r>
      <w:r w:rsidR="00C95F81">
        <w:rPr>
          <w:szCs w:val="22"/>
          <w:lang w:val="fr-FR"/>
        </w:rPr>
        <w:t> </w:t>
      </w:r>
      <w:r w:rsidRPr="00780334">
        <w:rPr>
          <w:szCs w:val="22"/>
          <w:lang w:val="fr-FR"/>
        </w:rPr>
        <w:t>ST.27</w:t>
      </w:r>
      <w:r w:rsidR="00E80D1A">
        <w:rPr>
          <w:szCs w:val="22"/>
          <w:lang w:val="fr-FR"/>
        </w:rPr>
        <w:t xml:space="preserve"> trois </w:t>
      </w:r>
      <w:r w:rsidRPr="00780334">
        <w:rPr>
          <w:szCs w:val="22"/>
          <w:lang w:val="fr-FR"/>
        </w:rPr>
        <w:t>caractères supplémentaires indiquant le type de procédure que l</w:t>
      </w:r>
      <w:r w:rsidR="00562836">
        <w:rPr>
          <w:szCs w:val="22"/>
          <w:lang w:val="fr-FR"/>
        </w:rPr>
        <w:t>’</w:t>
      </w:r>
      <w:r w:rsidRPr="00780334">
        <w:rPr>
          <w:szCs w:val="22"/>
          <w:lang w:val="fr-FR"/>
        </w:rPr>
        <w:t>événement comprend</w:t>
      </w:r>
      <w:r w:rsidR="00E80D1A">
        <w:rPr>
          <w:szCs w:val="22"/>
          <w:lang w:val="fr-FR"/>
        </w:rPr>
        <w:t xml:space="preserve">.  </w:t>
      </w:r>
      <w:r w:rsidRPr="00780334">
        <w:rPr>
          <w:szCs w:val="22"/>
          <w:lang w:val="fr-FR"/>
        </w:rPr>
        <w:t>Cette proposition visait à améliorer la norme</w:t>
      </w:r>
      <w:r w:rsidR="00C95F81">
        <w:rPr>
          <w:szCs w:val="22"/>
          <w:lang w:val="fr-FR"/>
        </w:rPr>
        <w:t> </w:t>
      </w:r>
      <w:r w:rsidRPr="00780334">
        <w:rPr>
          <w:szCs w:val="22"/>
          <w:lang w:val="fr-FR"/>
        </w:rPr>
        <w:t xml:space="preserve">ST.27 en fournissant des précisions sur certains liens entre les événements et </w:t>
      </w:r>
      <w:r w:rsidR="00EF3B54">
        <w:rPr>
          <w:szCs w:val="22"/>
          <w:lang w:val="fr-FR"/>
        </w:rPr>
        <w:t xml:space="preserve">en apportant </w:t>
      </w:r>
      <w:r w:rsidRPr="00780334">
        <w:rPr>
          <w:szCs w:val="22"/>
          <w:lang w:val="fr-FR"/>
        </w:rPr>
        <w:t>plusieurs autres avantages, indiqué</w:t>
      </w:r>
      <w:r w:rsidR="00EF3B54">
        <w:rPr>
          <w:szCs w:val="22"/>
          <w:lang w:val="fr-FR"/>
        </w:rPr>
        <w:t>s</w:t>
      </w:r>
      <w:r w:rsidRPr="00780334">
        <w:rPr>
          <w:szCs w:val="22"/>
          <w:lang w:val="fr-FR"/>
        </w:rPr>
        <w:t xml:space="preserve"> ci</w:t>
      </w:r>
      <w:r w:rsidR="00562836">
        <w:rPr>
          <w:szCs w:val="22"/>
          <w:lang w:val="fr-FR"/>
        </w:rPr>
        <w:t>-</w:t>
      </w:r>
      <w:r w:rsidRPr="00780334">
        <w:rPr>
          <w:szCs w:val="22"/>
          <w:lang w:val="fr-FR"/>
        </w:rPr>
        <w:t>après.</w:t>
      </w:r>
    </w:p>
    <w:p w14:paraId="45AE7441" w14:textId="0ECAFF61" w:rsidR="00286340" w:rsidRPr="00780334" w:rsidRDefault="00476D38" w:rsidP="00476D38">
      <w:pPr>
        <w:numPr>
          <w:ilvl w:val="0"/>
          <w:numId w:val="5"/>
        </w:numPr>
        <w:tabs>
          <w:tab w:val="clear" w:pos="567"/>
        </w:tabs>
        <w:spacing w:after="220"/>
        <w:rPr>
          <w:szCs w:val="22"/>
          <w:lang w:val="fr-FR"/>
        </w:rPr>
      </w:pPr>
      <w:r w:rsidRPr="00780334">
        <w:rPr>
          <w:szCs w:val="22"/>
          <w:lang w:val="fr-FR"/>
        </w:rPr>
        <w:t>La proposition contenait une liste de 15</w:t>
      </w:r>
      <w:r w:rsidR="00C95F81">
        <w:rPr>
          <w:szCs w:val="22"/>
          <w:lang w:val="fr-FR"/>
        </w:rPr>
        <w:t> </w:t>
      </w:r>
      <w:r w:rsidRPr="00780334">
        <w:rPr>
          <w:szCs w:val="22"/>
          <w:lang w:val="fr-FR"/>
        </w:rPr>
        <w:t xml:space="preserve">extensions pouvant couvrir </w:t>
      </w:r>
      <w:r w:rsidR="00EF3B54">
        <w:rPr>
          <w:szCs w:val="22"/>
          <w:lang w:val="fr-FR"/>
        </w:rPr>
        <w:t>l</w:t>
      </w:r>
      <w:r w:rsidR="00562836">
        <w:rPr>
          <w:szCs w:val="22"/>
          <w:lang w:val="fr-FR"/>
        </w:rPr>
        <w:t>’</w:t>
      </w:r>
      <w:r w:rsidR="00EF3B54">
        <w:rPr>
          <w:szCs w:val="22"/>
          <w:lang w:val="fr-FR"/>
        </w:rPr>
        <w:t>ensemble des</w:t>
      </w:r>
      <w:r w:rsidRPr="00780334">
        <w:rPr>
          <w:szCs w:val="22"/>
          <w:lang w:val="fr-FR"/>
        </w:rPr>
        <w:t xml:space="preserve"> 168</w:t>
      </w:r>
      <w:r w:rsidR="00C95F81">
        <w:rPr>
          <w:szCs w:val="22"/>
          <w:lang w:val="fr-FR"/>
        </w:rPr>
        <w:t> </w:t>
      </w:r>
      <w:r w:rsidRPr="00780334">
        <w:rPr>
          <w:szCs w:val="22"/>
          <w:lang w:val="fr-FR"/>
        </w:rPr>
        <w:t>événements figurant dans la norme</w:t>
      </w:r>
      <w:r w:rsidR="00C95F81">
        <w:rPr>
          <w:szCs w:val="22"/>
          <w:lang w:val="fr-FR"/>
        </w:rPr>
        <w:t> </w:t>
      </w:r>
      <w:r w:rsidRPr="00780334">
        <w:rPr>
          <w:szCs w:val="22"/>
          <w:lang w:val="fr-FR"/>
        </w:rPr>
        <w:t>ST.27</w:t>
      </w:r>
      <w:r w:rsidR="00E80D1A">
        <w:rPr>
          <w:szCs w:val="22"/>
          <w:lang w:val="fr-FR"/>
        </w:rPr>
        <w:t xml:space="preserve">;  </w:t>
      </w:r>
      <w:r w:rsidRPr="00780334">
        <w:rPr>
          <w:szCs w:val="22"/>
          <w:lang w:val="fr-FR"/>
        </w:rPr>
        <w:t xml:space="preserve">ces extensions, ainsi que leur </w:t>
      </w:r>
      <w:r w:rsidR="00EF3B54">
        <w:rPr>
          <w:szCs w:val="22"/>
          <w:lang w:val="fr-FR"/>
        </w:rPr>
        <w:t>description</w:t>
      </w:r>
      <w:r w:rsidRPr="00780334">
        <w:rPr>
          <w:szCs w:val="22"/>
          <w:lang w:val="fr-FR"/>
        </w:rPr>
        <w:t>, figurent à l</w:t>
      </w:r>
      <w:r w:rsidR="00562836">
        <w:rPr>
          <w:szCs w:val="22"/>
          <w:lang w:val="fr-FR"/>
        </w:rPr>
        <w:t>’</w:t>
      </w:r>
      <w:r w:rsidRPr="00780334">
        <w:rPr>
          <w:szCs w:val="22"/>
          <w:lang w:val="fr-FR"/>
        </w:rPr>
        <w:t>annexe</w:t>
      </w:r>
      <w:r w:rsidR="00C95F81">
        <w:rPr>
          <w:szCs w:val="22"/>
          <w:lang w:val="fr-FR"/>
        </w:rPr>
        <w:t> </w:t>
      </w:r>
      <w:r w:rsidRPr="00780334">
        <w:rPr>
          <w:szCs w:val="22"/>
          <w:lang w:val="fr-FR"/>
        </w:rPr>
        <w:t>II du présent document</w:t>
      </w:r>
      <w:r w:rsidR="008E2A98">
        <w:rPr>
          <w:szCs w:val="22"/>
          <w:lang w:val="fr-FR"/>
        </w:rPr>
        <w:t>,</w:t>
      </w:r>
      <w:r w:rsidRPr="00780334">
        <w:rPr>
          <w:szCs w:val="22"/>
          <w:lang w:val="fr-FR"/>
        </w:rPr>
        <w:t xml:space="preserve"> pour examen par</w:t>
      </w:r>
      <w:r w:rsidR="001B1667" w:rsidRPr="00780334">
        <w:rPr>
          <w:szCs w:val="22"/>
          <w:lang w:val="fr-FR"/>
        </w:rPr>
        <w:t xml:space="preserve"> le</w:t>
      </w:r>
      <w:r w:rsidR="001B1667">
        <w:rPr>
          <w:szCs w:val="22"/>
          <w:lang w:val="fr-FR"/>
        </w:rPr>
        <w:t> </w:t>
      </w:r>
      <w:r w:rsidR="001B1667" w:rsidRPr="00780334">
        <w:rPr>
          <w:szCs w:val="22"/>
          <w:lang w:val="fr-FR"/>
        </w:rPr>
        <w:t>CWS</w:t>
      </w:r>
      <w:r w:rsidRPr="00780334">
        <w:rPr>
          <w:szCs w:val="22"/>
          <w:lang w:val="fr-FR"/>
        </w:rPr>
        <w:t>.</w:t>
      </w:r>
    </w:p>
    <w:p w14:paraId="5C2BCDDC" w14:textId="4F996030" w:rsidR="00286340" w:rsidRPr="00780334" w:rsidRDefault="00476D38" w:rsidP="006541BC">
      <w:pPr>
        <w:keepNext/>
        <w:keepLines/>
        <w:numPr>
          <w:ilvl w:val="0"/>
          <w:numId w:val="5"/>
        </w:numPr>
        <w:tabs>
          <w:tab w:val="clear" w:pos="567"/>
        </w:tabs>
        <w:spacing w:after="120"/>
        <w:rPr>
          <w:szCs w:val="22"/>
          <w:lang w:val="fr-FR"/>
        </w:rPr>
      </w:pPr>
      <w:r w:rsidRPr="00780334">
        <w:rPr>
          <w:szCs w:val="22"/>
          <w:lang w:val="fr-FR"/>
        </w:rPr>
        <w:t>Exemples d</w:t>
      </w:r>
      <w:r w:rsidR="00562836">
        <w:rPr>
          <w:szCs w:val="22"/>
          <w:lang w:val="fr-FR"/>
        </w:rPr>
        <w:t>’</w:t>
      </w:r>
      <w:r w:rsidRPr="00780334">
        <w:rPr>
          <w:szCs w:val="22"/>
          <w:lang w:val="fr-FR"/>
        </w:rPr>
        <w:t>utilisation</w:t>
      </w:r>
      <w:r w:rsidR="00E80D1A">
        <w:rPr>
          <w:szCs w:val="22"/>
          <w:lang w:val="fr-FR"/>
        </w:rPr>
        <w:t> :</w:t>
      </w:r>
    </w:p>
    <w:p w14:paraId="72F045B6" w14:textId="510374AA" w:rsidR="00286340" w:rsidRPr="00780334" w:rsidRDefault="00476D38" w:rsidP="006541BC">
      <w:pPr>
        <w:pStyle w:val="ListParagraph"/>
        <w:keepNext/>
        <w:keepLines/>
        <w:numPr>
          <w:ilvl w:val="0"/>
          <w:numId w:val="11"/>
        </w:numPr>
        <w:rPr>
          <w:szCs w:val="22"/>
          <w:lang w:val="fr-FR"/>
        </w:rPr>
      </w:pPr>
      <w:r w:rsidRPr="00780334">
        <w:rPr>
          <w:szCs w:val="22"/>
          <w:lang w:val="fr-FR"/>
        </w:rPr>
        <w:t>le code</w:t>
      </w:r>
      <w:r w:rsidR="00C95F81">
        <w:rPr>
          <w:szCs w:val="22"/>
          <w:lang w:val="fr-FR"/>
        </w:rPr>
        <w:t> </w:t>
      </w:r>
      <w:r w:rsidRPr="00780334">
        <w:rPr>
          <w:szCs w:val="22"/>
          <w:lang w:val="fr-FR"/>
        </w:rPr>
        <w:t>A16 pourrait être remplacé par A16.fil</w:t>
      </w:r>
      <w:r w:rsidR="00F574FC">
        <w:rPr>
          <w:szCs w:val="22"/>
          <w:lang w:val="fr-FR"/>
        </w:rPr>
        <w:t>,</w:t>
      </w:r>
      <w:r w:rsidRPr="00780334">
        <w:rPr>
          <w:szCs w:val="22"/>
          <w:lang w:val="fr-FR"/>
        </w:rPr>
        <w:t xml:space="preserve"> car il concerne les demandes déposées</w:t>
      </w:r>
      <w:r w:rsidR="00F574FC">
        <w:rPr>
          <w:szCs w:val="22"/>
          <w:lang w:val="fr-FR"/>
        </w:rPr>
        <w:t>,</w:t>
      </w:r>
    </w:p>
    <w:p w14:paraId="0E570651" w14:textId="609BADA3" w:rsidR="00286340" w:rsidRPr="00780334" w:rsidRDefault="00476D38" w:rsidP="006541BC">
      <w:pPr>
        <w:pStyle w:val="ListParagraph"/>
        <w:keepNext/>
        <w:keepLines/>
        <w:numPr>
          <w:ilvl w:val="0"/>
          <w:numId w:val="11"/>
        </w:numPr>
        <w:rPr>
          <w:szCs w:val="22"/>
          <w:lang w:val="fr-FR"/>
        </w:rPr>
      </w:pPr>
      <w:r w:rsidRPr="00780334">
        <w:rPr>
          <w:szCs w:val="22"/>
          <w:lang w:val="fr-FR"/>
        </w:rPr>
        <w:t>le code</w:t>
      </w:r>
      <w:r w:rsidR="00C95F81">
        <w:rPr>
          <w:szCs w:val="22"/>
          <w:lang w:val="fr-FR"/>
        </w:rPr>
        <w:t> </w:t>
      </w:r>
      <w:r w:rsidRPr="00780334">
        <w:rPr>
          <w:szCs w:val="22"/>
          <w:lang w:val="fr-FR"/>
        </w:rPr>
        <w:t>A17 pourrait être remplacé par A17.rej</w:t>
      </w:r>
      <w:r w:rsidR="00F574FC">
        <w:rPr>
          <w:szCs w:val="22"/>
          <w:lang w:val="fr-FR"/>
        </w:rPr>
        <w:t>,</w:t>
      </w:r>
      <w:r w:rsidRPr="00780334">
        <w:rPr>
          <w:szCs w:val="22"/>
          <w:lang w:val="fr-FR"/>
        </w:rPr>
        <w:t xml:space="preserve"> car il concerne les demandes rejetées</w:t>
      </w:r>
      <w:r w:rsidR="00F574FC">
        <w:rPr>
          <w:szCs w:val="22"/>
          <w:lang w:val="fr-FR"/>
        </w:rPr>
        <w:t>,</w:t>
      </w:r>
    </w:p>
    <w:p w14:paraId="2050315B" w14:textId="5BAD2F8B" w:rsidR="00286340" w:rsidRPr="00780334" w:rsidRDefault="00476D38" w:rsidP="006541BC">
      <w:pPr>
        <w:pStyle w:val="ListParagraph"/>
        <w:keepNext/>
        <w:keepLines/>
        <w:numPr>
          <w:ilvl w:val="0"/>
          <w:numId w:val="11"/>
        </w:numPr>
        <w:spacing w:after="220"/>
        <w:ind w:left="778"/>
        <w:contextualSpacing w:val="0"/>
        <w:rPr>
          <w:szCs w:val="22"/>
          <w:lang w:val="fr-FR"/>
        </w:rPr>
      </w:pPr>
      <w:r w:rsidRPr="00780334">
        <w:rPr>
          <w:szCs w:val="22"/>
          <w:lang w:val="fr-FR"/>
        </w:rPr>
        <w:t>le code</w:t>
      </w:r>
      <w:r w:rsidR="00C95F81">
        <w:rPr>
          <w:szCs w:val="22"/>
          <w:lang w:val="fr-FR"/>
        </w:rPr>
        <w:t> </w:t>
      </w:r>
      <w:r w:rsidRPr="00780334">
        <w:rPr>
          <w:szCs w:val="22"/>
          <w:lang w:val="fr-FR"/>
        </w:rPr>
        <w:t>A18 pourrait être remplacé par A18.acc</w:t>
      </w:r>
      <w:r w:rsidR="00F574FC">
        <w:rPr>
          <w:szCs w:val="22"/>
          <w:lang w:val="fr-FR"/>
        </w:rPr>
        <w:t>,</w:t>
      </w:r>
      <w:r w:rsidRPr="00780334">
        <w:rPr>
          <w:szCs w:val="22"/>
          <w:lang w:val="fr-FR"/>
        </w:rPr>
        <w:t xml:space="preserve"> car il concerne les demandes acceptées</w:t>
      </w:r>
      <w:r w:rsidR="00F574FC">
        <w:rPr>
          <w:szCs w:val="22"/>
          <w:lang w:val="fr-FR"/>
        </w:rPr>
        <w:t>.</w:t>
      </w:r>
    </w:p>
    <w:p w14:paraId="0370F8B5" w14:textId="458D3D21" w:rsidR="00286340" w:rsidRPr="00780334" w:rsidRDefault="00476D38" w:rsidP="00476D38">
      <w:pPr>
        <w:numPr>
          <w:ilvl w:val="0"/>
          <w:numId w:val="5"/>
        </w:numPr>
        <w:tabs>
          <w:tab w:val="clear" w:pos="567"/>
        </w:tabs>
        <w:spacing w:before="120" w:after="120"/>
        <w:rPr>
          <w:szCs w:val="22"/>
          <w:lang w:val="fr-FR"/>
        </w:rPr>
      </w:pPr>
      <w:r w:rsidRPr="00780334">
        <w:rPr>
          <w:szCs w:val="22"/>
          <w:lang w:val="fr-FR"/>
        </w:rPr>
        <w:t xml:space="preserve">Ce système pourrait être développé plus avant, </w:t>
      </w:r>
      <w:r w:rsidR="00562836">
        <w:rPr>
          <w:szCs w:val="22"/>
          <w:lang w:val="fr-FR"/>
        </w:rPr>
        <w:t>à savoir</w:t>
      </w:r>
      <w:r w:rsidRPr="00780334">
        <w:rPr>
          <w:szCs w:val="22"/>
          <w:lang w:val="fr-FR"/>
        </w:rPr>
        <w:t xml:space="preserve"> que les codes d</w:t>
      </w:r>
      <w:r w:rsidR="00562836">
        <w:rPr>
          <w:szCs w:val="22"/>
          <w:lang w:val="fr-FR"/>
        </w:rPr>
        <w:t>’</w:t>
      </w:r>
      <w:r w:rsidRPr="00780334">
        <w:rPr>
          <w:szCs w:val="22"/>
          <w:lang w:val="fr-FR"/>
        </w:rPr>
        <w:t>évén</w:t>
      </w:r>
      <w:r w:rsidR="00B90537">
        <w:rPr>
          <w:szCs w:val="22"/>
          <w:lang w:val="fr-FR"/>
        </w:rPr>
        <w:t xml:space="preserve">ements connexes pourraient utiliser le </w:t>
      </w:r>
      <w:r w:rsidRPr="00780334">
        <w:rPr>
          <w:szCs w:val="22"/>
          <w:lang w:val="fr-FR"/>
        </w:rPr>
        <w:t>même numéro, mais se distinguer par leur extension</w:t>
      </w:r>
      <w:r w:rsidR="00E80D1A">
        <w:rPr>
          <w:szCs w:val="22"/>
          <w:lang w:val="fr-FR"/>
        </w:rPr>
        <w:t xml:space="preserve">.  </w:t>
      </w:r>
      <w:r w:rsidR="00B90537">
        <w:rPr>
          <w:szCs w:val="22"/>
          <w:lang w:val="fr-FR"/>
        </w:rPr>
        <w:t>Si l</w:t>
      </w:r>
      <w:r w:rsidR="00562836">
        <w:rPr>
          <w:szCs w:val="22"/>
          <w:lang w:val="fr-FR"/>
        </w:rPr>
        <w:t>’</w:t>
      </w:r>
      <w:r w:rsidR="00B90537">
        <w:rPr>
          <w:szCs w:val="22"/>
          <w:lang w:val="fr-FR"/>
        </w:rPr>
        <w:t>on reprend</w:t>
      </w:r>
      <w:r w:rsidRPr="00780334">
        <w:rPr>
          <w:szCs w:val="22"/>
          <w:lang w:val="fr-FR"/>
        </w:rPr>
        <w:t xml:space="preserve"> l</w:t>
      </w:r>
      <w:r w:rsidR="00562836">
        <w:rPr>
          <w:szCs w:val="22"/>
          <w:lang w:val="fr-FR"/>
        </w:rPr>
        <w:t>’</w:t>
      </w:r>
      <w:r w:rsidRPr="00780334">
        <w:rPr>
          <w:szCs w:val="22"/>
          <w:lang w:val="fr-FR"/>
        </w:rPr>
        <w:t>exemple ci</w:t>
      </w:r>
      <w:r w:rsidR="00562836">
        <w:rPr>
          <w:szCs w:val="22"/>
          <w:lang w:val="fr-FR"/>
        </w:rPr>
        <w:t>-</w:t>
      </w:r>
      <w:r w:rsidRPr="00780334">
        <w:rPr>
          <w:szCs w:val="22"/>
          <w:lang w:val="fr-FR"/>
        </w:rPr>
        <w:t>dessus</w:t>
      </w:r>
      <w:r w:rsidR="00E80D1A">
        <w:rPr>
          <w:szCs w:val="22"/>
          <w:lang w:val="fr-FR"/>
        </w:rPr>
        <w:t> :</w:t>
      </w:r>
    </w:p>
    <w:p w14:paraId="02E0FCAC" w14:textId="5DA0345F" w:rsidR="00286340" w:rsidRPr="00780334" w:rsidRDefault="00476D38" w:rsidP="00476D38">
      <w:pPr>
        <w:pStyle w:val="ListParagraph"/>
        <w:numPr>
          <w:ilvl w:val="0"/>
          <w:numId w:val="11"/>
        </w:numPr>
        <w:rPr>
          <w:szCs w:val="22"/>
          <w:lang w:val="fr-FR"/>
        </w:rPr>
      </w:pPr>
      <w:r w:rsidRPr="00780334">
        <w:rPr>
          <w:szCs w:val="22"/>
          <w:lang w:val="fr-FR"/>
        </w:rPr>
        <w:t>le code</w:t>
      </w:r>
      <w:r w:rsidR="00C95F81">
        <w:rPr>
          <w:szCs w:val="22"/>
          <w:lang w:val="fr-FR"/>
        </w:rPr>
        <w:t> </w:t>
      </w:r>
      <w:r w:rsidRPr="00780334">
        <w:rPr>
          <w:szCs w:val="22"/>
          <w:lang w:val="fr-FR"/>
        </w:rPr>
        <w:t xml:space="preserve">A16 deviendrait A16.fil, car il concerne </w:t>
      </w:r>
      <w:r w:rsidR="00F574FC" w:rsidRPr="00780334">
        <w:rPr>
          <w:szCs w:val="22"/>
          <w:lang w:val="fr-FR"/>
        </w:rPr>
        <w:t>les demandes déposées</w:t>
      </w:r>
      <w:r w:rsidR="00F574FC">
        <w:rPr>
          <w:szCs w:val="22"/>
          <w:lang w:val="fr-FR"/>
        </w:rPr>
        <w:t>,</w:t>
      </w:r>
    </w:p>
    <w:p w14:paraId="0F381B85" w14:textId="41882266" w:rsidR="00286340" w:rsidRPr="00780334" w:rsidRDefault="00476D38" w:rsidP="00476D38">
      <w:pPr>
        <w:pStyle w:val="ListParagraph"/>
        <w:numPr>
          <w:ilvl w:val="0"/>
          <w:numId w:val="11"/>
        </w:numPr>
        <w:rPr>
          <w:szCs w:val="22"/>
          <w:lang w:val="fr-FR"/>
        </w:rPr>
      </w:pPr>
      <w:r w:rsidRPr="00780334">
        <w:rPr>
          <w:szCs w:val="22"/>
          <w:lang w:val="fr-FR"/>
        </w:rPr>
        <w:t>le code</w:t>
      </w:r>
      <w:r w:rsidR="00C95F81">
        <w:rPr>
          <w:szCs w:val="22"/>
          <w:lang w:val="fr-FR"/>
        </w:rPr>
        <w:t> </w:t>
      </w:r>
      <w:r w:rsidRPr="00780334">
        <w:rPr>
          <w:szCs w:val="22"/>
          <w:lang w:val="fr-FR"/>
        </w:rPr>
        <w:t>A17 deviendrait A16.rej, car il concerne les demandes déposées en vertu du code</w:t>
      </w:r>
      <w:r w:rsidR="00C95F81">
        <w:rPr>
          <w:szCs w:val="22"/>
          <w:lang w:val="fr-FR"/>
        </w:rPr>
        <w:t> </w:t>
      </w:r>
      <w:r w:rsidRPr="00780334">
        <w:rPr>
          <w:szCs w:val="22"/>
          <w:lang w:val="fr-FR"/>
        </w:rPr>
        <w:t>A16 qui ont été rejetées</w:t>
      </w:r>
      <w:r w:rsidR="00F574FC">
        <w:rPr>
          <w:szCs w:val="22"/>
          <w:lang w:val="fr-FR"/>
        </w:rPr>
        <w:t>,</w:t>
      </w:r>
    </w:p>
    <w:p w14:paraId="50EA9CD3" w14:textId="0D9A9EA3" w:rsidR="00286340" w:rsidRPr="00780334" w:rsidRDefault="00C8647E" w:rsidP="00C8647E">
      <w:pPr>
        <w:pStyle w:val="ListParagraph"/>
        <w:numPr>
          <w:ilvl w:val="0"/>
          <w:numId w:val="11"/>
        </w:numPr>
        <w:spacing w:after="220"/>
        <w:ind w:left="778"/>
        <w:contextualSpacing w:val="0"/>
        <w:rPr>
          <w:szCs w:val="22"/>
          <w:lang w:val="fr-FR"/>
        </w:rPr>
      </w:pPr>
      <w:r w:rsidRPr="00780334">
        <w:rPr>
          <w:szCs w:val="22"/>
          <w:lang w:val="fr-FR"/>
        </w:rPr>
        <w:t>le code</w:t>
      </w:r>
      <w:r w:rsidR="00C95F81">
        <w:rPr>
          <w:szCs w:val="22"/>
          <w:lang w:val="fr-FR"/>
        </w:rPr>
        <w:t> </w:t>
      </w:r>
      <w:r w:rsidRPr="00780334">
        <w:rPr>
          <w:szCs w:val="22"/>
          <w:lang w:val="fr-FR"/>
        </w:rPr>
        <w:t>A18 deviendrait A16.acc, car il concerne les demandes déposées en vertu du code</w:t>
      </w:r>
      <w:r w:rsidR="00C95F81">
        <w:rPr>
          <w:szCs w:val="22"/>
          <w:lang w:val="fr-FR"/>
        </w:rPr>
        <w:t> </w:t>
      </w:r>
      <w:r w:rsidRPr="00780334">
        <w:rPr>
          <w:szCs w:val="22"/>
          <w:lang w:val="fr-FR"/>
        </w:rPr>
        <w:t>A16 qui ont été acceptées</w:t>
      </w:r>
      <w:r w:rsidR="00F574FC">
        <w:rPr>
          <w:szCs w:val="22"/>
          <w:lang w:val="fr-FR"/>
        </w:rPr>
        <w:t>.</w:t>
      </w:r>
    </w:p>
    <w:p w14:paraId="355B08BD" w14:textId="7AC44E66" w:rsidR="00286340" w:rsidRPr="00780334" w:rsidRDefault="00A05D16" w:rsidP="00A6556A">
      <w:pPr>
        <w:numPr>
          <w:ilvl w:val="0"/>
          <w:numId w:val="5"/>
        </w:numPr>
        <w:tabs>
          <w:tab w:val="clear" w:pos="567"/>
        </w:tabs>
        <w:spacing w:after="220"/>
        <w:rPr>
          <w:szCs w:val="22"/>
          <w:lang w:val="fr-FR"/>
        </w:rPr>
      </w:pPr>
      <w:r>
        <w:rPr>
          <w:szCs w:val="22"/>
          <w:lang w:val="fr-FR"/>
        </w:rPr>
        <w:t>Cette solution offre</w:t>
      </w:r>
      <w:r w:rsidR="00C8647E" w:rsidRPr="00780334">
        <w:rPr>
          <w:szCs w:val="22"/>
          <w:lang w:val="fr-FR"/>
        </w:rPr>
        <w:t xml:space="preserve"> un certain nombre d</w:t>
      </w:r>
      <w:r w:rsidR="00562836">
        <w:rPr>
          <w:szCs w:val="22"/>
          <w:lang w:val="fr-FR"/>
        </w:rPr>
        <w:t>’</w:t>
      </w:r>
      <w:r w:rsidR="00C8647E" w:rsidRPr="00780334">
        <w:rPr>
          <w:szCs w:val="22"/>
          <w:lang w:val="fr-FR"/>
        </w:rPr>
        <w:t>avantages</w:t>
      </w:r>
      <w:r w:rsidR="00E80D1A">
        <w:rPr>
          <w:szCs w:val="22"/>
          <w:lang w:val="fr-FR"/>
        </w:rPr>
        <w:t xml:space="preserve">.  </w:t>
      </w:r>
      <w:r w:rsidR="00C8647E" w:rsidRPr="00780334">
        <w:rPr>
          <w:szCs w:val="22"/>
          <w:lang w:val="fr-FR"/>
        </w:rPr>
        <w:t xml:space="preserve">Elle permet </w:t>
      </w:r>
      <w:r>
        <w:rPr>
          <w:szCs w:val="22"/>
          <w:lang w:val="fr-FR"/>
        </w:rPr>
        <w:t>d</w:t>
      </w:r>
      <w:r w:rsidR="00562836">
        <w:rPr>
          <w:szCs w:val="22"/>
          <w:lang w:val="fr-FR"/>
        </w:rPr>
        <w:t>’</w:t>
      </w:r>
      <w:r>
        <w:rPr>
          <w:szCs w:val="22"/>
          <w:lang w:val="fr-FR"/>
        </w:rPr>
        <w:t>apporter des précisions sur</w:t>
      </w:r>
      <w:r w:rsidR="00C8647E" w:rsidRPr="00780334">
        <w:rPr>
          <w:szCs w:val="22"/>
          <w:lang w:val="fr-FR"/>
        </w:rPr>
        <w:t xml:space="preserve"> les relations entre les événements</w:t>
      </w:r>
      <w:r w:rsidR="00E80D1A">
        <w:rPr>
          <w:szCs w:val="22"/>
          <w:lang w:val="fr-FR"/>
        </w:rPr>
        <w:t xml:space="preserve">.  </w:t>
      </w:r>
      <w:r w:rsidR="00C8647E" w:rsidRPr="00780334">
        <w:rPr>
          <w:szCs w:val="22"/>
          <w:lang w:val="fr-FR"/>
        </w:rPr>
        <w:t>Elle permet d</w:t>
      </w:r>
      <w:r w:rsidR="00562836">
        <w:rPr>
          <w:szCs w:val="22"/>
          <w:lang w:val="fr-FR"/>
        </w:rPr>
        <w:t>’</w:t>
      </w:r>
      <w:r w:rsidR="00C8647E" w:rsidRPr="00780334">
        <w:rPr>
          <w:szCs w:val="22"/>
          <w:lang w:val="fr-FR"/>
        </w:rPr>
        <w:t>organiser le système de codage et de faciliter ainsi l</w:t>
      </w:r>
      <w:r w:rsidR="00562836">
        <w:rPr>
          <w:szCs w:val="22"/>
          <w:lang w:val="fr-FR"/>
        </w:rPr>
        <w:t>’</w:t>
      </w:r>
      <w:r w:rsidR="00C8647E" w:rsidRPr="00780334">
        <w:rPr>
          <w:szCs w:val="22"/>
          <w:lang w:val="fr-FR"/>
        </w:rPr>
        <w:t xml:space="preserve">utilisation et la mise en </w:t>
      </w:r>
      <w:r w:rsidR="00F574FC" w:rsidRPr="00780334">
        <w:rPr>
          <w:szCs w:val="22"/>
          <w:lang w:val="fr-FR"/>
        </w:rPr>
        <w:t>œuvre</w:t>
      </w:r>
      <w:r w:rsidR="00C8647E" w:rsidRPr="00780334">
        <w:rPr>
          <w:szCs w:val="22"/>
          <w:lang w:val="fr-FR"/>
        </w:rPr>
        <w:t xml:space="preserve"> de la norme</w:t>
      </w:r>
      <w:r w:rsidR="00C95F81">
        <w:rPr>
          <w:szCs w:val="22"/>
          <w:lang w:val="fr-FR"/>
        </w:rPr>
        <w:t> </w:t>
      </w:r>
      <w:r w:rsidR="00C8647E" w:rsidRPr="00780334">
        <w:rPr>
          <w:szCs w:val="22"/>
          <w:lang w:val="fr-FR"/>
        </w:rPr>
        <w:t>ST.27</w:t>
      </w:r>
      <w:r w:rsidR="00E80D1A">
        <w:rPr>
          <w:szCs w:val="22"/>
          <w:lang w:val="fr-FR"/>
        </w:rPr>
        <w:t xml:space="preserve">.  </w:t>
      </w:r>
      <w:r w:rsidR="00A6556A" w:rsidRPr="00780334">
        <w:rPr>
          <w:szCs w:val="22"/>
          <w:lang w:val="fr-FR"/>
        </w:rPr>
        <w:t>Elle offre une certaine flexibilité en ce qu</w:t>
      </w:r>
      <w:r w:rsidR="00562836">
        <w:rPr>
          <w:szCs w:val="22"/>
          <w:lang w:val="fr-FR"/>
        </w:rPr>
        <w:t>’</w:t>
      </w:r>
      <w:r w:rsidR="00A6556A" w:rsidRPr="00780334">
        <w:rPr>
          <w:szCs w:val="22"/>
          <w:lang w:val="fr-FR"/>
        </w:rPr>
        <w:t>elle permettra d</w:t>
      </w:r>
      <w:r w:rsidR="00562836">
        <w:rPr>
          <w:szCs w:val="22"/>
          <w:lang w:val="fr-FR"/>
        </w:rPr>
        <w:t>’</w:t>
      </w:r>
      <w:r w:rsidR="00A6556A" w:rsidRPr="00780334">
        <w:rPr>
          <w:szCs w:val="22"/>
          <w:lang w:val="fr-FR"/>
        </w:rPr>
        <w:t>ajouter des événements manquants selon que de besoin</w:t>
      </w:r>
      <w:r w:rsidR="00E80D1A">
        <w:rPr>
          <w:szCs w:val="22"/>
          <w:lang w:val="fr-FR"/>
        </w:rPr>
        <w:t> :</w:t>
      </w:r>
      <w:r w:rsidR="00A6556A" w:rsidRPr="00780334">
        <w:rPr>
          <w:szCs w:val="22"/>
          <w:lang w:val="fr-FR"/>
        </w:rPr>
        <w:t xml:space="preserve"> si le nouvel événement est lié à un événement figurant dans la norme</w:t>
      </w:r>
      <w:r w:rsidR="00C95F81">
        <w:rPr>
          <w:szCs w:val="22"/>
          <w:lang w:val="fr-FR"/>
        </w:rPr>
        <w:t> </w:t>
      </w:r>
      <w:r w:rsidR="00A6556A" w:rsidRPr="00780334">
        <w:rPr>
          <w:szCs w:val="22"/>
          <w:lang w:val="fr-FR"/>
        </w:rPr>
        <w:t>ST.27, le code numérique de l</w:t>
      </w:r>
      <w:r w:rsidR="00562836">
        <w:rPr>
          <w:szCs w:val="22"/>
          <w:lang w:val="fr-FR"/>
        </w:rPr>
        <w:t>’</w:t>
      </w:r>
      <w:r w:rsidR="00A6556A" w:rsidRPr="00780334">
        <w:rPr>
          <w:szCs w:val="22"/>
          <w:lang w:val="fr-FR"/>
        </w:rPr>
        <w:t>événement correspondant pourra être réutilisé avec une extension différente.</w:t>
      </w:r>
    </w:p>
    <w:p w14:paraId="275A4009" w14:textId="6503AF96" w:rsidR="00286340" w:rsidRPr="00780334" w:rsidRDefault="00A6556A" w:rsidP="0005398C">
      <w:pPr>
        <w:numPr>
          <w:ilvl w:val="0"/>
          <w:numId w:val="5"/>
        </w:numPr>
        <w:tabs>
          <w:tab w:val="clear" w:pos="567"/>
        </w:tabs>
        <w:spacing w:before="120" w:after="220"/>
        <w:rPr>
          <w:szCs w:val="22"/>
          <w:lang w:val="fr-FR"/>
        </w:rPr>
      </w:pPr>
      <w:r w:rsidRPr="00780334">
        <w:rPr>
          <w:szCs w:val="22"/>
          <w:lang w:val="fr-FR"/>
        </w:rPr>
        <w:t xml:space="preserve">Ce système permet également aux offices de propriété industrielle de mieux tenir compte des événements nationaux qui ne sont pas actuellement mis en </w:t>
      </w:r>
      <w:r w:rsidR="00F574FC" w:rsidRPr="00780334">
        <w:rPr>
          <w:szCs w:val="22"/>
          <w:lang w:val="fr-FR"/>
        </w:rPr>
        <w:t>œuvre</w:t>
      </w:r>
      <w:r w:rsidRPr="00780334">
        <w:rPr>
          <w:szCs w:val="22"/>
          <w:lang w:val="fr-FR"/>
        </w:rPr>
        <w:t xml:space="preserve"> dans le cadre de la norme</w:t>
      </w:r>
      <w:r w:rsidR="00C95F81">
        <w:rPr>
          <w:szCs w:val="22"/>
          <w:lang w:val="fr-FR"/>
        </w:rPr>
        <w:t> </w:t>
      </w:r>
      <w:r w:rsidRPr="00780334">
        <w:rPr>
          <w:szCs w:val="22"/>
          <w:lang w:val="fr-FR"/>
        </w:rPr>
        <w:t>ST.27</w:t>
      </w:r>
      <w:r w:rsidR="00E80D1A">
        <w:rPr>
          <w:szCs w:val="22"/>
          <w:lang w:val="fr-FR"/>
        </w:rPr>
        <w:t xml:space="preserve">.  </w:t>
      </w:r>
      <w:r w:rsidRPr="00780334">
        <w:rPr>
          <w:szCs w:val="22"/>
          <w:lang w:val="fr-FR"/>
        </w:rPr>
        <w:t>Les événements pour lesquels on ne trouve aucune précision dans la norme</w:t>
      </w:r>
      <w:r w:rsidR="00C95F81">
        <w:rPr>
          <w:szCs w:val="22"/>
          <w:lang w:val="fr-FR"/>
        </w:rPr>
        <w:t> </w:t>
      </w:r>
      <w:r w:rsidRPr="00780334">
        <w:rPr>
          <w:szCs w:val="22"/>
          <w:lang w:val="fr-FR"/>
        </w:rPr>
        <w:t>ST.27, tels que l</w:t>
      </w:r>
      <w:r w:rsidR="00562836">
        <w:rPr>
          <w:szCs w:val="22"/>
          <w:lang w:val="fr-FR"/>
        </w:rPr>
        <w:t>’</w:t>
      </w:r>
      <w:r w:rsidRPr="00780334">
        <w:rPr>
          <w:szCs w:val="22"/>
          <w:lang w:val="fr-FR"/>
        </w:rPr>
        <w:t>événement</w:t>
      </w:r>
      <w:r w:rsidR="00C95F81">
        <w:rPr>
          <w:szCs w:val="22"/>
          <w:lang w:val="fr-FR"/>
        </w:rPr>
        <w:t> </w:t>
      </w:r>
      <w:r w:rsidRPr="00780334">
        <w:rPr>
          <w:szCs w:val="22"/>
          <w:lang w:val="fr-FR"/>
        </w:rPr>
        <w:t>D00, peuvent être assortis d</w:t>
      </w:r>
      <w:r w:rsidR="00562836">
        <w:rPr>
          <w:szCs w:val="22"/>
          <w:lang w:val="fr-FR"/>
        </w:rPr>
        <w:t>’</w:t>
      </w:r>
      <w:r w:rsidRPr="00780334">
        <w:rPr>
          <w:szCs w:val="22"/>
          <w:lang w:val="fr-FR"/>
        </w:rPr>
        <w:t xml:space="preserve">une extension appropriée pour indiquer plus </w:t>
      </w:r>
      <w:r w:rsidR="00A05D16">
        <w:rPr>
          <w:szCs w:val="22"/>
          <w:lang w:val="fr-FR"/>
        </w:rPr>
        <w:t>précisément</w:t>
      </w:r>
      <w:r w:rsidRPr="00780334">
        <w:rPr>
          <w:szCs w:val="22"/>
          <w:lang w:val="fr-FR"/>
        </w:rPr>
        <w:t xml:space="preserve"> la nature de l</w:t>
      </w:r>
      <w:r w:rsidR="00562836">
        <w:rPr>
          <w:szCs w:val="22"/>
          <w:lang w:val="fr-FR"/>
        </w:rPr>
        <w:t>’</w:t>
      </w:r>
      <w:r w:rsidRPr="00780334">
        <w:rPr>
          <w:szCs w:val="22"/>
          <w:lang w:val="fr-FR"/>
        </w:rPr>
        <w:t>événement national</w:t>
      </w:r>
      <w:r w:rsidR="00E80D1A">
        <w:rPr>
          <w:szCs w:val="22"/>
          <w:lang w:val="fr-FR"/>
        </w:rPr>
        <w:t xml:space="preserve">.  </w:t>
      </w:r>
      <w:r w:rsidR="0005398C" w:rsidRPr="00780334">
        <w:rPr>
          <w:szCs w:val="22"/>
          <w:lang w:val="fr-FR"/>
        </w:rPr>
        <w:t xml:space="preserve">Les offices pourront </w:t>
      </w:r>
      <w:r w:rsidR="00A05D16">
        <w:rPr>
          <w:szCs w:val="22"/>
          <w:lang w:val="fr-FR"/>
        </w:rPr>
        <w:t>tester</w:t>
      </w:r>
      <w:r w:rsidR="0005398C" w:rsidRPr="00780334">
        <w:rPr>
          <w:szCs w:val="22"/>
          <w:lang w:val="fr-FR"/>
        </w:rPr>
        <w:t xml:space="preserve"> ces événements</w:t>
      </w:r>
      <w:r w:rsidR="00A05D16">
        <w:rPr>
          <w:szCs w:val="22"/>
          <w:lang w:val="fr-FR"/>
        </w:rPr>
        <w:t xml:space="preserve"> en fonction de</w:t>
      </w:r>
      <w:r w:rsidR="0005398C" w:rsidRPr="00780334">
        <w:rPr>
          <w:szCs w:val="22"/>
          <w:lang w:val="fr-FR"/>
        </w:rPr>
        <w:t xml:space="preserve"> </w:t>
      </w:r>
      <w:r w:rsidR="00A05D16">
        <w:rPr>
          <w:szCs w:val="22"/>
          <w:lang w:val="fr-FR"/>
        </w:rPr>
        <w:t>leurs</w:t>
      </w:r>
      <w:r w:rsidR="0005398C" w:rsidRPr="00780334">
        <w:rPr>
          <w:szCs w:val="22"/>
          <w:lang w:val="fr-FR"/>
        </w:rPr>
        <w:t xml:space="preserve"> besoins et les données </w:t>
      </w:r>
      <w:r w:rsidR="00F574FC" w:rsidRPr="00780334">
        <w:rPr>
          <w:szCs w:val="22"/>
          <w:lang w:val="fr-FR"/>
        </w:rPr>
        <w:t>concernant l</w:t>
      </w:r>
      <w:r w:rsidR="00562836">
        <w:rPr>
          <w:szCs w:val="22"/>
          <w:lang w:val="fr-FR"/>
        </w:rPr>
        <w:t>’</w:t>
      </w:r>
      <w:r w:rsidR="00F574FC" w:rsidRPr="00780334">
        <w:rPr>
          <w:szCs w:val="22"/>
          <w:lang w:val="fr-FR"/>
        </w:rPr>
        <w:t>utilisation</w:t>
      </w:r>
      <w:r w:rsidR="0005398C" w:rsidRPr="00780334">
        <w:rPr>
          <w:szCs w:val="22"/>
          <w:lang w:val="fr-FR"/>
        </w:rPr>
        <w:t xml:space="preserve"> de ces événements pourront être recueillies et examinées en vue de leur inclusion dans les futures versions de la norme</w:t>
      </w:r>
      <w:r w:rsidR="00C95F81">
        <w:rPr>
          <w:szCs w:val="22"/>
          <w:lang w:val="fr-FR"/>
        </w:rPr>
        <w:t> </w:t>
      </w:r>
      <w:r w:rsidR="0005398C" w:rsidRPr="00780334">
        <w:rPr>
          <w:szCs w:val="22"/>
          <w:lang w:val="fr-FR"/>
        </w:rPr>
        <w:t>ST.27.</w:t>
      </w:r>
    </w:p>
    <w:p w14:paraId="4F52B417" w14:textId="7A94C6B1" w:rsidR="00286340" w:rsidRPr="00780334" w:rsidRDefault="00A05D16" w:rsidP="008A51AA">
      <w:pPr>
        <w:numPr>
          <w:ilvl w:val="0"/>
          <w:numId w:val="5"/>
        </w:numPr>
        <w:tabs>
          <w:tab w:val="clear" w:pos="567"/>
        </w:tabs>
        <w:spacing w:before="120" w:after="220"/>
        <w:rPr>
          <w:szCs w:val="22"/>
          <w:lang w:val="fr-FR"/>
        </w:rPr>
      </w:pPr>
      <w:r>
        <w:rPr>
          <w:szCs w:val="22"/>
          <w:lang w:val="fr-FR"/>
        </w:rPr>
        <w:t>Cette</w:t>
      </w:r>
      <w:r w:rsidR="003965DA" w:rsidRPr="00780334">
        <w:rPr>
          <w:szCs w:val="22"/>
          <w:lang w:val="fr-FR"/>
        </w:rPr>
        <w:t xml:space="preserve"> proposition présente cependant un certain nombre d</w:t>
      </w:r>
      <w:r w:rsidR="00562836">
        <w:rPr>
          <w:szCs w:val="22"/>
          <w:lang w:val="fr-FR"/>
        </w:rPr>
        <w:t>’</w:t>
      </w:r>
      <w:r w:rsidR="003965DA" w:rsidRPr="00780334">
        <w:rPr>
          <w:szCs w:val="22"/>
          <w:lang w:val="fr-FR"/>
        </w:rPr>
        <w:t>inconvénients potentiels</w:t>
      </w:r>
      <w:r w:rsidR="00E80D1A">
        <w:rPr>
          <w:szCs w:val="22"/>
          <w:lang w:val="fr-FR"/>
        </w:rPr>
        <w:t xml:space="preserve">.  </w:t>
      </w:r>
      <w:r w:rsidR="003965DA" w:rsidRPr="00780334">
        <w:rPr>
          <w:szCs w:val="22"/>
          <w:lang w:val="fr-FR"/>
        </w:rPr>
        <w:t>Certains offices préfèrent les codes d</w:t>
      </w:r>
      <w:r w:rsidR="00562836">
        <w:rPr>
          <w:szCs w:val="22"/>
          <w:lang w:val="fr-FR"/>
        </w:rPr>
        <w:t>’</w:t>
      </w:r>
      <w:r w:rsidR="003965DA" w:rsidRPr="00780334">
        <w:rPr>
          <w:szCs w:val="22"/>
          <w:lang w:val="fr-FR"/>
        </w:rPr>
        <w:t>événement existants du fait qu</w:t>
      </w:r>
      <w:r w:rsidR="00562836">
        <w:rPr>
          <w:szCs w:val="22"/>
          <w:lang w:val="fr-FR"/>
        </w:rPr>
        <w:t>’</w:t>
      </w:r>
      <w:r w:rsidR="003965DA" w:rsidRPr="00780334">
        <w:rPr>
          <w:szCs w:val="22"/>
          <w:lang w:val="fr-FR"/>
        </w:rPr>
        <w:t xml:space="preserve">ils sont plus courts </w:t>
      </w:r>
      <w:r>
        <w:rPr>
          <w:szCs w:val="22"/>
          <w:lang w:val="fr-FR"/>
        </w:rPr>
        <w:t>ou</w:t>
      </w:r>
      <w:r w:rsidR="003965DA" w:rsidRPr="00780334">
        <w:rPr>
          <w:szCs w:val="22"/>
          <w:lang w:val="fr-FR"/>
        </w:rPr>
        <w:t xml:space="preserve"> plus simples</w:t>
      </w:r>
      <w:r w:rsidR="00E80D1A">
        <w:rPr>
          <w:szCs w:val="22"/>
          <w:lang w:val="fr-FR"/>
        </w:rPr>
        <w:t xml:space="preserve">.  </w:t>
      </w:r>
      <w:r w:rsidR="003965DA" w:rsidRPr="00780334">
        <w:rPr>
          <w:szCs w:val="22"/>
          <w:lang w:val="fr-FR"/>
        </w:rPr>
        <w:t>D</w:t>
      </w:r>
      <w:r w:rsidR="00562836">
        <w:rPr>
          <w:szCs w:val="22"/>
          <w:lang w:val="fr-FR"/>
        </w:rPr>
        <w:t>’</w:t>
      </w:r>
      <w:r w:rsidR="003965DA" w:rsidRPr="00780334">
        <w:rPr>
          <w:szCs w:val="22"/>
          <w:lang w:val="fr-FR"/>
        </w:rPr>
        <w:t xml:space="preserve">autres souhaitent maintenir le système actuel afin de préserver leurs investissements et plans de mise en </w:t>
      </w:r>
      <w:r w:rsidR="00F574FC" w:rsidRPr="00780334">
        <w:rPr>
          <w:szCs w:val="22"/>
          <w:lang w:val="fr-FR"/>
        </w:rPr>
        <w:t>œuvre</w:t>
      </w:r>
      <w:r w:rsidR="00E80D1A">
        <w:rPr>
          <w:szCs w:val="22"/>
          <w:lang w:val="fr-FR"/>
        </w:rPr>
        <w:t xml:space="preserve">.  </w:t>
      </w:r>
      <w:r w:rsidR="008A51AA" w:rsidRPr="00780334">
        <w:rPr>
          <w:szCs w:val="22"/>
          <w:lang w:val="fr-FR"/>
        </w:rPr>
        <w:t>D</w:t>
      </w:r>
      <w:r w:rsidR="00562836">
        <w:rPr>
          <w:szCs w:val="22"/>
          <w:lang w:val="fr-FR"/>
        </w:rPr>
        <w:t>’</w:t>
      </w:r>
      <w:r w:rsidR="008A51AA" w:rsidRPr="00780334">
        <w:rPr>
          <w:szCs w:val="22"/>
          <w:lang w:val="fr-FR"/>
        </w:rPr>
        <w:t>autres offices encore ne sont pas persuadés que les avantages potentiels l</w:t>
      </w:r>
      <w:r w:rsidR="00562836">
        <w:rPr>
          <w:szCs w:val="22"/>
          <w:lang w:val="fr-FR"/>
        </w:rPr>
        <w:t>’</w:t>
      </w:r>
      <w:r w:rsidR="008A51AA" w:rsidRPr="00780334">
        <w:rPr>
          <w:szCs w:val="22"/>
          <w:lang w:val="fr-FR"/>
        </w:rPr>
        <w:t>emportent sur la complexité accrue des informations supplémentaires</w:t>
      </w:r>
      <w:r w:rsidR="00E80D1A">
        <w:rPr>
          <w:szCs w:val="22"/>
          <w:lang w:val="fr-FR"/>
        </w:rPr>
        <w:t xml:space="preserve">.  </w:t>
      </w:r>
      <w:r w:rsidR="008A51AA" w:rsidRPr="00780334">
        <w:rPr>
          <w:szCs w:val="22"/>
          <w:lang w:val="fr-FR"/>
        </w:rPr>
        <w:t>En revanche, certains offices estiment que les modifications proposées ne vont pas assez loin et qu</w:t>
      </w:r>
      <w:r w:rsidR="00562836">
        <w:rPr>
          <w:szCs w:val="22"/>
          <w:lang w:val="fr-FR"/>
        </w:rPr>
        <w:t>’</w:t>
      </w:r>
      <w:r w:rsidR="008A51AA" w:rsidRPr="00780334">
        <w:rPr>
          <w:szCs w:val="22"/>
          <w:lang w:val="fr-FR"/>
        </w:rPr>
        <w:t>il faudrait procéder à une plus grande réorganisation de la liste des événements et des codes.</w:t>
      </w:r>
    </w:p>
    <w:p w14:paraId="7E8B5ACA" w14:textId="123EC706" w:rsidR="00286340" w:rsidRPr="00780334" w:rsidRDefault="008A51AA" w:rsidP="008A51AA">
      <w:pPr>
        <w:keepNext/>
        <w:spacing w:before="240" w:after="60"/>
        <w:rPr>
          <w:caps/>
          <w:szCs w:val="22"/>
          <w:lang w:val="fr-FR"/>
        </w:rPr>
      </w:pPr>
      <w:r w:rsidRPr="00780334">
        <w:rPr>
          <w:caps/>
          <w:szCs w:val="22"/>
          <w:lang w:val="fr-FR"/>
        </w:rPr>
        <w:t>Modifications apportées à la partie principale de la norme</w:t>
      </w:r>
      <w:r w:rsidR="00C95F81">
        <w:rPr>
          <w:caps/>
          <w:szCs w:val="22"/>
          <w:lang w:val="fr-FR"/>
        </w:rPr>
        <w:t> </w:t>
      </w:r>
      <w:r w:rsidRPr="00780334">
        <w:rPr>
          <w:caps/>
          <w:szCs w:val="22"/>
          <w:lang w:val="fr-FR"/>
        </w:rPr>
        <w:t>ST.27</w:t>
      </w:r>
    </w:p>
    <w:p w14:paraId="6D58741E" w14:textId="3CEC0E83" w:rsidR="00286340" w:rsidRPr="00780334" w:rsidRDefault="00286340" w:rsidP="00286340">
      <w:pPr>
        <w:numPr>
          <w:ilvl w:val="0"/>
          <w:numId w:val="5"/>
        </w:numPr>
        <w:tabs>
          <w:tab w:val="clear" w:pos="567"/>
        </w:tabs>
        <w:spacing w:after="120"/>
        <w:rPr>
          <w:szCs w:val="22"/>
          <w:lang w:val="fr-FR"/>
        </w:rPr>
      </w:pPr>
      <w:r w:rsidRPr="00780334">
        <w:rPr>
          <w:szCs w:val="22"/>
          <w:lang w:val="fr-FR"/>
        </w:rPr>
        <w:t xml:space="preserve">Compte tenu des questions </w:t>
      </w:r>
      <w:r w:rsidR="00E44D87">
        <w:rPr>
          <w:szCs w:val="22"/>
          <w:lang w:val="fr-FR"/>
        </w:rPr>
        <w:t>soulevées concernant</w:t>
      </w:r>
      <w:r w:rsidRPr="00780334">
        <w:rPr>
          <w:szCs w:val="22"/>
          <w:lang w:val="fr-FR"/>
        </w:rPr>
        <w:t xml:space="preserve"> l</w:t>
      </w:r>
      <w:r w:rsidR="00562836">
        <w:rPr>
          <w:szCs w:val="22"/>
          <w:lang w:val="fr-FR"/>
        </w:rPr>
        <w:t>’</w:t>
      </w:r>
      <w:r w:rsidRPr="00780334">
        <w:rPr>
          <w:szCs w:val="22"/>
          <w:lang w:val="fr-FR"/>
        </w:rPr>
        <w:t>organisation des événements, l</w:t>
      </w:r>
      <w:r w:rsidR="00562836">
        <w:rPr>
          <w:szCs w:val="22"/>
          <w:lang w:val="fr-FR"/>
        </w:rPr>
        <w:t>’</w:t>
      </w:r>
      <w:r w:rsidRPr="00780334">
        <w:rPr>
          <w:szCs w:val="22"/>
          <w:lang w:val="fr-FR"/>
        </w:rPr>
        <w:t>équipe d</w:t>
      </w:r>
      <w:r w:rsidR="00562836">
        <w:rPr>
          <w:szCs w:val="22"/>
          <w:lang w:val="fr-FR"/>
        </w:rPr>
        <w:t>’</w:t>
      </w:r>
      <w:r w:rsidRPr="00780334">
        <w:rPr>
          <w:szCs w:val="22"/>
          <w:lang w:val="fr-FR"/>
        </w:rPr>
        <w:t>experts a besoin de plus de temps pour examiner cette proposition</w:t>
      </w:r>
      <w:r w:rsidR="00E80D1A">
        <w:rPr>
          <w:szCs w:val="22"/>
          <w:lang w:val="fr-FR"/>
        </w:rPr>
        <w:t xml:space="preserve">.  </w:t>
      </w:r>
      <w:r w:rsidRPr="00780334">
        <w:rPr>
          <w:szCs w:val="22"/>
          <w:lang w:val="fr-FR"/>
        </w:rPr>
        <w:t>Certains membres de l</w:t>
      </w:r>
      <w:r w:rsidR="00562836">
        <w:rPr>
          <w:szCs w:val="22"/>
          <w:lang w:val="fr-FR"/>
        </w:rPr>
        <w:t>’</w:t>
      </w:r>
      <w:r w:rsidRPr="00780334">
        <w:rPr>
          <w:szCs w:val="22"/>
          <w:lang w:val="fr-FR"/>
        </w:rPr>
        <w:t>équipe d</w:t>
      </w:r>
      <w:r w:rsidR="00562836">
        <w:rPr>
          <w:szCs w:val="22"/>
          <w:lang w:val="fr-FR"/>
        </w:rPr>
        <w:t>’</w:t>
      </w:r>
      <w:r w:rsidRPr="00780334">
        <w:rPr>
          <w:szCs w:val="22"/>
          <w:lang w:val="fr-FR"/>
        </w:rPr>
        <w:t>experts étaient favorables à la proposition, d</w:t>
      </w:r>
      <w:r w:rsidR="00562836">
        <w:rPr>
          <w:szCs w:val="22"/>
          <w:lang w:val="fr-FR"/>
        </w:rPr>
        <w:t>’</w:t>
      </w:r>
      <w:r w:rsidRPr="00780334">
        <w:rPr>
          <w:szCs w:val="22"/>
          <w:lang w:val="fr-FR"/>
        </w:rPr>
        <w:t>autres étaient réticents à l</w:t>
      </w:r>
      <w:r w:rsidR="00562836">
        <w:rPr>
          <w:szCs w:val="22"/>
          <w:lang w:val="fr-FR"/>
        </w:rPr>
        <w:t>’</w:t>
      </w:r>
      <w:r w:rsidRPr="00780334">
        <w:rPr>
          <w:szCs w:val="22"/>
          <w:lang w:val="fr-FR"/>
        </w:rPr>
        <w:t>idée d</w:t>
      </w:r>
      <w:r w:rsidR="00562836">
        <w:rPr>
          <w:szCs w:val="22"/>
          <w:lang w:val="fr-FR"/>
        </w:rPr>
        <w:t>’</w:t>
      </w:r>
      <w:r w:rsidRPr="00780334">
        <w:rPr>
          <w:szCs w:val="22"/>
          <w:lang w:val="fr-FR"/>
        </w:rPr>
        <w:t>apporter des modifications et d</w:t>
      </w:r>
      <w:r w:rsidR="00562836">
        <w:rPr>
          <w:szCs w:val="22"/>
          <w:lang w:val="fr-FR"/>
        </w:rPr>
        <w:t>’</w:t>
      </w:r>
      <w:r w:rsidRPr="00780334">
        <w:rPr>
          <w:szCs w:val="22"/>
          <w:lang w:val="fr-FR"/>
        </w:rPr>
        <w:t>autres encore souhaitaient examiner d</w:t>
      </w:r>
      <w:r w:rsidR="00562836">
        <w:rPr>
          <w:szCs w:val="22"/>
          <w:lang w:val="fr-FR"/>
        </w:rPr>
        <w:t>’</w:t>
      </w:r>
      <w:r w:rsidRPr="00780334">
        <w:rPr>
          <w:szCs w:val="22"/>
          <w:lang w:val="fr-FR"/>
        </w:rPr>
        <w:t>autres solutions pour classer les événements figurant dans la norme</w:t>
      </w:r>
      <w:r w:rsidR="00C95F81">
        <w:rPr>
          <w:szCs w:val="22"/>
          <w:lang w:val="fr-FR"/>
        </w:rPr>
        <w:t> </w:t>
      </w:r>
      <w:r w:rsidRPr="00780334">
        <w:rPr>
          <w:szCs w:val="22"/>
          <w:lang w:val="fr-FR"/>
        </w:rPr>
        <w:t>ST.27</w:t>
      </w:r>
      <w:r w:rsidR="00E80D1A">
        <w:rPr>
          <w:szCs w:val="22"/>
          <w:lang w:val="fr-FR"/>
        </w:rPr>
        <w:t xml:space="preserve">.  </w:t>
      </w:r>
      <w:r w:rsidRPr="00780334">
        <w:rPr>
          <w:szCs w:val="22"/>
          <w:lang w:val="fr-FR"/>
        </w:rPr>
        <w:t>La proposition étant encore en cours de révision par l</w:t>
      </w:r>
      <w:r w:rsidR="00562836">
        <w:rPr>
          <w:szCs w:val="22"/>
          <w:lang w:val="fr-FR"/>
        </w:rPr>
        <w:t>’</w:t>
      </w:r>
      <w:r w:rsidRPr="00780334">
        <w:rPr>
          <w:szCs w:val="22"/>
          <w:lang w:val="fr-FR"/>
        </w:rPr>
        <w:t>équipe d</w:t>
      </w:r>
      <w:r w:rsidR="00562836">
        <w:rPr>
          <w:szCs w:val="22"/>
          <w:lang w:val="fr-FR"/>
        </w:rPr>
        <w:t>’</w:t>
      </w:r>
      <w:r w:rsidRPr="00780334">
        <w:rPr>
          <w:szCs w:val="22"/>
          <w:lang w:val="fr-FR"/>
        </w:rPr>
        <w:t>experts, des informations supplémentaires seront présentées oralement à la sept</w:t>
      </w:r>
      <w:r w:rsidR="00562836">
        <w:rPr>
          <w:szCs w:val="22"/>
          <w:lang w:val="fr-FR"/>
        </w:rPr>
        <w:t>ième session</w:t>
      </w:r>
      <w:r w:rsidR="001B1667" w:rsidRPr="00780334">
        <w:rPr>
          <w:szCs w:val="22"/>
          <w:lang w:val="fr-FR"/>
        </w:rPr>
        <w:t xml:space="preserve"> du</w:t>
      </w:r>
      <w:r w:rsidR="001B1667">
        <w:rPr>
          <w:szCs w:val="22"/>
          <w:lang w:val="fr-FR"/>
        </w:rPr>
        <w:t> </w:t>
      </w:r>
      <w:r w:rsidR="001B1667" w:rsidRPr="00780334">
        <w:rPr>
          <w:szCs w:val="22"/>
          <w:lang w:val="fr-FR"/>
        </w:rPr>
        <w:t>CWS</w:t>
      </w:r>
      <w:r w:rsidRPr="00780334">
        <w:rPr>
          <w:szCs w:val="22"/>
          <w:lang w:val="fr-FR"/>
        </w:rPr>
        <w:t>.</w:t>
      </w:r>
    </w:p>
    <w:p w14:paraId="3C4BDA67" w14:textId="610D622C" w:rsidR="00286340" w:rsidRPr="00780334" w:rsidRDefault="0046381F" w:rsidP="00F7369A">
      <w:pPr>
        <w:keepLines/>
        <w:numPr>
          <w:ilvl w:val="0"/>
          <w:numId w:val="5"/>
        </w:numPr>
        <w:tabs>
          <w:tab w:val="clear" w:pos="567"/>
        </w:tabs>
        <w:spacing w:after="220"/>
        <w:rPr>
          <w:szCs w:val="22"/>
          <w:lang w:val="fr-FR"/>
        </w:rPr>
      </w:pPr>
      <w:r w:rsidRPr="00780334">
        <w:rPr>
          <w:szCs w:val="22"/>
          <w:lang w:val="fr-FR"/>
        </w:rPr>
        <w:t>Il serait souhaitable de définir le format définitif du code de situation de la norme</w:t>
      </w:r>
      <w:r w:rsidR="00C95F81">
        <w:rPr>
          <w:szCs w:val="22"/>
          <w:lang w:val="fr-FR"/>
        </w:rPr>
        <w:t> </w:t>
      </w:r>
      <w:r w:rsidRPr="00780334">
        <w:rPr>
          <w:szCs w:val="22"/>
          <w:lang w:val="fr-FR"/>
        </w:rPr>
        <w:t xml:space="preserve">ST.27 afin que les offices de propriété </w:t>
      </w:r>
      <w:r w:rsidR="00E44D87">
        <w:rPr>
          <w:szCs w:val="22"/>
          <w:lang w:val="fr-FR"/>
        </w:rPr>
        <w:t>industrielle</w:t>
      </w:r>
      <w:r w:rsidRPr="00780334">
        <w:rPr>
          <w:szCs w:val="22"/>
          <w:lang w:val="fr-FR"/>
        </w:rPr>
        <w:t xml:space="preserve"> puissent poursuivre avec assurance la mise en </w:t>
      </w:r>
      <w:r w:rsidR="00F574FC" w:rsidRPr="00780334">
        <w:rPr>
          <w:szCs w:val="22"/>
          <w:lang w:val="fr-FR"/>
        </w:rPr>
        <w:t>œuvre</w:t>
      </w:r>
      <w:r w:rsidRPr="00780334">
        <w:rPr>
          <w:szCs w:val="22"/>
          <w:lang w:val="fr-FR"/>
        </w:rPr>
        <w:t xml:space="preserve"> de la norme</w:t>
      </w:r>
      <w:r w:rsidR="00C95F81">
        <w:rPr>
          <w:szCs w:val="22"/>
          <w:lang w:val="fr-FR"/>
        </w:rPr>
        <w:t> </w:t>
      </w:r>
      <w:r w:rsidRPr="00780334">
        <w:rPr>
          <w:szCs w:val="22"/>
          <w:lang w:val="fr-FR"/>
        </w:rPr>
        <w:t>ST.27</w:t>
      </w:r>
      <w:r w:rsidR="00E80D1A">
        <w:rPr>
          <w:szCs w:val="22"/>
          <w:lang w:val="fr-FR"/>
        </w:rPr>
        <w:t xml:space="preserve">.  </w:t>
      </w:r>
      <w:r w:rsidRPr="00780334">
        <w:rPr>
          <w:szCs w:val="22"/>
          <w:lang w:val="fr-FR"/>
        </w:rPr>
        <w:t>Le Bureau international propose donc de réserver</w:t>
      </w:r>
      <w:r w:rsidR="00E80D1A">
        <w:rPr>
          <w:szCs w:val="22"/>
          <w:lang w:val="fr-FR"/>
        </w:rPr>
        <w:t xml:space="preserve"> trois </w:t>
      </w:r>
      <w:r w:rsidRPr="00780334">
        <w:rPr>
          <w:szCs w:val="22"/>
          <w:lang w:val="fr-FR"/>
        </w:rPr>
        <w:t>caractères supplémentaires à ajouter à la fin des codes d</w:t>
      </w:r>
      <w:r w:rsidR="00562836">
        <w:rPr>
          <w:szCs w:val="22"/>
          <w:lang w:val="fr-FR"/>
        </w:rPr>
        <w:t>’</w:t>
      </w:r>
      <w:r w:rsidRPr="00780334">
        <w:rPr>
          <w:szCs w:val="22"/>
          <w:lang w:val="fr-FR"/>
        </w:rPr>
        <w:t>événement figurant dans la norme</w:t>
      </w:r>
      <w:r w:rsidR="00C95F81">
        <w:rPr>
          <w:szCs w:val="22"/>
          <w:lang w:val="fr-FR"/>
        </w:rPr>
        <w:t> </w:t>
      </w:r>
      <w:r w:rsidRPr="00780334">
        <w:rPr>
          <w:szCs w:val="22"/>
          <w:lang w:val="fr-FR"/>
        </w:rPr>
        <w:t>ST.27</w:t>
      </w:r>
      <w:r w:rsidR="00E80D1A">
        <w:rPr>
          <w:szCs w:val="22"/>
          <w:lang w:val="fr-FR"/>
        </w:rPr>
        <w:t xml:space="preserve">.  </w:t>
      </w:r>
      <w:r w:rsidR="005F35AB" w:rsidRPr="00780334">
        <w:rPr>
          <w:szCs w:val="22"/>
          <w:lang w:val="fr-FR"/>
        </w:rPr>
        <w:t>Les caractères réservés seront fixés sous la forme</w:t>
      </w:r>
      <w:r w:rsidR="00C95F81">
        <w:rPr>
          <w:szCs w:val="22"/>
          <w:lang w:val="fr-FR"/>
        </w:rPr>
        <w:t> “</w:t>
      </w:r>
      <w:r w:rsidR="005F35AB" w:rsidRPr="00780334">
        <w:rPr>
          <w:szCs w:val="22"/>
          <w:lang w:val="fr-FR"/>
        </w:rPr>
        <w:t>xxx</w:t>
      </w:r>
      <w:r w:rsidR="00C95F81">
        <w:rPr>
          <w:szCs w:val="22"/>
          <w:lang w:val="fr-FR"/>
        </w:rPr>
        <w:t>”</w:t>
      </w:r>
      <w:r w:rsidR="005F35AB" w:rsidRPr="00780334">
        <w:rPr>
          <w:szCs w:val="22"/>
          <w:lang w:val="fr-FR"/>
        </w:rPr>
        <w:t xml:space="preserve"> dans la version de la norme</w:t>
      </w:r>
      <w:r w:rsidR="00C95F81">
        <w:rPr>
          <w:szCs w:val="22"/>
          <w:lang w:val="fr-FR"/>
        </w:rPr>
        <w:t> </w:t>
      </w:r>
      <w:r w:rsidR="005F35AB" w:rsidRPr="00780334">
        <w:rPr>
          <w:szCs w:val="22"/>
          <w:lang w:val="fr-FR"/>
        </w:rPr>
        <w:t>ST.27 adoptée à la présente session</w:t>
      </w:r>
      <w:r w:rsidR="001B1667" w:rsidRPr="00780334">
        <w:rPr>
          <w:szCs w:val="22"/>
          <w:lang w:val="fr-FR"/>
        </w:rPr>
        <w:t xml:space="preserve"> du</w:t>
      </w:r>
      <w:r w:rsidR="001B1667">
        <w:rPr>
          <w:szCs w:val="22"/>
          <w:lang w:val="fr-FR"/>
        </w:rPr>
        <w:t> </w:t>
      </w:r>
      <w:r w:rsidR="001B1667" w:rsidRPr="00780334">
        <w:rPr>
          <w:szCs w:val="22"/>
          <w:lang w:val="fr-FR"/>
        </w:rPr>
        <w:t>CWS</w:t>
      </w:r>
      <w:r w:rsidR="00E80D1A">
        <w:rPr>
          <w:szCs w:val="22"/>
          <w:lang w:val="fr-FR"/>
        </w:rPr>
        <w:t xml:space="preserve">.  </w:t>
      </w:r>
      <w:r w:rsidR="005F35AB" w:rsidRPr="00780334">
        <w:rPr>
          <w:szCs w:val="22"/>
          <w:lang w:val="fr-FR"/>
        </w:rPr>
        <w:t>De nombreuses normes en vigueur dans le secteur privé comprennent des champs réservés pour une éventuelle utilisation future, à l</w:t>
      </w:r>
      <w:r w:rsidR="00562836">
        <w:rPr>
          <w:szCs w:val="22"/>
          <w:lang w:val="fr-FR"/>
        </w:rPr>
        <w:t>’</w:t>
      </w:r>
      <w:r w:rsidR="005F35AB" w:rsidRPr="00780334">
        <w:rPr>
          <w:szCs w:val="22"/>
          <w:lang w:val="fr-FR"/>
        </w:rPr>
        <w:t>instar de plusieurs normes de l</w:t>
      </w:r>
      <w:r w:rsidR="00562836">
        <w:rPr>
          <w:szCs w:val="22"/>
          <w:lang w:val="fr-FR"/>
        </w:rPr>
        <w:t>’</w:t>
      </w:r>
      <w:r w:rsidR="005F35AB" w:rsidRPr="00780334">
        <w:rPr>
          <w:szCs w:val="22"/>
          <w:lang w:val="fr-FR"/>
        </w:rPr>
        <w:t xml:space="preserve">OMPI, telles que la </w:t>
      </w:r>
      <w:r w:rsidR="00A157B2" w:rsidRPr="00780334">
        <w:rPr>
          <w:szCs w:val="22"/>
          <w:lang w:val="fr-FR"/>
        </w:rPr>
        <w:t>norme</w:t>
      </w:r>
      <w:r w:rsidR="00A157B2">
        <w:rPr>
          <w:szCs w:val="22"/>
          <w:lang w:val="fr-FR"/>
        </w:rPr>
        <w:t> </w:t>
      </w:r>
      <w:r w:rsidR="00A157B2" w:rsidRPr="00780334">
        <w:rPr>
          <w:szCs w:val="22"/>
          <w:lang w:val="fr-FR"/>
        </w:rPr>
        <w:t>ST</w:t>
      </w:r>
      <w:r w:rsidR="005F35AB" w:rsidRPr="00780334">
        <w:rPr>
          <w:szCs w:val="22"/>
          <w:lang w:val="fr-FR"/>
        </w:rPr>
        <w:t>.8</w:t>
      </w:r>
      <w:r w:rsidR="00E80D1A">
        <w:rPr>
          <w:szCs w:val="22"/>
          <w:lang w:val="fr-FR"/>
        </w:rPr>
        <w:t xml:space="preserve">.  </w:t>
      </w:r>
      <w:r w:rsidR="005F35AB" w:rsidRPr="00780334">
        <w:rPr>
          <w:szCs w:val="22"/>
          <w:lang w:val="fr-FR"/>
        </w:rPr>
        <w:t>L</w:t>
      </w:r>
      <w:r w:rsidR="00562836">
        <w:rPr>
          <w:szCs w:val="22"/>
          <w:lang w:val="fr-FR"/>
        </w:rPr>
        <w:t>’</w:t>
      </w:r>
      <w:r w:rsidR="005F35AB" w:rsidRPr="00780334">
        <w:rPr>
          <w:szCs w:val="22"/>
          <w:lang w:val="fr-FR"/>
        </w:rPr>
        <w:t>équipe d</w:t>
      </w:r>
      <w:r w:rsidR="00562836">
        <w:rPr>
          <w:szCs w:val="22"/>
          <w:lang w:val="fr-FR"/>
        </w:rPr>
        <w:t>’</w:t>
      </w:r>
      <w:r w:rsidR="005F35AB" w:rsidRPr="00780334">
        <w:rPr>
          <w:szCs w:val="22"/>
          <w:lang w:val="fr-FR"/>
        </w:rPr>
        <w:t>experts continuera d</w:t>
      </w:r>
      <w:r w:rsidR="00562836">
        <w:rPr>
          <w:szCs w:val="22"/>
          <w:lang w:val="fr-FR"/>
        </w:rPr>
        <w:t>’</w:t>
      </w:r>
      <w:r w:rsidR="005F35AB" w:rsidRPr="00780334">
        <w:rPr>
          <w:szCs w:val="22"/>
          <w:lang w:val="fr-FR"/>
        </w:rPr>
        <w:t>examiner les utilisations possibles de ces caractères réservés après la sept</w:t>
      </w:r>
      <w:r w:rsidR="00562836">
        <w:rPr>
          <w:szCs w:val="22"/>
          <w:lang w:val="fr-FR"/>
        </w:rPr>
        <w:t>ième session</w:t>
      </w:r>
      <w:r w:rsidR="001B1667" w:rsidRPr="00780334">
        <w:rPr>
          <w:szCs w:val="22"/>
          <w:lang w:val="fr-FR"/>
        </w:rPr>
        <w:t xml:space="preserve"> du</w:t>
      </w:r>
      <w:r w:rsidR="001B1667">
        <w:rPr>
          <w:szCs w:val="22"/>
          <w:lang w:val="fr-FR"/>
        </w:rPr>
        <w:t> </w:t>
      </w:r>
      <w:r w:rsidR="001B1667" w:rsidRPr="00780334">
        <w:rPr>
          <w:szCs w:val="22"/>
          <w:lang w:val="fr-FR"/>
        </w:rPr>
        <w:t>CWS</w:t>
      </w:r>
      <w:r w:rsidR="005F35AB" w:rsidRPr="00780334">
        <w:rPr>
          <w:szCs w:val="22"/>
          <w:lang w:val="fr-FR"/>
        </w:rPr>
        <w:t xml:space="preserve"> et présentera une proposition relative à l</w:t>
      </w:r>
      <w:r w:rsidR="00562836">
        <w:rPr>
          <w:szCs w:val="22"/>
          <w:lang w:val="fr-FR"/>
        </w:rPr>
        <w:t>’</w:t>
      </w:r>
      <w:r w:rsidR="005F35AB" w:rsidRPr="00780334">
        <w:rPr>
          <w:szCs w:val="22"/>
          <w:lang w:val="fr-FR"/>
        </w:rPr>
        <w:t>utilisation des caractères réservés à la huit</w:t>
      </w:r>
      <w:r w:rsidR="00562836">
        <w:rPr>
          <w:szCs w:val="22"/>
          <w:lang w:val="fr-FR"/>
        </w:rPr>
        <w:t>ième session</w:t>
      </w:r>
      <w:r w:rsidR="001B1667" w:rsidRPr="00780334">
        <w:rPr>
          <w:szCs w:val="22"/>
          <w:lang w:val="fr-FR"/>
        </w:rPr>
        <w:t xml:space="preserve"> du</w:t>
      </w:r>
      <w:r w:rsidR="001B1667">
        <w:rPr>
          <w:szCs w:val="22"/>
          <w:lang w:val="fr-FR"/>
        </w:rPr>
        <w:t> </w:t>
      </w:r>
      <w:r w:rsidR="001B1667" w:rsidRPr="00780334">
        <w:rPr>
          <w:szCs w:val="22"/>
          <w:lang w:val="fr-FR"/>
        </w:rPr>
        <w:t>CWS</w:t>
      </w:r>
      <w:r w:rsidR="005F35AB" w:rsidRPr="00780334">
        <w:rPr>
          <w:szCs w:val="22"/>
          <w:lang w:val="fr-FR"/>
        </w:rPr>
        <w:t>, si l</w:t>
      </w:r>
      <w:r w:rsidR="00562836">
        <w:rPr>
          <w:szCs w:val="22"/>
          <w:lang w:val="fr-FR"/>
        </w:rPr>
        <w:t>’</w:t>
      </w:r>
      <w:r w:rsidR="005F35AB" w:rsidRPr="00780334">
        <w:rPr>
          <w:szCs w:val="22"/>
          <w:lang w:val="fr-FR"/>
        </w:rPr>
        <w:t>équipe d</w:t>
      </w:r>
      <w:r w:rsidR="00562836">
        <w:rPr>
          <w:szCs w:val="22"/>
          <w:lang w:val="fr-FR"/>
        </w:rPr>
        <w:t>’</w:t>
      </w:r>
      <w:r w:rsidR="005F35AB" w:rsidRPr="00780334">
        <w:rPr>
          <w:szCs w:val="22"/>
          <w:lang w:val="fr-FR"/>
        </w:rPr>
        <w:t>experts parvient à un accord</w:t>
      </w:r>
      <w:r w:rsidR="00E80D1A">
        <w:rPr>
          <w:szCs w:val="22"/>
          <w:lang w:val="fr-FR"/>
        </w:rPr>
        <w:t xml:space="preserve">.  </w:t>
      </w:r>
      <w:r w:rsidR="00F7369A" w:rsidRPr="00780334">
        <w:rPr>
          <w:szCs w:val="22"/>
          <w:lang w:val="fr-FR"/>
        </w:rPr>
        <w:t>En attendant qu</w:t>
      </w:r>
      <w:r w:rsidR="00562836">
        <w:rPr>
          <w:szCs w:val="22"/>
          <w:lang w:val="fr-FR"/>
        </w:rPr>
        <w:t>’</w:t>
      </w:r>
      <w:r w:rsidR="00F7369A" w:rsidRPr="00780334">
        <w:rPr>
          <w:szCs w:val="22"/>
          <w:lang w:val="fr-FR"/>
        </w:rPr>
        <w:t>une telle proposition soit adoptée par</w:t>
      </w:r>
      <w:r w:rsidR="001B1667" w:rsidRPr="00780334">
        <w:rPr>
          <w:szCs w:val="22"/>
          <w:lang w:val="fr-FR"/>
        </w:rPr>
        <w:t xml:space="preserve"> le</w:t>
      </w:r>
      <w:r w:rsidR="001B1667">
        <w:rPr>
          <w:szCs w:val="22"/>
          <w:lang w:val="fr-FR"/>
        </w:rPr>
        <w:t> </w:t>
      </w:r>
      <w:r w:rsidR="001B1667" w:rsidRPr="00780334">
        <w:rPr>
          <w:szCs w:val="22"/>
          <w:lang w:val="fr-FR"/>
        </w:rPr>
        <w:t>CWS</w:t>
      </w:r>
      <w:r w:rsidR="00F7369A" w:rsidRPr="00780334">
        <w:rPr>
          <w:szCs w:val="22"/>
          <w:lang w:val="fr-FR"/>
        </w:rPr>
        <w:t xml:space="preserve"> prochainement, les caractères réservés seront réservés pour une utilisation future.</w:t>
      </w:r>
    </w:p>
    <w:p w14:paraId="25D2D7B8" w14:textId="29AB6701" w:rsidR="00286340" w:rsidRPr="00780334" w:rsidRDefault="00212EA9" w:rsidP="00212EA9">
      <w:pPr>
        <w:numPr>
          <w:ilvl w:val="0"/>
          <w:numId w:val="5"/>
        </w:numPr>
        <w:tabs>
          <w:tab w:val="clear" w:pos="567"/>
        </w:tabs>
        <w:spacing w:after="120"/>
        <w:rPr>
          <w:szCs w:val="22"/>
          <w:lang w:val="fr-FR"/>
        </w:rPr>
      </w:pPr>
      <w:r w:rsidRPr="00780334">
        <w:rPr>
          <w:szCs w:val="22"/>
          <w:lang w:val="fr-FR"/>
        </w:rPr>
        <w:t>Pour tenir compte de cette proposition, il est suggéré d</w:t>
      </w:r>
      <w:r w:rsidR="00562836">
        <w:rPr>
          <w:szCs w:val="22"/>
          <w:lang w:val="fr-FR"/>
        </w:rPr>
        <w:t>’</w:t>
      </w:r>
      <w:r w:rsidRPr="00780334">
        <w:rPr>
          <w:szCs w:val="22"/>
          <w:lang w:val="fr-FR"/>
        </w:rPr>
        <w:t>apporter les modifications ci</w:t>
      </w:r>
      <w:r w:rsidR="00562836">
        <w:rPr>
          <w:szCs w:val="22"/>
          <w:lang w:val="fr-FR"/>
        </w:rPr>
        <w:t>-</w:t>
      </w:r>
      <w:r w:rsidRPr="00780334">
        <w:rPr>
          <w:szCs w:val="22"/>
          <w:lang w:val="fr-FR"/>
        </w:rPr>
        <w:t>après dans la partie principale de la norme</w:t>
      </w:r>
      <w:r w:rsidR="00C95F81">
        <w:rPr>
          <w:szCs w:val="22"/>
          <w:lang w:val="fr-FR"/>
        </w:rPr>
        <w:t> </w:t>
      </w:r>
      <w:r w:rsidRPr="00780334">
        <w:rPr>
          <w:szCs w:val="22"/>
          <w:lang w:val="fr-FR"/>
        </w:rPr>
        <w:t xml:space="preserve">ST.27 (suivi des modifications ajouté </w:t>
      </w:r>
      <w:r w:rsidR="00780334">
        <w:rPr>
          <w:szCs w:val="22"/>
          <w:lang w:val="fr-FR"/>
        </w:rPr>
        <w:t>par rapport à</w:t>
      </w:r>
      <w:r w:rsidRPr="00780334">
        <w:rPr>
          <w:szCs w:val="22"/>
          <w:lang w:val="fr-FR"/>
        </w:rPr>
        <w:t xml:space="preserve"> la version publiée en novembre</w:t>
      </w:r>
      <w:r w:rsidR="00C95F81">
        <w:rPr>
          <w:szCs w:val="22"/>
          <w:lang w:val="fr-FR"/>
        </w:rPr>
        <w:t> </w:t>
      </w:r>
      <w:r w:rsidRPr="00780334">
        <w:rPr>
          <w:szCs w:val="22"/>
          <w:lang w:val="fr-FR"/>
        </w:rPr>
        <w:t>2018)</w:t>
      </w:r>
      <w:r w:rsidR="00E80D1A">
        <w:rPr>
          <w:szCs w:val="22"/>
          <w:lang w:val="fr-FR"/>
        </w:rPr>
        <w:t> :</w:t>
      </w:r>
    </w:p>
    <w:p w14:paraId="08A13422" w14:textId="77EB2161" w:rsidR="00286340" w:rsidRPr="00780334" w:rsidRDefault="00212EA9" w:rsidP="003D3EC1">
      <w:pPr>
        <w:pStyle w:val="ListParagraph"/>
        <w:numPr>
          <w:ilvl w:val="0"/>
          <w:numId w:val="14"/>
        </w:numPr>
        <w:ind w:left="360"/>
        <w:rPr>
          <w:i/>
          <w:lang w:val="fr-FR"/>
        </w:rPr>
      </w:pPr>
      <w:bookmarkStart w:id="6" w:name="_Toc480358869"/>
      <w:r w:rsidRPr="00780334">
        <w:rPr>
          <w:lang w:val="fr-FR"/>
        </w:rPr>
        <w:t>Code d</w:t>
      </w:r>
      <w:r w:rsidR="00562836">
        <w:rPr>
          <w:lang w:val="fr-FR"/>
        </w:rPr>
        <w:t>’</w:t>
      </w:r>
      <w:r w:rsidRPr="00780334">
        <w:rPr>
          <w:lang w:val="fr-FR"/>
        </w:rPr>
        <w:t>événement principal, paragraphe</w:t>
      </w:r>
      <w:bookmarkEnd w:id="6"/>
      <w:r w:rsidR="00C95F81">
        <w:rPr>
          <w:lang w:val="fr-FR"/>
        </w:rPr>
        <w:t> </w:t>
      </w:r>
      <w:r w:rsidR="00A7790F" w:rsidRPr="00780334">
        <w:rPr>
          <w:lang w:val="fr-FR"/>
        </w:rPr>
        <w:t>31</w:t>
      </w:r>
      <w:r w:rsidR="00E80D1A">
        <w:rPr>
          <w:lang w:val="fr-FR"/>
        </w:rPr>
        <w:t> :</w:t>
      </w:r>
    </w:p>
    <w:p w14:paraId="2CA99372" w14:textId="0887DC30" w:rsidR="00286340" w:rsidRPr="00780334" w:rsidRDefault="00300EC6" w:rsidP="003D3EC1">
      <w:pPr>
        <w:spacing w:after="200"/>
        <w:ind w:left="562"/>
        <w:rPr>
          <w:szCs w:val="22"/>
          <w:lang w:val="fr-FR"/>
        </w:rPr>
      </w:pPr>
      <w:r w:rsidRPr="00780334">
        <w:rPr>
          <w:szCs w:val="22"/>
          <w:lang w:val="fr-FR"/>
        </w:rPr>
        <w:t>31</w:t>
      </w:r>
      <w:r w:rsidR="00E80D1A">
        <w:rPr>
          <w:szCs w:val="22"/>
          <w:lang w:val="fr-FR"/>
        </w:rPr>
        <w:t xml:space="preserve">.  </w:t>
      </w:r>
      <w:r w:rsidR="00212EA9" w:rsidRPr="00780334">
        <w:rPr>
          <w:lang w:val="fr-FR"/>
        </w:rPr>
        <w:t>Les événements principaux sont codés moyennant la combinaison d</w:t>
      </w:r>
      <w:r w:rsidR="00562836">
        <w:rPr>
          <w:lang w:val="fr-FR"/>
        </w:rPr>
        <w:t>’</w:t>
      </w:r>
      <w:r w:rsidR="00212EA9" w:rsidRPr="00780334">
        <w:rPr>
          <w:lang w:val="fr-FR"/>
        </w:rPr>
        <w:t>une lettre unique suivie du numéro “10”</w:t>
      </w:r>
      <w:r w:rsidR="00212EA9" w:rsidRPr="00780334">
        <w:rPr>
          <w:szCs w:val="22"/>
          <w:u w:val="single"/>
          <w:lang w:val="fr-FR"/>
        </w:rPr>
        <w:t xml:space="preserve">, </w:t>
      </w:r>
      <w:r w:rsidR="00665108" w:rsidRPr="00780334">
        <w:rPr>
          <w:szCs w:val="22"/>
          <w:u w:val="single"/>
          <w:lang w:val="fr-FR"/>
        </w:rPr>
        <w:t>puis d</w:t>
      </w:r>
      <w:r w:rsidR="00562836">
        <w:rPr>
          <w:szCs w:val="22"/>
          <w:u w:val="single"/>
          <w:lang w:val="fr-FR"/>
        </w:rPr>
        <w:t>’</w:t>
      </w:r>
      <w:r w:rsidR="00665108" w:rsidRPr="00780334">
        <w:rPr>
          <w:szCs w:val="22"/>
          <w:u w:val="single"/>
          <w:lang w:val="fr-FR"/>
        </w:rPr>
        <w:t>un point et de</w:t>
      </w:r>
      <w:r w:rsidR="00212EA9" w:rsidRPr="00780334">
        <w:rPr>
          <w:szCs w:val="22"/>
          <w:u w:val="single"/>
          <w:lang w:val="fr-FR"/>
        </w:rPr>
        <w:t xml:space="preserve"> </w:t>
      </w:r>
      <w:r w:rsidR="00C95F81">
        <w:rPr>
          <w:szCs w:val="22"/>
          <w:u w:val="single"/>
          <w:lang w:val="fr-FR"/>
        </w:rPr>
        <w:t>“</w:t>
      </w:r>
      <w:r w:rsidR="00212EA9" w:rsidRPr="00780334">
        <w:rPr>
          <w:szCs w:val="22"/>
          <w:u w:val="single"/>
          <w:lang w:val="fr-FR"/>
        </w:rPr>
        <w:t>xxx</w:t>
      </w:r>
      <w:r w:rsidR="00C95F81">
        <w:rPr>
          <w:szCs w:val="22"/>
          <w:u w:val="single"/>
          <w:lang w:val="fr-FR"/>
        </w:rPr>
        <w:t>”</w:t>
      </w:r>
      <w:r w:rsidR="00E80D1A">
        <w:rPr>
          <w:szCs w:val="22"/>
          <w:lang w:val="fr-FR"/>
        </w:rPr>
        <w:t xml:space="preserve">.  </w:t>
      </w:r>
      <w:r w:rsidR="00212EA9" w:rsidRPr="00780334">
        <w:rPr>
          <w:lang w:val="fr-FR"/>
        </w:rPr>
        <w:t>La lettre unique est attribuée en fonction de la catégorie</w:t>
      </w:r>
      <w:r w:rsidR="00E80D1A">
        <w:rPr>
          <w:lang w:val="fr-FR"/>
        </w:rPr>
        <w:t xml:space="preserve">.  </w:t>
      </w:r>
      <w:r w:rsidR="00665108" w:rsidRPr="00780334">
        <w:rPr>
          <w:szCs w:val="22"/>
          <w:u w:val="single"/>
          <w:lang w:val="fr-FR"/>
        </w:rPr>
        <w:t>Les</w:t>
      </w:r>
      <w:r w:rsidR="00E80D1A">
        <w:rPr>
          <w:szCs w:val="22"/>
          <w:u w:val="single"/>
          <w:lang w:val="fr-FR"/>
        </w:rPr>
        <w:t xml:space="preserve"> trois </w:t>
      </w:r>
      <w:r w:rsidR="00665108" w:rsidRPr="00780334">
        <w:rPr>
          <w:szCs w:val="22"/>
          <w:u w:val="single"/>
          <w:lang w:val="fr-FR"/>
        </w:rPr>
        <w:t>caractères supplémentaires après le point sont réservés pour une utilisation future éventuelle</w:t>
      </w:r>
      <w:r w:rsidR="00701FBF" w:rsidRPr="00780334">
        <w:rPr>
          <w:szCs w:val="22"/>
          <w:u w:val="single"/>
          <w:lang w:val="fr-FR"/>
        </w:rPr>
        <w:t>.</w:t>
      </w:r>
    </w:p>
    <w:p w14:paraId="4A2B7DD7" w14:textId="6768DA7D" w:rsidR="00286340" w:rsidRPr="00780334" w:rsidRDefault="00780334" w:rsidP="003D3EC1">
      <w:pPr>
        <w:pStyle w:val="ListParagraph"/>
        <w:numPr>
          <w:ilvl w:val="0"/>
          <w:numId w:val="14"/>
        </w:numPr>
        <w:ind w:left="360"/>
        <w:rPr>
          <w:lang w:val="fr-FR"/>
        </w:rPr>
      </w:pPr>
      <w:bookmarkStart w:id="7" w:name="_Toc480358870"/>
      <w:r>
        <w:rPr>
          <w:lang w:val="fr-FR"/>
        </w:rPr>
        <w:t>Code d</w:t>
      </w:r>
      <w:r w:rsidR="00562836">
        <w:rPr>
          <w:lang w:val="fr-FR"/>
        </w:rPr>
        <w:t>’</w:t>
      </w:r>
      <w:r>
        <w:rPr>
          <w:lang w:val="fr-FR"/>
        </w:rPr>
        <w:t>événement détaillé, paragraphe</w:t>
      </w:r>
      <w:r w:rsidR="00C95F81">
        <w:rPr>
          <w:lang w:val="fr-FR"/>
        </w:rPr>
        <w:t> </w:t>
      </w:r>
      <w:r>
        <w:rPr>
          <w:lang w:val="fr-FR"/>
        </w:rPr>
        <w:t>34</w:t>
      </w:r>
      <w:bookmarkEnd w:id="7"/>
      <w:r w:rsidR="00E80D1A">
        <w:rPr>
          <w:lang w:val="fr-FR"/>
        </w:rPr>
        <w:t> :</w:t>
      </w:r>
    </w:p>
    <w:p w14:paraId="4839286B" w14:textId="197B3519" w:rsidR="00286340" w:rsidRPr="00780334" w:rsidRDefault="0061735B" w:rsidP="003D3EC1">
      <w:pPr>
        <w:pStyle w:val="ListParagraph"/>
        <w:spacing w:after="200"/>
        <w:ind w:left="562"/>
        <w:contextualSpacing w:val="0"/>
        <w:jc w:val="both"/>
        <w:rPr>
          <w:szCs w:val="22"/>
          <w:lang w:val="fr-FR"/>
        </w:rPr>
      </w:pPr>
      <w:r w:rsidRPr="00780334">
        <w:rPr>
          <w:szCs w:val="22"/>
          <w:lang w:val="fr-FR"/>
        </w:rPr>
        <w:t>34</w:t>
      </w:r>
      <w:r w:rsidR="00E80D1A">
        <w:rPr>
          <w:szCs w:val="22"/>
          <w:lang w:val="fr-FR"/>
        </w:rPr>
        <w:t xml:space="preserve">.  </w:t>
      </w:r>
      <w:r w:rsidR="00665108" w:rsidRPr="00780334">
        <w:rPr>
          <w:lang w:val="fr-FR"/>
        </w:rPr>
        <w:t>Les événements détaillés sont codés au moyen d</w:t>
      </w:r>
      <w:r w:rsidR="00562836">
        <w:rPr>
          <w:lang w:val="fr-FR"/>
        </w:rPr>
        <w:t>’</w:t>
      </w:r>
      <w:r w:rsidR="00665108" w:rsidRPr="00780334">
        <w:rPr>
          <w:lang w:val="fr-FR"/>
        </w:rPr>
        <w:t>une combinaison d</w:t>
      </w:r>
      <w:r w:rsidR="00562836">
        <w:rPr>
          <w:lang w:val="fr-FR"/>
        </w:rPr>
        <w:t>’</w:t>
      </w:r>
      <w:r w:rsidR="00665108" w:rsidRPr="00780334">
        <w:rPr>
          <w:lang w:val="fr-FR"/>
        </w:rPr>
        <w:t>une lettre unique suivie d</w:t>
      </w:r>
      <w:r w:rsidR="00562836">
        <w:rPr>
          <w:lang w:val="fr-FR"/>
        </w:rPr>
        <w:t>’</w:t>
      </w:r>
      <w:r w:rsidR="00665108" w:rsidRPr="00780334">
        <w:rPr>
          <w:lang w:val="fr-FR"/>
        </w:rPr>
        <w:t>un nombre à</w:t>
      </w:r>
      <w:r w:rsidR="00E80D1A">
        <w:rPr>
          <w:lang w:val="fr-FR"/>
        </w:rPr>
        <w:t xml:space="preserve"> deux </w:t>
      </w:r>
      <w:r w:rsidR="00665108" w:rsidRPr="00780334">
        <w:rPr>
          <w:lang w:val="fr-FR"/>
        </w:rPr>
        <w:t>chiffres de 11 à 99</w:t>
      </w:r>
      <w:r w:rsidR="00701FBF" w:rsidRPr="00780334">
        <w:rPr>
          <w:szCs w:val="22"/>
          <w:u w:val="single"/>
          <w:lang w:val="fr-FR"/>
        </w:rPr>
        <w:t xml:space="preserve">, </w:t>
      </w:r>
      <w:r w:rsidR="00665108" w:rsidRPr="00780334">
        <w:rPr>
          <w:szCs w:val="22"/>
          <w:u w:val="single"/>
          <w:lang w:val="fr-FR"/>
        </w:rPr>
        <w:t>puis d</w:t>
      </w:r>
      <w:r w:rsidR="00562836">
        <w:rPr>
          <w:szCs w:val="22"/>
          <w:u w:val="single"/>
          <w:lang w:val="fr-FR"/>
        </w:rPr>
        <w:t>’</w:t>
      </w:r>
      <w:r w:rsidR="00665108" w:rsidRPr="00780334">
        <w:rPr>
          <w:szCs w:val="22"/>
          <w:u w:val="single"/>
          <w:lang w:val="fr-FR"/>
        </w:rPr>
        <w:t>un point et de</w:t>
      </w:r>
      <w:r w:rsidR="00701FBF" w:rsidRPr="00780334">
        <w:rPr>
          <w:szCs w:val="22"/>
          <w:u w:val="single"/>
          <w:lang w:val="fr-FR"/>
        </w:rPr>
        <w:t xml:space="preserve"> </w:t>
      </w:r>
      <w:r w:rsidR="00C95F81">
        <w:rPr>
          <w:szCs w:val="22"/>
          <w:u w:val="single"/>
          <w:lang w:val="fr-FR"/>
        </w:rPr>
        <w:t>“</w:t>
      </w:r>
      <w:r w:rsidR="00701FBF" w:rsidRPr="00780334">
        <w:rPr>
          <w:szCs w:val="22"/>
          <w:u w:val="single"/>
          <w:lang w:val="fr-FR"/>
        </w:rPr>
        <w:t>xxx</w:t>
      </w:r>
      <w:r w:rsidR="00C95F81">
        <w:rPr>
          <w:szCs w:val="22"/>
          <w:u w:val="single"/>
          <w:lang w:val="fr-FR"/>
        </w:rPr>
        <w:t>”</w:t>
      </w:r>
      <w:r w:rsidR="00E80D1A">
        <w:rPr>
          <w:szCs w:val="22"/>
          <w:lang w:val="fr-FR"/>
        </w:rPr>
        <w:t xml:space="preserve">.  </w:t>
      </w:r>
      <w:r w:rsidR="00665108" w:rsidRPr="00780334">
        <w:rPr>
          <w:lang w:val="fr-FR"/>
        </w:rPr>
        <w:t>La lettre unique est fonction de la catégorie</w:t>
      </w:r>
      <w:r w:rsidR="00E80D1A">
        <w:rPr>
          <w:lang w:val="fr-FR"/>
        </w:rPr>
        <w:t xml:space="preserve">.  </w:t>
      </w:r>
      <w:r w:rsidR="00665108" w:rsidRPr="00780334">
        <w:rPr>
          <w:lang w:val="fr-FR"/>
        </w:rPr>
        <w:t>Les codes d</w:t>
      </w:r>
      <w:r w:rsidR="00562836">
        <w:rPr>
          <w:lang w:val="fr-FR"/>
        </w:rPr>
        <w:t>’</w:t>
      </w:r>
      <w:r w:rsidR="00665108" w:rsidRPr="00780334">
        <w:rPr>
          <w:lang w:val="fr-FR"/>
        </w:rPr>
        <w:t>événements détaillés figurent à l</w:t>
      </w:r>
      <w:r w:rsidR="00562836">
        <w:rPr>
          <w:lang w:val="fr-FR"/>
        </w:rPr>
        <w:t>’</w:t>
      </w:r>
      <w:r w:rsidR="001B1667" w:rsidRPr="00780334">
        <w:rPr>
          <w:lang w:val="fr-FR"/>
        </w:rPr>
        <w:t>annexe</w:t>
      </w:r>
      <w:r w:rsidR="00E80D1A">
        <w:rPr>
          <w:lang w:val="fr-FR"/>
        </w:rPr>
        <w:t> </w:t>
      </w:r>
      <w:r w:rsidR="00E80D1A" w:rsidRPr="00780334">
        <w:rPr>
          <w:lang w:val="fr-FR"/>
        </w:rPr>
        <w:t>I</w:t>
      </w:r>
      <w:r w:rsidR="00E80D1A">
        <w:rPr>
          <w:lang w:val="fr-FR"/>
        </w:rPr>
        <w:t>. </w:t>
      </w:r>
      <w:r w:rsidR="00A273EE" w:rsidRPr="00780334">
        <w:rPr>
          <w:szCs w:val="22"/>
          <w:u w:val="single"/>
          <w:lang w:val="fr-FR"/>
        </w:rPr>
        <w:t>Les</w:t>
      </w:r>
      <w:r w:rsidR="00E80D1A">
        <w:rPr>
          <w:szCs w:val="22"/>
          <w:u w:val="single"/>
          <w:lang w:val="fr-FR"/>
        </w:rPr>
        <w:t xml:space="preserve"> trois </w:t>
      </w:r>
      <w:r w:rsidR="00A273EE" w:rsidRPr="00780334">
        <w:rPr>
          <w:szCs w:val="22"/>
          <w:u w:val="single"/>
          <w:lang w:val="fr-FR"/>
        </w:rPr>
        <w:t>caractères supplémentaires après le point sont réservés pour une utilisation future éventuelle</w:t>
      </w:r>
      <w:r w:rsidR="00701FBF" w:rsidRPr="00780334">
        <w:rPr>
          <w:szCs w:val="22"/>
          <w:u w:val="single"/>
          <w:lang w:val="fr-FR"/>
        </w:rPr>
        <w:t>.</w:t>
      </w:r>
    </w:p>
    <w:p w14:paraId="7E2D3EA7" w14:textId="6A56A15A" w:rsidR="00286340" w:rsidRPr="00780334" w:rsidRDefault="00A273EE" w:rsidP="003D3EC1">
      <w:pPr>
        <w:pStyle w:val="ListParagraph"/>
        <w:numPr>
          <w:ilvl w:val="0"/>
          <w:numId w:val="14"/>
        </w:numPr>
        <w:ind w:left="360"/>
        <w:rPr>
          <w:szCs w:val="22"/>
          <w:lang w:val="fr-FR"/>
        </w:rPr>
      </w:pPr>
      <w:r w:rsidRPr="00780334">
        <w:rPr>
          <w:lang w:val="fr-FR"/>
        </w:rPr>
        <w:t>Le texte actuel de l</w:t>
      </w:r>
      <w:r w:rsidR="00562836">
        <w:rPr>
          <w:lang w:val="fr-FR"/>
        </w:rPr>
        <w:t>’</w:t>
      </w:r>
      <w:r w:rsidRPr="00780334">
        <w:rPr>
          <w:lang w:val="fr-FR"/>
        </w:rPr>
        <w:t>avertissement sera remplacé par le texte ci</w:t>
      </w:r>
      <w:r w:rsidR="00562836">
        <w:rPr>
          <w:lang w:val="fr-FR"/>
        </w:rPr>
        <w:t>-</w:t>
      </w:r>
      <w:r w:rsidRPr="00780334">
        <w:rPr>
          <w:lang w:val="fr-FR"/>
        </w:rPr>
        <w:t>après</w:t>
      </w:r>
      <w:r w:rsidR="00E80D1A">
        <w:rPr>
          <w:lang w:val="fr-FR"/>
        </w:rPr>
        <w:t> :</w:t>
      </w:r>
    </w:p>
    <w:p w14:paraId="58E8C4D7" w14:textId="61545B42" w:rsidR="00286340" w:rsidRPr="00780334" w:rsidRDefault="00A273EE" w:rsidP="00711378">
      <w:pPr>
        <w:keepNext/>
        <w:spacing w:before="240" w:after="340"/>
        <w:ind w:left="562"/>
        <w:jc w:val="center"/>
        <w:rPr>
          <w:rFonts w:eastAsia="Times New Roman"/>
          <w:i/>
          <w:szCs w:val="22"/>
          <w:u w:val="single"/>
          <w:lang w:val="fr-FR" w:eastAsia="en-US"/>
        </w:rPr>
      </w:pPr>
      <w:r w:rsidRPr="00780334">
        <w:rPr>
          <w:rFonts w:eastAsia="Times New Roman"/>
          <w:i/>
          <w:szCs w:val="22"/>
          <w:lang w:val="fr-FR" w:eastAsia="en-US"/>
        </w:rPr>
        <w:t>Avertissement du Bureau international</w:t>
      </w:r>
    </w:p>
    <w:p w14:paraId="1226DD13" w14:textId="61FB3A6F" w:rsidR="00286340" w:rsidRPr="00780334" w:rsidRDefault="00C2767E" w:rsidP="00711378">
      <w:pPr>
        <w:spacing w:after="120"/>
        <w:ind w:left="567"/>
        <w:rPr>
          <w:rFonts w:eastAsia="Times New Roman"/>
          <w:i/>
          <w:szCs w:val="22"/>
          <w:lang w:val="fr-FR" w:eastAsia="en-US"/>
        </w:rPr>
      </w:pPr>
      <w:r w:rsidRPr="00780334">
        <w:rPr>
          <w:rFonts w:eastAsia="Times New Roman"/>
          <w:i/>
          <w:szCs w:val="22"/>
          <w:lang w:val="fr-FR" w:eastAsia="en-US"/>
        </w:rPr>
        <w:t xml:space="preserve">Les offices de propriété industrielle peuvent commencer à mettre en </w:t>
      </w:r>
      <w:r w:rsidR="00F574FC" w:rsidRPr="00780334">
        <w:rPr>
          <w:rFonts w:eastAsia="Times New Roman"/>
          <w:i/>
          <w:szCs w:val="22"/>
          <w:lang w:val="fr-FR" w:eastAsia="en-US"/>
        </w:rPr>
        <w:t>œuvre</w:t>
      </w:r>
      <w:r w:rsidRPr="00780334">
        <w:rPr>
          <w:rFonts w:eastAsia="Times New Roman"/>
          <w:i/>
          <w:szCs w:val="22"/>
          <w:lang w:val="fr-FR" w:eastAsia="en-US"/>
        </w:rPr>
        <w:t xml:space="preserve"> la norme</w:t>
      </w:r>
      <w:r w:rsidR="00C95F81">
        <w:rPr>
          <w:rFonts w:eastAsia="Times New Roman"/>
          <w:i/>
          <w:szCs w:val="22"/>
          <w:lang w:val="fr-FR" w:eastAsia="en-US"/>
        </w:rPr>
        <w:t> </w:t>
      </w:r>
      <w:r w:rsidRPr="00780334">
        <w:rPr>
          <w:rFonts w:eastAsia="Times New Roman"/>
          <w:i/>
          <w:szCs w:val="22"/>
          <w:lang w:val="fr-FR" w:eastAsia="en-US"/>
        </w:rPr>
        <w:t>ST.27 pour l</w:t>
      </w:r>
      <w:r w:rsidR="00562836">
        <w:rPr>
          <w:rFonts w:eastAsia="Times New Roman"/>
          <w:i/>
          <w:szCs w:val="22"/>
          <w:lang w:val="fr-FR" w:eastAsia="en-US"/>
        </w:rPr>
        <w:t>’</w:t>
      </w:r>
      <w:r w:rsidRPr="00780334">
        <w:rPr>
          <w:rFonts w:eastAsia="Times New Roman"/>
          <w:i/>
          <w:szCs w:val="22"/>
          <w:lang w:val="fr-FR" w:eastAsia="en-US"/>
        </w:rPr>
        <w:t>échange de données sur la situation juridique des brevets</w:t>
      </w:r>
      <w:r w:rsidR="00E80D1A">
        <w:rPr>
          <w:rFonts w:eastAsia="Times New Roman"/>
          <w:i/>
          <w:szCs w:val="22"/>
          <w:lang w:val="fr-FR" w:eastAsia="en-US"/>
        </w:rPr>
        <w:t xml:space="preserve">.  </w:t>
      </w:r>
      <w:r w:rsidRPr="00780334">
        <w:rPr>
          <w:rFonts w:eastAsia="Times New Roman"/>
          <w:i/>
          <w:szCs w:val="22"/>
          <w:lang w:val="fr-FR" w:eastAsia="en-US"/>
        </w:rPr>
        <w:t>L</w:t>
      </w:r>
      <w:r w:rsidR="00562836">
        <w:rPr>
          <w:rFonts w:eastAsia="Times New Roman"/>
          <w:i/>
          <w:szCs w:val="22"/>
          <w:lang w:val="fr-FR" w:eastAsia="en-US"/>
        </w:rPr>
        <w:t>’</w:t>
      </w:r>
      <w:r w:rsidRPr="00780334">
        <w:rPr>
          <w:rFonts w:eastAsia="Times New Roman"/>
          <w:i/>
          <w:szCs w:val="22"/>
          <w:lang w:val="fr-FR" w:eastAsia="en-US"/>
        </w:rPr>
        <w:t>Équipe d</w:t>
      </w:r>
      <w:r w:rsidR="00562836">
        <w:rPr>
          <w:rFonts w:eastAsia="Times New Roman"/>
          <w:i/>
          <w:szCs w:val="22"/>
          <w:lang w:val="fr-FR" w:eastAsia="en-US"/>
        </w:rPr>
        <w:t>’</w:t>
      </w:r>
      <w:r w:rsidRPr="00780334">
        <w:rPr>
          <w:rFonts w:eastAsia="Times New Roman"/>
          <w:i/>
          <w:szCs w:val="22"/>
          <w:lang w:val="fr-FR" w:eastAsia="en-US"/>
        </w:rPr>
        <w:t>experts chargée de la situation juridique va continuer de réviser les intitulés et les descriptions des catégories et des événements selon que de besoin tandis que les offices de propriété industrielle continuent d</w:t>
      </w:r>
      <w:r w:rsidR="00562836">
        <w:rPr>
          <w:rFonts w:eastAsia="Times New Roman"/>
          <w:i/>
          <w:szCs w:val="22"/>
          <w:lang w:val="fr-FR" w:eastAsia="en-US"/>
        </w:rPr>
        <w:t>’</w:t>
      </w:r>
      <w:r w:rsidRPr="00780334">
        <w:rPr>
          <w:rFonts w:eastAsia="Times New Roman"/>
          <w:i/>
          <w:szCs w:val="22"/>
          <w:lang w:val="fr-FR" w:eastAsia="en-US"/>
        </w:rPr>
        <w:t>améliorer la concordance</w:t>
      </w:r>
      <w:r w:rsidR="0061735B" w:rsidRPr="00780334">
        <w:rPr>
          <w:rFonts w:eastAsia="Times New Roman"/>
          <w:i/>
          <w:szCs w:val="22"/>
          <w:lang w:val="fr-FR" w:eastAsia="en-US"/>
        </w:rPr>
        <w:t>.</w:t>
      </w:r>
    </w:p>
    <w:p w14:paraId="16211A4A" w14:textId="456A897F" w:rsidR="00286340" w:rsidRPr="00780334" w:rsidRDefault="00C2767E" w:rsidP="00711378">
      <w:pPr>
        <w:spacing w:after="220"/>
        <w:ind w:left="562"/>
        <w:rPr>
          <w:rFonts w:eastAsia="Times New Roman"/>
          <w:i/>
          <w:szCs w:val="22"/>
          <w:lang w:val="fr-FR" w:eastAsia="en-US"/>
        </w:rPr>
      </w:pPr>
      <w:r w:rsidRPr="00780334">
        <w:rPr>
          <w:rFonts w:eastAsia="Times New Roman"/>
          <w:i/>
          <w:szCs w:val="22"/>
          <w:lang w:val="fr-FR" w:eastAsia="en-US"/>
        </w:rPr>
        <w:t>Le CWS est convenu de réserver</w:t>
      </w:r>
      <w:r w:rsidR="00E80D1A">
        <w:rPr>
          <w:rFonts w:eastAsia="Times New Roman"/>
          <w:i/>
          <w:szCs w:val="22"/>
          <w:lang w:val="fr-FR" w:eastAsia="en-US"/>
        </w:rPr>
        <w:t xml:space="preserve"> trois </w:t>
      </w:r>
      <w:r w:rsidRPr="00780334">
        <w:rPr>
          <w:rFonts w:eastAsia="Times New Roman"/>
          <w:i/>
          <w:szCs w:val="22"/>
          <w:lang w:val="fr-FR" w:eastAsia="en-US"/>
        </w:rPr>
        <w:t>caractères supplémentaires dans le code de situation pour chaque événement</w:t>
      </w:r>
      <w:r w:rsidR="00E80D1A">
        <w:rPr>
          <w:rFonts w:eastAsia="Times New Roman"/>
          <w:i/>
          <w:szCs w:val="22"/>
          <w:lang w:val="fr-FR" w:eastAsia="en-US"/>
        </w:rPr>
        <w:t xml:space="preserve">.  </w:t>
      </w:r>
      <w:r w:rsidR="00062D7F" w:rsidRPr="00780334">
        <w:rPr>
          <w:rFonts w:eastAsia="Times New Roman"/>
          <w:i/>
          <w:szCs w:val="22"/>
          <w:lang w:val="fr-FR" w:eastAsia="en-US"/>
        </w:rPr>
        <w:t xml:space="preserve">Ces caractères réservés sont utiles pour les travaux futurs sur la norme et sont réservés maintenant de sorte que les offices puissent mettre en </w:t>
      </w:r>
      <w:r w:rsidR="00F574FC" w:rsidRPr="00780334">
        <w:rPr>
          <w:rFonts w:eastAsia="Times New Roman"/>
          <w:i/>
          <w:szCs w:val="22"/>
          <w:lang w:val="fr-FR" w:eastAsia="en-US"/>
        </w:rPr>
        <w:t>œuvre</w:t>
      </w:r>
      <w:r w:rsidR="00062D7F" w:rsidRPr="00780334">
        <w:rPr>
          <w:rFonts w:eastAsia="Times New Roman"/>
          <w:i/>
          <w:szCs w:val="22"/>
          <w:lang w:val="fr-FR" w:eastAsia="en-US"/>
        </w:rPr>
        <w:t xml:space="preserve"> la norme actuelle avec assurance</w:t>
      </w:r>
      <w:r w:rsidR="00E80D1A">
        <w:rPr>
          <w:rFonts w:eastAsia="Times New Roman"/>
          <w:i/>
          <w:szCs w:val="22"/>
          <w:lang w:val="fr-FR" w:eastAsia="en-US"/>
        </w:rPr>
        <w:t xml:space="preserve">.  </w:t>
      </w:r>
      <w:r w:rsidR="00062D7F" w:rsidRPr="00780334">
        <w:rPr>
          <w:rFonts w:eastAsia="Times New Roman"/>
          <w:i/>
          <w:szCs w:val="22"/>
          <w:lang w:val="fr-FR" w:eastAsia="en-US"/>
        </w:rPr>
        <w:t>L</w:t>
      </w:r>
      <w:r w:rsidR="00562836">
        <w:rPr>
          <w:rFonts w:eastAsia="Times New Roman"/>
          <w:i/>
          <w:szCs w:val="22"/>
          <w:lang w:val="fr-FR" w:eastAsia="en-US"/>
        </w:rPr>
        <w:t>’</w:t>
      </w:r>
      <w:r w:rsidR="00062D7F" w:rsidRPr="00780334">
        <w:rPr>
          <w:rFonts w:eastAsia="Times New Roman"/>
          <w:i/>
          <w:szCs w:val="22"/>
          <w:lang w:val="fr-FR" w:eastAsia="en-US"/>
        </w:rPr>
        <w:t>Équipe d</w:t>
      </w:r>
      <w:r w:rsidR="00562836">
        <w:rPr>
          <w:rFonts w:eastAsia="Times New Roman"/>
          <w:i/>
          <w:szCs w:val="22"/>
          <w:lang w:val="fr-FR" w:eastAsia="en-US"/>
        </w:rPr>
        <w:t>’</w:t>
      </w:r>
      <w:r w:rsidR="00062D7F" w:rsidRPr="00780334">
        <w:rPr>
          <w:rFonts w:eastAsia="Times New Roman"/>
          <w:i/>
          <w:szCs w:val="22"/>
          <w:lang w:val="fr-FR" w:eastAsia="en-US"/>
        </w:rPr>
        <w:t xml:space="preserve">experts chargée de la situation juridique examinera </w:t>
      </w:r>
      <w:r w:rsidR="00881931" w:rsidRPr="00780334">
        <w:rPr>
          <w:rFonts w:eastAsia="Times New Roman"/>
          <w:i/>
          <w:szCs w:val="22"/>
          <w:lang w:val="fr-FR" w:eastAsia="en-US"/>
        </w:rPr>
        <w:t>plus avant l</w:t>
      </w:r>
      <w:r w:rsidR="00062D7F" w:rsidRPr="00780334">
        <w:rPr>
          <w:rFonts w:eastAsia="Times New Roman"/>
          <w:i/>
          <w:szCs w:val="22"/>
          <w:lang w:val="fr-FR" w:eastAsia="en-US"/>
        </w:rPr>
        <w:t>es propositions relatives à l</w:t>
      </w:r>
      <w:r w:rsidR="00562836">
        <w:rPr>
          <w:rFonts w:eastAsia="Times New Roman"/>
          <w:i/>
          <w:szCs w:val="22"/>
          <w:lang w:val="fr-FR" w:eastAsia="en-US"/>
        </w:rPr>
        <w:t>’</w:t>
      </w:r>
      <w:r w:rsidR="00062D7F" w:rsidRPr="00780334">
        <w:rPr>
          <w:rFonts w:eastAsia="Times New Roman"/>
          <w:i/>
          <w:szCs w:val="22"/>
          <w:lang w:val="fr-FR" w:eastAsia="en-US"/>
        </w:rPr>
        <w:t xml:space="preserve">utilisation des caractères réservés </w:t>
      </w:r>
      <w:r w:rsidR="00881931" w:rsidRPr="00780334">
        <w:rPr>
          <w:rFonts w:eastAsia="Times New Roman"/>
          <w:i/>
          <w:szCs w:val="22"/>
          <w:lang w:val="fr-FR" w:eastAsia="en-US"/>
        </w:rPr>
        <w:t>après la sept</w:t>
      </w:r>
      <w:r w:rsidR="00562836">
        <w:rPr>
          <w:rFonts w:eastAsia="Times New Roman"/>
          <w:i/>
          <w:szCs w:val="22"/>
          <w:lang w:val="fr-FR" w:eastAsia="en-US"/>
        </w:rPr>
        <w:t>ième session</w:t>
      </w:r>
      <w:r w:rsidR="001B1667" w:rsidRPr="00780334">
        <w:rPr>
          <w:rFonts w:eastAsia="Times New Roman"/>
          <w:i/>
          <w:szCs w:val="22"/>
          <w:lang w:val="fr-FR" w:eastAsia="en-US"/>
        </w:rPr>
        <w:t xml:space="preserve"> du</w:t>
      </w:r>
      <w:r w:rsidR="001B1667">
        <w:rPr>
          <w:rFonts w:eastAsia="Times New Roman"/>
          <w:i/>
          <w:szCs w:val="22"/>
          <w:lang w:val="fr-FR" w:eastAsia="en-US"/>
        </w:rPr>
        <w:t> </w:t>
      </w:r>
      <w:r w:rsidR="001B1667" w:rsidRPr="00780334">
        <w:rPr>
          <w:rFonts w:eastAsia="Times New Roman"/>
          <w:i/>
          <w:szCs w:val="22"/>
          <w:lang w:val="fr-FR" w:eastAsia="en-US"/>
        </w:rPr>
        <w:t>CWS</w:t>
      </w:r>
      <w:r w:rsidR="00881931" w:rsidRPr="00780334">
        <w:rPr>
          <w:rFonts w:eastAsia="Times New Roman"/>
          <w:i/>
          <w:szCs w:val="22"/>
          <w:lang w:val="fr-FR" w:eastAsia="en-US"/>
        </w:rPr>
        <w:t>, puis</w:t>
      </w:r>
      <w:r w:rsidR="00062D7F" w:rsidRPr="00780334">
        <w:rPr>
          <w:rFonts w:eastAsia="Times New Roman"/>
          <w:i/>
          <w:szCs w:val="22"/>
          <w:lang w:val="fr-FR" w:eastAsia="en-US"/>
        </w:rPr>
        <w:t xml:space="preserve"> présentera </w:t>
      </w:r>
      <w:r w:rsidR="00881931" w:rsidRPr="00780334">
        <w:rPr>
          <w:rFonts w:eastAsia="Times New Roman"/>
          <w:i/>
          <w:szCs w:val="22"/>
          <w:lang w:val="fr-FR" w:eastAsia="en-US"/>
        </w:rPr>
        <w:t>à la huit</w:t>
      </w:r>
      <w:r w:rsidR="00562836">
        <w:rPr>
          <w:rFonts w:eastAsia="Times New Roman"/>
          <w:i/>
          <w:szCs w:val="22"/>
          <w:lang w:val="fr-FR" w:eastAsia="en-US"/>
        </w:rPr>
        <w:t>ième session</w:t>
      </w:r>
      <w:r w:rsidR="001B1667" w:rsidRPr="00780334">
        <w:rPr>
          <w:rFonts w:eastAsia="Times New Roman"/>
          <w:i/>
          <w:szCs w:val="22"/>
          <w:lang w:val="fr-FR" w:eastAsia="en-US"/>
        </w:rPr>
        <w:t xml:space="preserve"> du</w:t>
      </w:r>
      <w:r w:rsidR="001B1667">
        <w:rPr>
          <w:rFonts w:eastAsia="Times New Roman"/>
          <w:i/>
          <w:szCs w:val="22"/>
          <w:lang w:val="fr-FR" w:eastAsia="en-US"/>
        </w:rPr>
        <w:t> </w:t>
      </w:r>
      <w:r w:rsidR="001B1667" w:rsidRPr="00780334">
        <w:rPr>
          <w:rFonts w:eastAsia="Times New Roman"/>
          <w:i/>
          <w:szCs w:val="22"/>
          <w:lang w:val="fr-FR" w:eastAsia="en-US"/>
        </w:rPr>
        <w:t>CWS</w:t>
      </w:r>
      <w:r w:rsidR="00881931" w:rsidRPr="00780334">
        <w:rPr>
          <w:rFonts w:eastAsia="Times New Roman"/>
          <w:i/>
          <w:szCs w:val="22"/>
          <w:lang w:val="fr-FR" w:eastAsia="en-US"/>
        </w:rPr>
        <w:t xml:space="preserve"> </w:t>
      </w:r>
      <w:r w:rsidR="00062D7F" w:rsidRPr="00780334">
        <w:rPr>
          <w:rFonts w:eastAsia="Times New Roman"/>
          <w:i/>
          <w:szCs w:val="22"/>
          <w:lang w:val="fr-FR" w:eastAsia="en-US"/>
        </w:rPr>
        <w:t xml:space="preserve">un rapport sur </w:t>
      </w:r>
      <w:r w:rsidR="00E44D87">
        <w:rPr>
          <w:rFonts w:eastAsia="Times New Roman"/>
          <w:i/>
          <w:szCs w:val="22"/>
          <w:lang w:val="fr-FR" w:eastAsia="en-US"/>
        </w:rPr>
        <w:t>les</w:t>
      </w:r>
      <w:r w:rsidR="00062D7F" w:rsidRPr="00780334">
        <w:rPr>
          <w:rFonts w:eastAsia="Times New Roman"/>
          <w:i/>
          <w:szCs w:val="22"/>
          <w:lang w:val="fr-FR" w:eastAsia="en-US"/>
        </w:rPr>
        <w:t xml:space="preserve"> proposition</w:t>
      </w:r>
      <w:r w:rsidR="00E44D87">
        <w:rPr>
          <w:rFonts w:eastAsia="Times New Roman"/>
          <w:i/>
          <w:szCs w:val="22"/>
          <w:lang w:val="fr-FR" w:eastAsia="en-US"/>
        </w:rPr>
        <w:t>s qui auront été approuvées</w:t>
      </w:r>
      <w:r w:rsidR="00E80D1A">
        <w:rPr>
          <w:rFonts w:eastAsia="Times New Roman"/>
          <w:i/>
          <w:szCs w:val="22"/>
          <w:lang w:val="fr-FR" w:eastAsia="en-US"/>
        </w:rPr>
        <w:t xml:space="preserve">.  </w:t>
      </w:r>
      <w:r w:rsidR="00881931" w:rsidRPr="00780334">
        <w:rPr>
          <w:rFonts w:eastAsia="Times New Roman"/>
          <w:i/>
          <w:szCs w:val="22"/>
          <w:lang w:val="fr-FR" w:eastAsia="en-US"/>
        </w:rPr>
        <w:t>Si aucune proposition n</w:t>
      </w:r>
      <w:r w:rsidR="00562836">
        <w:rPr>
          <w:rFonts w:eastAsia="Times New Roman"/>
          <w:i/>
          <w:szCs w:val="22"/>
          <w:lang w:val="fr-FR" w:eastAsia="en-US"/>
        </w:rPr>
        <w:t>’</w:t>
      </w:r>
      <w:r w:rsidR="00881931" w:rsidRPr="00780334">
        <w:rPr>
          <w:rFonts w:eastAsia="Times New Roman"/>
          <w:i/>
          <w:szCs w:val="22"/>
          <w:lang w:val="fr-FR" w:eastAsia="en-US"/>
        </w:rPr>
        <w:t>était approuvée par l</w:t>
      </w:r>
      <w:r w:rsidR="00562836">
        <w:rPr>
          <w:rFonts w:eastAsia="Times New Roman"/>
          <w:i/>
          <w:szCs w:val="22"/>
          <w:lang w:val="fr-FR" w:eastAsia="en-US"/>
        </w:rPr>
        <w:t>’</w:t>
      </w:r>
      <w:r w:rsidR="00881931" w:rsidRPr="00780334">
        <w:rPr>
          <w:rFonts w:eastAsia="Times New Roman"/>
          <w:i/>
          <w:szCs w:val="22"/>
          <w:lang w:val="fr-FR" w:eastAsia="en-US"/>
        </w:rPr>
        <w:t>équipe d</w:t>
      </w:r>
      <w:r w:rsidR="00562836">
        <w:rPr>
          <w:rFonts w:eastAsia="Times New Roman"/>
          <w:i/>
          <w:szCs w:val="22"/>
          <w:lang w:val="fr-FR" w:eastAsia="en-US"/>
        </w:rPr>
        <w:t>’</w:t>
      </w:r>
      <w:r w:rsidR="00881931" w:rsidRPr="00780334">
        <w:rPr>
          <w:rFonts w:eastAsia="Times New Roman"/>
          <w:i/>
          <w:szCs w:val="22"/>
          <w:lang w:val="fr-FR" w:eastAsia="en-US"/>
        </w:rPr>
        <w:t xml:space="preserve">experts, </w:t>
      </w:r>
      <w:r w:rsidR="00DF3C5B" w:rsidRPr="00780334">
        <w:rPr>
          <w:rFonts w:eastAsia="Times New Roman"/>
          <w:i/>
          <w:szCs w:val="22"/>
          <w:lang w:val="fr-FR" w:eastAsia="en-US"/>
        </w:rPr>
        <w:t>les caractères réservés ne serai</w:t>
      </w:r>
      <w:r w:rsidR="00F574FC">
        <w:rPr>
          <w:rFonts w:eastAsia="Times New Roman"/>
          <w:i/>
          <w:szCs w:val="22"/>
          <w:lang w:val="fr-FR" w:eastAsia="en-US"/>
        </w:rPr>
        <w:t>en</w:t>
      </w:r>
      <w:r w:rsidR="00DF3C5B" w:rsidRPr="00780334">
        <w:rPr>
          <w:rFonts w:eastAsia="Times New Roman"/>
          <w:i/>
          <w:szCs w:val="22"/>
          <w:lang w:val="fr-FR" w:eastAsia="en-US"/>
        </w:rPr>
        <w:t>t toujours pas utilisés</w:t>
      </w:r>
      <w:r w:rsidR="00E44D87">
        <w:rPr>
          <w:rFonts w:eastAsia="Times New Roman"/>
          <w:i/>
          <w:szCs w:val="22"/>
          <w:lang w:val="fr-FR" w:eastAsia="en-US"/>
        </w:rPr>
        <w:t>,</w:t>
      </w:r>
      <w:r w:rsidR="00DF3C5B" w:rsidRPr="00780334">
        <w:rPr>
          <w:rFonts w:eastAsia="Times New Roman"/>
          <w:i/>
          <w:szCs w:val="22"/>
          <w:lang w:val="fr-FR" w:eastAsia="en-US"/>
        </w:rPr>
        <w:t xml:space="preserve"> mais resteraient en place pour une utilisation future éventuelle</w:t>
      </w:r>
      <w:r w:rsidR="0061735B" w:rsidRPr="00780334">
        <w:rPr>
          <w:rFonts w:eastAsia="Times New Roman"/>
          <w:i/>
          <w:szCs w:val="22"/>
          <w:lang w:val="fr-FR" w:eastAsia="en-US"/>
        </w:rPr>
        <w:t>.</w:t>
      </w:r>
    </w:p>
    <w:p w14:paraId="314662F5" w14:textId="18D801C7" w:rsidR="00286340" w:rsidRPr="00780334" w:rsidRDefault="00DF3C5B" w:rsidP="00711378">
      <w:pPr>
        <w:pStyle w:val="ONUME"/>
        <w:keepNext/>
        <w:keepLines/>
        <w:tabs>
          <w:tab w:val="clear" w:pos="567"/>
          <w:tab w:val="num" w:pos="6663"/>
        </w:tabs>
        <w:ind w:left="5533"/>
        <w:rPr>
          <w:i/>
          <w:szCs w:val="22"/>
          <w:lang w:val="fr-FR"/>
        </w:rPr>
      </w:pPr>
      <w:r w:rsidRPr="00780334">
        <w:rPr>
          <w:i/>
          <w:szCs w:val="22"/>
          <w:lang w:val="fr-FR"/>
        </w:rPr>
        <w:t>Le CWS est invité</w:t>
      </w:r>
    </w:p>
    <w:p w14:paraId="19964FE3" w14:textId="43FE31F4" w:rsidR="00286340" w:rsidRPr="00780334" w:rsidRDefault="00FC7AE8" w:rsidP="00711378">
      <w:pPr>
        <w:pStyle w:val="BodyText"/>
        <w:keepNext/>
        <w:keepLines/>
        <w:tabs>
          <w:tab w:val="left" w:pos="6096"/>
          <w:tab w:val="left" w:pos="6600"/>
        </w:tabs>
        <w:ind w:left="5530"/>
        <w:rPr>
          <w:i/>
          <w:szCs w:val="22"/>
          <w:lang w:val="fr-FR"/>
        </w:rPr>
      </w:pPr>
      <w:r w:rsidRPr="00780334">
        <w:rPr>
          <w:szCs w:val="22"/>
          <w:lang w:val="fr-FR"/>
        </w:rPr>
        <w:tab/>
      </w:r>
      <w:r w:rsidRPr="00780334">
        <w:rPr>
          <w:i/>
          <w:szCs w:val="22"/>
          <w:lang w:val="fr-FR"/>
        </w:rPr>
        <w:t>a)</w:t>
      </w:r>
      <w:r w:rsidRPr="00780334">
        <w:rPr>
          <w:i/>
          <w:szCs w:val="22"/>
          <w:lang w:val="fr-FR"/>
        </w:rPr>
        <w:tab/>
      </w:r>
      <w:r w:rsidR="00DF3C5B" w:rsidRPr="00780334">
        <w:rPr>
          <w:i/>
          <w:szCs w:val="22"/>
          <w:lang w:val="fr-FR"/>
        </w:rPr>
        <w:t xml:space="preserve">à prendre note du contenu du </w:t>
      </w:r>
      <w:r w:rsidR="00F574FC" w:rsidRPr="00780334">
        <w:rPr>
          <w:i/>
          <w:szCs w:val="22"/>
          <w:lang w:val="fr-FR"/>
        </w:rPr>
        <w:t>présent</w:t>
      </w:r>
      <w:r w:rsidR="00DF3C5B" w:rsidRPr="00780334">
        <w:rPr>
          <w:i/>
          <w:szCs w:val="22"/>
          <w:lang w:val="fr-FR"/>
        </w:rPr>
        <w:t xml:space="preserve"> document</w:t>
      </w:r>
      <w:r w:rsidRPr="00780334">
        <w:rPr>
          <w:i/>
          <w:szCs w:val="22"/>
          <w:lang w:val="fr-FR"/>
        </w:rPr>
        <w:t>;</w:t>
      </w:r>
    </w:p>
    <w:p w14:paraId="6EA9C32E" w14:textId="69502E8B" w:rsidR="00286340" w:rsidRPr="00780334" w:rsidRDefault="00FC7AE8" w:rsidP="00711378">
      <w:pPr>
        <w:pStyle w:val="BodyText"/>
        <w:keepNext/>
        <w:keepLines/>
        <w:tabs>
          <w:tab w:val="left" w:pos="6096"/>
          <w:tab w:val="left" w:pos="6600"/>
        </w:tabs>
        <w:ind w:left="5528"/>
        <w:rPr>
          <w:i/>
          <w:szCs w:val="22"/>
          <w:lang w:val="fr-FR"/>
        </w:rPr>
      </w:pPr>
      <w:r w:rsidRPr="00780334">
        <w:rPr>
          <w:i/>
          <w:szCs w:val="22"/>
          <w:lang w:val="fr-FR"/>
        </w:rPr>
        <w:tab/>
        <w:t>b)</w:t>
      </w:r>
      <w:r w:rsidRPr="00780334">
        <w:rPr>
          <w:i/>
          <w:szCs w:val="22"/>
          <w:lang w:val="fr-FR"/>
        </w:rPr>
        <w:tab/>
      </w:r>
      <w:r w:rsidR="00DF3C5B" w:rsidRPr="00780334">
        <w:rPr>
          <w:i/>
          <w:szCs w:val="22"/>
          <w:lang w:val="fr-FR"/>
        </w:rPr>
        <w:t xml:space="preserve">à examiner et approuver la proposition de </w:t>
      </w:r>
      <w:r w:rsidR="00F574FC" w:rsidRPr="00780334">
        <w:rPr>
          <w:i/>
          <w:szCs w:val="22"/>
          <w:lang w:val="fr-FR"/>
        </w:rPr>
        <w:t>révision</w:t>
      </w:r>
      <w:r w:rsidR="00DF3C5B" w:rsidRPr="00780334">
        <w:rPr>
          <w:i/>
          <w:szCs w:val="22"/>
          <w:lang w:val="fr-FR"/>
        </w:rPr>
        <w:t xml:space="preserve"> de la partie principale de la norme</w:t>
      </w:r>
      <w:r w:rsidR="00C95F81">
        <w:rPr>
          <w:i/>
          <w:szCs w:val="22"/>
          <w:lang w:val="fr-FR"/>
        </w:rPr>
        <w:t> </w:t>
      </w:r>
      <w:r w:rsidR="00DF3C5B" w:rsidRPr="00780334">
        <w:rPr>
          <w:i/>
          <w:szCs w:val="22"/>
          <w:lang w:val="fr-FR"/>
        </w:rPr>
        <w:t>ST.27 de l</w:t>
      </w:r>
      <w:r w:rsidR="00562836">
        <w:rPr>
          <w:i/>
          <w:szCs w:val="22"/>
          <w:lang w:val="fr-FR"/>
        </w:rPr>
        <w:t>’</w:t>
      </w:r>
      <w:r w:rsidR="00DF3C5B" w:rsidRPr="00780334">
        <w:rPr>
          <w:i/>
          <w:szCs w:val="22"/>
          <w:lang w:val="fr-FR"/>
        </w:rPr>
        <w:t>OMPI</w:t>
      </w:r>
      <w:r w:rsidRPr="00780334">
        <w:rPr>
          <w:i/>
          <w:szCs w:val="22"/>
          <w:lang w:val="fr-FR"/>
        </w:rPr>
        <w:t xml:space="preserve">, </w:t>
      </w:r>
      <w:r w:rsidR="00DF3C5B" w:rsidRPr="00780334">
        <w:rPr>
          <w:i/>
          <w:szCs w:val="22"/>
          <w:lang w:val="fr-FR"/>
        </w:rPr>
        <w:t>mentionnée au paragraphe</w:t>
      </w:r>
      <w:r w:rsidR="00C95F81">
        <w:rPr>
          <w:i/>
          <w:szCs w:val="22"/>
          <w:lang w:val="fr-FR"/>
        </w:rPr>
        <w:t> </w:t>
      </w:r>
      <w:r w:rsidR="00DF3C5B" w:rsidRPr="00780334">
        <w:rPr>
          <w:i/>
          <w:szCs w:val="22"/>
          <w:lang w:val="fr-FR"/>
        </w:rPr>
        <w:t>24</w:t>
      </w:r>
      <w:r w:rsidRPr="00780334">
        <w:rPr>
          <w:i/>
          <w:szCs w:val="22"/>
          <w:lang w:val="fr-FR"/>
        </w:rPr>
        <w:t>;</w:t>
      </w:r>
    </w:p>
    <w:p w14:paraId="190D2292" w14:textId="6E326079" w:rsidR="00286340" w:rsidRPr="00780334" w:rsidRDefault="00DF3C5B" w:rsidP="00711378">
      <w:pPr>
        <w:pStyle w:val="BodyText"/>
        <w:keepNext/>
        <w:keepLines/>
        <w:tabs>
          <w:tab w:val="left" w:pos="6096"/>
          <w:tab w:val="left" w:pos="6600"/>
        </w:tabs>
        <w:ind w:left="5528"/>
        <w:rPr>
          <w:i/>
          <w:szCs w:val="22"/>
          <w:lang w:val="fr-FR"/>
        </w:rPr>
      </w:pPr>
      <w:r w:rsidRPr="00780334">
        <w:rPr>
          <w:i/>
          <w:szCs w:val="22"/>
          <w:lang w:val="fr-FR"/>
        </w:rPr>
        <w:tab/>
      </w:r>
      <w:r w:rsidR="00430BAB" w:rsidRPr="00780334">
        <w:rPr>
          <w:i/>
          <w:szCs w:val="22"/>
          <w:lang w:val="fr-FR"/>
        </w:rPr>
        <w:t>c</w:t>
      </w:r>
      <w:r w:rsidR="00395431" w:rsidRPr="00780334">
        <w:rPr>
          <w:i/>
          <w:szCs w:val="22"/>
          <w:lang w:val="fr-FR"/>
        </w:rPr>
        <w:t>)</w:t>
      </w:r>
      <w:r w:rsidR="00395431" w:rsidRPr="00780334">
        <w:rPr>
          <w:i/>
          <w:szCs w:val="22"/>
          <w:lang w:val="fr-FR"/>
        </w:rPr>
        <w:tab/>
      </w:r>
      <w:r w:rsidRPr="00780334">
        <w:rPr>
          <w:i/>
          <w:szCs w:val="22"/>
          <w:lang w:val="fr-FR"/>
        </w:rPr>
        <w:t xml:space="preserve">à examiner et approuver la proposition de </w:t>
      </w:r>
      <w:r w:rsidR="00F574FC" w:rsidRPr="00780334">
        <w:rPr>
          <w:i/>
          <w:szCs w:val="22"/>
          <w:lang w:val="fr-FR"/>
        </w:rPr>
        <w:t>révision</w:t>
      </w:r>
      <w:r w:rsidRPr="00780334">
        <w:rPr>
          <w:i/>
          <w:szCs w:val="22"/>
          <w:lang w:val="fr-FR"/>
        </w:rPr>
        <w:t xml:space="preserve"> de l</w:t>
      </w:r>
      <w:r w:rsidR="00562836">
        <w:rPr>
          <w:i/>
          <w:szCs w:val="22"/>
          <w:lang w:val="fr-FR"/>
        </w:rPr>
        <w:t>’</w:t>
      </w:r>
      <w:r w:rsidR="001B1667" w:rsidRPr="00780334">
        <w:rPr>
          <w:i/>
          <w:szCs w:val="22"/>
          <w:lang w:val="fr-FR"/>
        </w:rPr>
        <w:t>annexe</w:t>
      </w:r>
      <w:r w:rsidR="001B1667">
        <w:rPr>
          <w:i/>
          <w:szCs w:val="22"/>
          <w:lang w:val="fr-FR"/>
        </w:rPr>
        <w:t> </w:t>
      </w:r>
      <w:r w:rsidR="001B1667" w:rsidRPr="00780334">
        <w:rPr>
          <w:i/>
          <w:szCs w:val="22"/>
          <w:lang w:val="fr-FR"/>
        </w:rPr>
        <w:t>I</w:t>
      </w:r>
      <w:r w:rsidR="00B46864" w:rsidRPr="00780334">
        <w:rPr>
          <w:i/>
          <w:szCs w:val="22"/>
          <w:lang w:val="fr-FR"/>
        </w:rPr>
        <w:t>,</w:t>
      </w:r>
      <w:r w:rsidR="00395431" w:rsidRPr="00780334">
        <w:rPr>
          <w:i/>
          <w:szCs w:val="22"/>
          <w:lang w:val="fr-FR"/>
        </w:rPr>
        <w:t xml:space="preserve"> </w:t>
      </w:r>
      <w:r w:rsidRPr="00780334">
        <w:rPr>
          <w:i/>
          <w:szCs w:val="22"/>
          <w:lang w:val="fr-FR"/>
        </w:rPr>
        <w:t xml:space="preserve">ainsi que les mises à jour </w:t>
      </w:r>
      <w:r w:rsidR="00F574FC" w:rsidRPr="00780334">
        <w:rPr>
          <w:i/>
          <w:szCs w:val="22"/>
          <w:lang w:val="fr-FR"/>
        </w:rPr>
        <w:t>correspondantes</w:t>
      </w:r>
      <w:r w:rsidRPr="00780334">
        <w:rPr>
          <w:i/>
          <w:szCs w:val="22"/>
          <w:lang w:val="fr-FR"/>
        </w:rPr>
        <w:t xml:space="preserve"> à l</w:t>
      </w:r>
      <w:r w:rsidR="00562836">
        <w:rPr>
          <w:i/>
          <w:szCs w:val="22"/>
          <w:lang w:val="fr-FR"/>
        </w:rPr>
        <w:t>’</w:t>
      </w:r>
      <w:r w:rsidRPr="00780334">
        <w:rPr>
          <w:i/>
          <w:szCs w:val="22"/>
          <w:lang w:val="fr-FR"/>
        </w:rPr>
        <w:t>annexe</w:t>
      </w:r>
      <w:r w:rsidR="00C95F81">
        <w:rPr>
          <w:i/>
          <w:szCs w:val="22"/>
          <w:lang w:val="fr-FR"/>
        </w:rPr>
        <w:t> </w:t>
      </w:r>
      <w:r w:rsidRPr="00780334">
        <w:rPr>
          <w:i/>
          <w:szCs w:val="22"/>
          <w:lang w:val="fr-FR"/>
        </w:rPr>
        <w:t>II, de la norme</w:t>
      </w:r>
      <w:r w:rsidR="00C95F81">
        <w:rPr>
          <w:i/>
          <w:szCs w:val="22"/>
          <w:lang w:val="fr-FR"/>
        </w:rPr>
        <w:t> </w:t>
      </w:r>
      <w:r w:rsidRPr="00780334">
        <w:rPr>
          <w:i/>
          <w:szCs w:val="22"/>
          <w:lang w:val="fr-FR"/>
        </w:rPr>
        <w:t>ST.27 de l</w:t>
      </w:r>
      <w:r w:rsidR="00562836">
        <w:rPr>
          <w:i/>
          <w:szCs w:val="22"/>
          <w:lang w:val="fr-FR"/>
        </w:rPr>
        <w:t>’</w:t>
      </w:r>
      <w:r w:rsidRPr="00780334">
        <w:rPr>
          <w:i/>
          <w:szCs w:val="22"/>
          <w:lang w:val="fr-FR"/>
        </w:rPr>
        <w:t>OMPI</w:t>
      </w:r>
      <w:r w:rsidR="00395431" w:rsidRPr="00780334">
        <w:rPr>
          <w:i/>
          <w:szCs w:val="22"/>
          <w:lang w:val="fr-FR"/>
        </w:rPr>
        <w:t xml:space="preserve">, </w:t>
      </w:r>
      <w:r w:rsidRPr="00780334">
        <w:rPr>
          <w:i/>
          <w:szCs w:val="22"/>
          <w:lang w:val="fr-FR"/>
        </w:rPr>
        <w:t>mentionnée</w:t>
      </w:r>
      <w:r w:rsidR="00E44D87">
        <w:rPr>
          <w:i/>
          <w:szCs w:val="22"/>
          <w:lang w:val="fr-FR"/>
        </w:rPr>
        <w:t>s</w:t>
      </w:r>
      <w:r w:rsidRPr="00780334">
        <w:rPr>
          <w:i/>
          <w:szCs w:val="22"/>
          <w:lang w:val="fr-FR"/>
        </w:rPr>
        <w:t xml:space="preserve"> aux paragraphes</w:t>
      </w:r>
      <w:r w:rsidR="00C95F81">
        <w:rPr>
          <w:i/>
          <w:szCs w:val="22"/>
          <w:lang w:val="fr-FR"/>
        </w:rPr>
        <w:t> </w:t>
      </w:r>
      <w:r w:rsidRPr="00780334">
        <w:rPr>
          <w:i/>
          <w:szCs w:val="22"/>
          <w:lang w:val="fr-FR"/>
        </w:rPr>
        <w:t>4 à 8</w:t>
      </w:r>
      <w:r w:rsidR="00395431" w:rsidRPr="00780334">
        <w:rPr>
          <w:i/>
          <w:szCs w:val="22"/>
          <w:lang w:val="fr-FR"/>
        </w:rPr>
        <w:t>;</w:t>
      </w:r>
    </w:p>
    <w:p w14:paraId="54D87DB4" w14:textId="39EB148D" w:rsidR="00286340" w:rsidRPr="00780334" w:rsidRDefault="00DF3C5B" w:rsidP="00711378">
      <w:pPr>
        <w:pStyle w:val="BodyText"/>
        <w:keepNext/>
        <w:keepLines/>
        <w:tabs>
          <w:tab w:val="left" w:pos="6096"/>
          <w:tab w:val="left" w:pos="6600"/>
        </w:tabs>
        <w:ind w:left="5530"/>
        <w:rPr>
          <w:i/>
          <w:szCs w:val="22"/>
          <w:lang w:val="fr-FR"/>
        </w:rPr>
      </w:pPr>
      <w:r w:rsidRPr="00780334">
        <w:rPr>
          <w:i/>
          <w:szCs w:val="22"/>
          <w:lang w:val="fr-FR"/>
        </w:rPr>
        <w:tab/>
      </w:r>
      <w:r w:rsidR="00430BAB" w:rsidRPr="00780334">
        <w:rPr>
          <w:i/>
          <w:szCs w:val="22"/>
          <w:lang w:val="fr-FR"/>
        </w:rPr>
        <w:t>d</w:t>
      </w:r>
      <w:r w:rsidR="00007E96" w:rsidRPr="00780334">
        <w:rPr>
          <w:i/>
          <w:szCs w:val="22"/>
          <w:lang w:val="fr-FR"/>
        </w:rPr>
        <w:t>)</w:t>
      </w:r>
      <w:r w:rsidR="00007E96" w:rsidRPr="00780334">
        <w:rPr>
          <w:i/>
          <w:szCs w:val="22"/>
          <w:lang w:val="fr-FR"/>
        </w:rPr>
        <w:tab/>
      </w:r>
      <w:r w:rsidRPr="00780334">
        <w:rPr>
          <w:i/>
          <w:szCs w:val="22"/>
          <w:lang w:val="fr-FR"/>
        </w:rPr>
        <w:t>à examiner et approuver la proposition de nouveau document d</w:t>
      </w:r>
      <w:r w:rsidR="00562836">
        <w:rPr>
          <w:i/>
          <w:szCs w:val="22"/>
          <w:lang w:val="fr-FR"/>
        </w:rPr>
        <w:t>’</w:t>
      </w:r>
      <w:r w:rsidRPr="00780334">
        <w:rPr>
          <w:i/>
          <w:szCs w:val="22"/>
          <w:lang w:val="fr-FR"/>
        </w:rPr>
        <w:t>orientation contenant des exemples de sc</w:t>
      </w:r>
      <w:r w:rsidR="00C95F81">
        <w:rPr>
          <w:i/>
          <w:szCs w:val="22"/>
          <w:lang w:val="fr-FR"/>
        </w:rPr>
        <w:t>é</w:t>
      </w:r>
      <w:r w:rsidRPr="00780334">
        <w:rPr>
          <w:i/>
          <w:szCs w:val="22"/>
          <w:lang w:val="fr-FR"/>
        </w:rPr>
        <w:t>narios courants</w:t>
      </w:r>
      <w:r w:rsidR="00FA08C3">
        <w:rPr>
          <w:i/>
          <w:szCs w:val="22"/>
          <w:lang w:val="fr-FR"/>
        </w:rPr>
        <w:t>, qui ferait l</w:t>
      </w:r>
      <w:r w:rsidR="00562836">
        <w:rPr>
          <w:i/>
          <w:szCs w:val="22"/>
          <w:lang w:val="fr-FR"/>
        </w:rPr>
        <w:t>’</w:t>
      </w:r>
      <w:r w:rsidR="00FA08C3">
        <w:rPr>
          <w:i/>
          <w:szCs w:val="22"/>
          <w:lang w:val="fr-FR"/>
        </w:rPr>
        <w:t>objet de l</w:t>
      </w:r>
      <w:r w:rsidR="00562836">
        <w:rPr>
          <w:i/>
          <w:szCs w:val="22"/>
          <w:lang w:val="fr-FR"/>
        </w:rPr>
        <w:t>’</w:t>
      </w:r>
      <w:r w:rsidR="001B1667" w:rsidRPr="00780334">
        <w:rPr>
          <w:i/>
          <w:szCs w:val="22"/>
          <w:lang w:val="fr-FR"/>
        </w:rPr>
        <w:t>annexe</w:t>
      </w:r>
      <w:r w:rsidR="001B1667">
        <w:rPr>
          <w:i/>
          <w:szCs w:val="22"/>
          <w:lang w:val="fr-FR"/>
        </w:rPr>
        <w:t> </w:t>
      </w:r>
      <w:r w:rsidR="001B1667" w:rsidRPr="00780334">
        <w:rPr>
          <w:i/>
          <w:szCs w:val="22"/>
          <w:lang w:val="fr-FR"/>
        </w:rPr>
        <w:t>V</w:t>
      </w:r>
      <w:r w:rsidRPr="00780334">
        <w:rPr>
          <w:i/>
          <w:szCs w:val="22"/>
          <w:lang w:val="fr-FR"/>
        </w:rPr>
        <w:t xml:space="preserve"> de la norme</w:t>
      </w:r>
      <w:r w:rsidR="00C95F81">
        <w:rPr>
          <w:i/>
          <w:szCs w:val="22"/>
          <w:lang w:val="fr-FR"/>
        </w:rPr>
        <w:t> </w:t>
      </w:r>
      <w:r w:rsidRPr="00780334">
        <w:rPr>
          <w:i/>
          <w:szCs w:val="22"/>
          <w:lang w:val="fr-FR"/>
        </w:rPr>
        <w:t>ST.27 de l</w:t>
      </w:r>
      <w:r w:rsidR="00562836">
        <w:rPr>
          <w:i/>
          <w:szCs w:val="22"/>
          <w:lang w:val="fr-FR"/>
        </w:rPr>
        <w:t>’</w:t>
      </w:r>
      <w:r w:rsidRPr="00780334">
        <w:rPr>
          <w:i/>
          <w:szCs w:val="22"/>
          <w:lang w:val="fr-FR"/>
        </w:rPr>
        <w:t>OMPI, mentionnée aux paragraphes</w:t>
      </w:r>
      <w:r w:rsidR="00C95F81">
        <w:rPr>
          <w:i/>
          <w:szCs w:val="22"/>
          <w:lang w:val="fr-FR"/>
        </w:rPr>
        <w:t> </w:t>
      </w:r>
      <w:r w:rsidRPr="00780334">
        <w:rPr>
          <w:i/>
          <w:szCs w:val="22"/>
          <w:lang w:val="fr-FR"/>
        </w:rPr>
        <w:t>10 à 12 et reproduite à l</w:t>
      </w:r>
      <w:r w:rsidR="00562836">
        <w:rPr>
          <w:i/>
          <w:szCs w:val="22"/>
          <w:lang w:val="fr-FR"/>
        </w:rPr>
        <w:t>’</w:t>
      </w:r>
      <w:r w:rsidR="001B1667" w:rsidRPr="00780334">
        <w:rPr>
          <w:i/>
          <w:szCs w:val="22"/>
          <w:lang w:val="fr-FR"/>
        </w:rPr>
        <w:t>annexe</w:t>
      </w:r>
      <w:r w:rsidR="001B1667">
        <w:rPr>
          <w:i/>
          <w:szCs w:val="22"/>
          <w:lang w:val="fr-FR"/>
        </w:rPr>
        <w:t> </w:t>
      </w:r>
      <w:r w:rsidR="001B1667" w:rsidRPr="00780334">
        <w:rPr>
          <w:i/>
          <w:szCs w:val="22"/>
          <w:lang w:val="fr-FR"/>
        </w:rPr>
        <w:t>I</w:t>
      </w:r>
      <w:r w:rsidRPr="00780334">
        <w:rPr>
          <w:i/>
          <w:szCs w:val="22"/>
          <w:lang w:val="fr-FR"/>
        </w:rPr>
        <w:t xml:space="preserve"> du </w:t>
      </w:r>
      <w:r w:rsidR="00F574FC" w:rsidRPr="00780334">
        <w:rPr>
          <w:i/>
          <w:szCs w:val="22"/>
          <w:lang w:val="fr-FR"/>
        </w:rPr>
        <w:t>présent</w:t>
      </w:r>
      <w:r w:rsidRPr="00780334">
        <w:rPr>
          <w:i/>
          <w:szCs w:val="22"/>
          <w:lang w:val="fr-FR"/>
        </w:rPr>
        <w:t xml:space="preserve"> document, et à </w:t>
      </w:r>
      <w:r w:rsidR="00E44D87">
        <w:rPr>
          <w:i/>
          <w:szCs w:val="22"/>
          <w:lang w:val="fr-FR"/>
        </w:rPr>
        <w:t xml:space="preserve">renuméroter </w:t>
      </w:r>
      <w:r w:rsidRPr="00780334">
        <w:rPr>
          <w:i/>
          <w:szCs w:val="22"/>
          <w:lang w:val="fr-FR"/>
        </w:rPr>
        <w:t>l</w:t>
      </w:r>
      <w:r w:rsidR="00562836">
        <w:rPr>
          <w:i/>
          <w:szCs w:val="22"/>
          <w:lang w:val="fr-FR"/>
        </w:rPr>
        <w:t>’</w:t>
      </w:r>
      <w:r w:rsidR="001B1667" w:rsidRPr="00780334">
        <w:rPr>
          <w:i/>
          <w:szCs w:val="22"/>
          <w:lang w:val="fr-FR"/>
        </w:rPr>
        <w:t>annexe</w:t>
      </w:r>
      <w:r w:rsidR="001B1667">
        <w:rPr>
          <w:i/>
          <w:szCs w:val="22"/>
          <w:lang w:val="fr-FR"/>
        </w:rPr>
        <w:t> </w:t>
      </w:r>
      <w:r w:rsidR="001B1667" w:rsidRPr="00780334">
        <w:rPr>
          <w:i/>
          <w:szCs w:val="22"/>
          <w:lang w:val="fr-FR"/>
        </w:rPr>
        <w:t>V</w:t>
      </w:r>
      <w:r w:rsidRPr="00780334">
        <w:rPr>
          <w:i/>
          <w:szCs w:val="22"/>
          <w:lang w:val="fr-FR"/>
        </w:rPr>
        <w:t xml:space="preserve"> </w:t>
      </w:r>
      <w:r w:rsidR="00E44D87">
        <w:rPr>
          <w:i/>
          <w:szCs w:val="22"/>
          <w:lang w:val="fr-FR"/>
        </w:rPr>
        <w:t>pour qu</w:t>
      </w:r>
      <w:r w:rsidR="00562836">
        <w:rPr>
          <w:i/>
          <w:szCs w:val="22"/>
          <w:lang w:val="fr-FR"/>
        </w:rPr>
        <w:t>’</w:t>
      </w:r>
      <w:r w:rsidR="00E44D87">
        <w:rPr>
          <w:i/>
          <w:szCs w:val="22"/>
          <w:lang w:val="fr-FR"/>
        </w:rPr>
        <w:t>elle devienne</w:t>
      </w:r>
      <w:r w:rsidRPr="00780334">
        <w:rPr>
          <w:i/>
          <w:szCs w:val="22"/>
          <w:lang w:val="fr-FR"/>
        </w:rPr>
        <w:t xml:space="preserve"> l</w:t>
      </w:r>
      <w:r w:rsidR="00562836">
        <w:rPr>
          <w:i/>
          <w:szCs w:val="22"/>
          <w:lang w:val="fr-FR"/>
        </w:rPr>
        <w:t>’</w:t>
      </w:r>
      <w:r w:rsidRPr="00780334">
        <w:rPr>
          <w:i/>
          <w:szCs w:val="22"/>
          <w:lang w:val="fr-FR"/>
        </w:rPr>
        <w:t>annexe</w:t>
      </w:r>
      <w:r w:rsidR="00C95F81">
        <w:rPr>
          <w:i/>
          <w:szCs w:val="22"/>
          <w:lang w:val="fr-FR"/>
        </w:rPr>
        <w:t> </w:t>
      </w:r>
      <w:r w:rsidR="00E44D87">
        <w:rPr>
          <w:i/>
          <w:szCs w:val="22"/>
          <w:lang w:val="fr-FR"/>
        </w:rPr>
        <w:t>VI, en la renommant</w:t>
      </w:r>
      <w:r w:rsidRPr="00780334">
        <w:rPr>
          <w:i/>
          <w:szCs w:val="22"/>
          <w:lang w:val="fr-FR"/>
        </w:rPr>
        <w:t xml:space="preserve"> “Document d</w:t>
      </w:r>
      <w:r w:rsidR="00562836">
        <w:rPr>
          <w:i/>
          <w:szCs w:val="22"/>
          <w:lang w:val="fr-FR"/>
        </w:rPr>
        <w:t>’</w:t>
      </w:r>
      <w:r w:rsidRPr="00780334">
        <w:rPr>
          <w:i/>
          <w:szCs w:val="22"/>
          <w:lang w:val="fr-FR"/>
        </w:rPr>
        <w:t>orientation fondé sur les catégories</w:t>
      </w:r>
      <w:r w:rsidR="00E80D1A">
        <w:rPr>
          <w:i/>
          <w:szCs w:val="22"/>
          <w:lang w:val="fr-FR"/>
        </w:rPr>
        <w:t xml:space="preserve">;  </w:t>
      </w:r>
      <w:r w:rsidRPr="00780334">
        <w:rPr>
          <w:i/>
          <w:szCs w:val="22"/>
          <w:lang w:val="fr-FR"/>
        </w:rPr>
        <w:t>et</w:t>
      </w:r>
    </w:p>
    <w:p w14:paraId="19169E9B" w14:textId="60C7F07F" w:rsidR="00286340" w:rsidRPr="00780334" w:rsidRDefault="0043609E" w:rsidP="00711378">
      <w:pPr>
        <w:pStyle w:val="BodyText"/>
        <w:keepNext/>
        <w:keepLines/>
        <w:tabs>
          <w:tab w:val="left" w:pos="6096"/>
          <w:tab w:val="left" w:pos="6600"/>
        </w:tabs>
        <w:spacing w:after="0"/>
        <w:ind w:left="5528"/>
        <w:rPr>
          <w:i/>
          <w:szCs w:val="22"/>
          <w:lang w:val="fr-FR"/>
        </w:rPr>
      </w:pPr>
      <w:r w:rsidRPr="00780334">
        <w:rPr>
          <w:i/>
          <w:szCs w:val="22"/>
          <w:lang w:val="fr-FR"/>
        </w:rPr>
        <w:tab/>
      </w:r>
      <w:r w:rsidR="00430BAB" w:rsidRPr="00780334">
        <w:rPr>
          <w:i/>
          <w:szCs w:val="22"/>
          <w:lang w:val="fr-FR"/>
        </w:rPr>
        <w:t>e</w:t>
      </w:r>
      <w:r w:rsidRPr="00780334">
        <w:rPr>
          <w:i/>
          <w:szCs w:val="22"/>
          <w:lang w:val="fr-FR"/>
        </w:rPr>
        <w:t>)</w:t>
      </w:r>
      <w:r w:rsidRPr="00780334">
        <w:rPr>
          <w:i/>
          <w:szCs w:val="22"/>
          <w:lang w:val="fr-FR"/>
        </w:rPr>
        <w:tab/>
      </w:r>
      <w:r w:rsidR="003F6A6C" w:rsidRPr="00780334">
        <w:rPr>
          <w:i/>
          <w:szCs w:val="22"/>
          <w:lang w:val="fr-FR"/>
        </w:rPr>
        <w:t xml:space="preserve">à formuler des observations sur les utilisations possibles du champ </w:t>
      </w:r>
      <w:r w:rsidR="00F574FC" w:rsidRPr="00780334">
        <w:rPr>
          <w:i/>
          <w:szCs w:val="22"/>
          <w:lang w:val="fr-FR"/>
        </w:rPr>
        <w:t>réservé</w:t>
      </w:r>
      <w:r w:rsidR="003F6A6C" w:rsidRPr="00780334">
        <w:rPr>
          <w:i/>
          <w:szCs w:val="22"/>
          <w:lang w:val="fr-FR"/>
        </w:rPr>
        <w:t xml:space="preserve"> ou des 15</w:t>
      </w:r>
      <w:r w:rsidR="00C95F81">
        <w:rPr>
          <w:i/>
          <w:szCs w:val="22"/>
          <w:lang w:val="fr-FR"/>
        </w:rPr>
        <w:t> </w:t>
      </w:r>
      <w:r w:rsidR="003F6A6C" w:rsidRPr="00780334">
        <w:rPr>
          <w:i/>
          <w:szCs w:val="22"/>
          <w:lang w:val="fr-FR"/>
        </w:rPr>
        <w:t xml:space="preserve">extensions </w:t>
      </w:r>
      <w:r w:rsidR="00C95F81">
        <w:rPr>
          <w:i/>
          <w:szCs w:val="22"/>
          <w:lang w:val="fr-FR"/>
        </w:rPr>
        <w:t>proposés</w:t>
      </w:r>
      <w:r w:rsidR="003F6A6C" w:rsidRPr="00780334">
        <w:rPr>
          <w:i/>
          <w:szCs w:val="22"/>
          <w:lang w:val="fr-FR"/>
        </w:rPr>
        <w:t xml:space="preserve"> par le Bureau international, mentionnés aux paragraphes</w:t>
      </w:r>
      <w:r w:rsidR="00C95F81">
        <w:rPr>
          <w:i/>
          <w:szCs w:val="22"/>
          <w:lang w:val="fr-FR"/>
        </w:rPr>
        <w:t> </w:t>
      </w:r>
      <w:r w:rsidR="003F6A6C" w:rsidRPr="00780334">
        <w:rPr>
          <w:i/>
          <w:szCs w:val="22"/>
          <w:lang w:val="fr-FR"/>
        </w:rPr>
        <w:t>15 à 18</w:t>
      </w:r>
      <w:r w:rsidR="00E44D87">
        <w:rPr>
          <w:i/>
          <w:szCs w:val="22"/>
          <w:lang w:val="fr-FR"/>
        </w:rPr>
        <w:t xml:space="preserve"> et</w:t>
      </w:r>
      <w:r w:rsidR="003F6A6C" w:rsidRPr="00780334">
        <w:rPr>
          <w:i/>
          <w:szCs w:val="22"/>
          <w:lang w:val="fr-FR"/>
        </w:rPr>
        <w:t xml:space="preserve"> 23 et 24</w:t>
      </w:r>
      <w:r w:rsidR="00B46864" w:rsidRPr="00780334">
        <w:rPr>
          <w:i/>
          <w:szCs w:val="22"/>
          <w:lang w:val="fr-FR"/>
        </w:rPr>
        <w:t>.</w:t>
      </w:r>
    </w:p>
    <w:p w14:paraId="13CF5F2D" w14:textId="77777777" w:rsidR="00286340" w:rsidRPr="00780334" w:rsidRDefault="00286340" w:rsidP="00711378">
      <w:pPr>
        <w:pStyle w:val="BodyText"/>
        <w:tabs>
          <w:tab w:val="left" w:pos="6050"/>
          <w:tab w:val="left" w:pos="6600"/>
        </w:tabs>
        <w:spacing w:after="0"/>
        <w:ind w:left="5947"/>
        <w:rPr>
          <w:szCs w:val="22"/>
          <w:lang w:val="fr-FR"/>
        </w:rPr>
      </w:pPr>
    </w:p>
    <w:p w14:paraId="15830409" w14:textId="77777777" w:rsidR="00286340" w:rsidRPr="00780334" w:rsidRDefault="00286340" w:rsidP="00711378">
      <w:pPr>
        <w:pStyle w:val="BodyText"/>
        <w:tabs>
          <w:tab w:val="left" w:pos="6050"/>
          <w:tab w:val="left" w:pos="6600"/>
        </w:tabs>
        <w:spacing w:after="0"/>
        <w:ind w:left="5947"/>
        <w:rPr>
          <w:szCs w:val="22"/>
          <w:lang w:val="fr-FR"/>
        </w:rPr>
      </w:pPr>
    </w:p>
    <w:p w14:paraId="22A98559" w14:textId="1CB307AE" w:rsidR="00286340" w:rsidRPr="00780334" w:rsidRDefault="00FC7AE8" w:rsidP="00477F21">
      <w:pPr>
        <w:pStyle w:val="Endofdocument-Annex"/>
        <w:rPr>
          <w:lang w:val="fr-FR"/>
        </w:rPr>
      </w:pPr>
      <w:r w:rsidRPr="00780334">
        <w:rPr>
          <w:lang w:val="fr-FR"/>
        </w:rPr>
        <w:t>[</w:t>
      </w:r>
      <w:r w:rsidR="003F6A6C" w:rsidRPr="00780334">
        <w:rPr>
          <w:lang w:val="fr-FR"/>
        </w:rPr>
        <w:t>L</w:t>
      </w:r>
      <w:r w:rsidR="00562836">
        <w:rPr>
          <w:lang w:val="fr-FR"/>
        </w:rPr>
        <w:t>’</w:t>
      </w:r>
      <w:r w:rsidR="001B1667" w:rsidRPr="00780334">
        <w:rPr>
          <w:lang w:val="fr-FR"/>
        </w:rPr>
        <w:t>annexe</w:t>
      </w:r>
      <w:r w:rsidR="001B1667">
        <w:rPr>
          <w:lang w:val="fr-FR"/>
        </w:rPr>
        <w:t> </w:t>
      </w:r>
      <w:r w:rsidR="001B1667" w:rsidRPr="00780334">
        <w:rPr>
          <w:lang w:val="fr-FR"/>
        </w:rPr>
        <w:t>I</w:t>
      </w:r>
      <w:r w:rsidR="003F6A6C" w:rsidRPr="00780334">
        <w:rPr>
          <w:lang w:val="fr-FR"/>
        </w:rPr>
        <w:t xml:space="preserve"> suit</w:t>
      </w:r>
      <w:r w:rsidR="004C3D58" w:rsidRPr="00780334">
        <w:rPr>
          <w:lang w:val="fr-FR"/>
        </w:rPr>
        <w:t xml:space="preserve"> (</w:t>
      </w:r>
      <w:r w:rsidR="001B1667" w:rsidRPr="00780334">
        <w:rPr>
          <w:lang w:val="fr-FR"/>
        </w:rPr>
        <w:t>annexe</w:t>
      </w:r>
      <w:r w:rsidR="001B1667">
        <w:rPr>
          <w:lang w:val="fr-FR"/>
        </w:rPr>
        <w:t> </w:t>
      </w:r>
      <w:r w:rsidR="001B1667" w:rsidRPr="00780334">
        <w:rPr>
          <w:lang w:val="fr-FR"/>
        </w:rPr>
        <w:t>V</w:t>
      </w:r>
      <w:r w:rsidR="003F6A6C" w:rsidRPr="00780334">
        <w:rPr>
          <w:lang w:val="fr-FR"/>
        </w:rPr>
        <w:t xml:space="preserve"> de la norme</w:t>
      </w:r>
      <w:r w:rsidR="00C95F81">
        <w:rPr>
          <w:lang w:val="fr-FR"/>
        </w:rPr>
        <w:t> </w:t>
      </w:r>
      <w:r w:rsidR="004C3D58" w:rsidRPr="00780334">
        <w:rPr>
          <w:lang w:val="fr-FR"/>
        </w:rPr>
        <w:t>ST.27)</w:t>
      </w:r>
      <w:r w:rsidRPr="00780334">
        <w:rPr>
          <w:lang w:val="fr-FR"/>
        </w:rPr>
        <w:t>]</w:t>
      </w:r>
    </w:p>
    <w:p w14:paraId="5C6D74E2" w14:textId="77777777" w:rsidR="00286340" w:rsidRPr="006541BC" w:rsidRDefault="00286340" w:rsidP="00711378">
      <w:pPr>
        <w:pStyle w:val="Endofdocument-Annex"/>
        <w:ind w:left="5400" w:firstLine="136"/>
        <w:rPr>
          <w:szCs w:val="22"/>
          <w:lang w:val="fr-CH"/>
        </w:rPr>
      </w:pPr>
    </w:p>
    <w:sectPr w:rsidR="00286340" w:rsidRPr="006541BC" w:rsidSect="00E80D1A">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81DAD" w14:textId="77777777" w:rsidR="005E46FD" w:rsidRDefault="005E46FD">
      <w:r>
        <w:separator/>
      </w:r>
    </w:p>
  </w:endnote>
  <w:endnote w:type="continuationSeparator" w:id="0">
    <w:p w14:paraId="66D5E9C8" w14:textId="77777777" w:rsidR="005E46FD" w:rsidRDefault="005E46FD" w:rsidP="003B38C1">
      <w:r>
        <w:separator/>
      </w:r>
    </w:p>
    <w:p w14:paraId="37768270" w14:textId="77777777" w:rsidR="005E46FD" w:rsidRPr="003B38C1" w:rsidRDefault="005E46FD" w:rsidP="003B38C1">
      <w:pPr>
        <w:spacing w:after="60"/>
        <w:rPr>
          <w:sz w:val="17"/>
        </w:rPr>
      </w:pPr>
      <w:r>
        <w:rPr>
          <w:sz w:val="17"/>
        </w:rPr>
        <w:t>[Endnote continued from previous page]</w:t>
      </w:r>
    </w:p>
  </w:endnote>
  <w:endnote w:type="continuationNotice" w:id="1">
    <w:p w14:paraId="5EFA86A0" w14:textId="77777777" w:rsidR="005E46FD" w:rsidRPr="003B38C1" w:rsidRDefault="005E46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CFCB3" w14:textId="77777777" w:rsidR="005E46FD" w:rsidRDefault="005E46FD">
      <w:r>
        <w:separator/>
      </w:r>
    </w:p>
  </w:footnote>
  <w:footnote w:type="continuationSeparator" w:id="0">
    <w:p w14:paraId="402A22A0" w14:textId="77777777" w:rsidR="005E46FD" w:rsidRDefault="005E46FD" w:rsidP="008B60B2">
      <w:r>
        <w:separator/>
      </w:r>
    </w:p>
    <w:p w14:paraId="2B7F2859" w14:textId="77777777" w:rsidR="005E46FD" w:rsidRPr="00ED77FB" w:rsidRDefault="005E46FD" w:rsidP="008B60B2">
      <w:pPr>
        <w:spacing w:after="60"/>
        <w:rPr>
          <w:sz w:val="17"/>
          <w:szCs w:val="17"/>
        </w:rPr>
      </w:pPr>
      <w:r w:rsidRPr="00ED77FB">
        <w:rPr>
          <w:sz w:val="17"/>
          <w:szCs w:val="17"/>
        </w:rPr>
        <w:t>[Footnote continued from previous page]</w:t>
      </w:r>
    </w:p>
  </w:footnote>
  <w:footnote w:type="continuationNotice" w:id="1">
    <w:p w14:paraId="3146F902" w14:textId="77777777" w:rsidR="005E46FD" w:rsidRPr="00ED77FB" w:rsidRDefault="005E46F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CA41" w14:textId="49A75978" w:rsidR="00EC4E49" w:rsidRDefault="005E46FD" w:rsidP="00477D6B">
    <w:pPr>
      <w:jc w:val="right"/>
    </w:pPr>
    <w:bookmarkStart w:id="8" w:name="Code2"/>
    <w:bookmarkEnd w:id="8"/>
    <w:r>
      <w:t>CWS/7/</w:t>
    </w:r>
    <w:r w:rsidR="00B25B08">
      <w:t>12</w:t>
    </w:r>
  </w:p>
  <w:p w14:paraId="776E01EB" w14:textId="3E313B07" w:rsidR="00EC4E49" w:rsidRDefault="00EC4E49" w:rsidP="00477D6B">
    <w:pPr>
      <w:jc w:val="right"/>
    </w:pPr>
    <w:r>
      <w:t>page</w:t>
    </w:r>
    <w:r w:rsidR="00C95F81">
      <w:t> </w:t>
    </w:r>
    <w:r>
      <w:fldChar w:fldCharType="begin"/>
    </w:r>
    <w:r>
      <w:instrText xml:space="preserve"> PAGE  \* MERGEFORMAT </w:instrText>
    </w:r>
    <w:r>
      <w:fldChar w:fldCharType="separate"/>
    </w:r>
    <w:r w:rsidR="00EC1E0A">
      <w:rPr>
        <w:noProof/>
      </w:rPr>
      <w:t>2</w:t>
    </w:r>
    <w:r>
      <w:fldChar w:fldCharType="end"/>
    </w:r>
  </w:p>
  <w:p w14:paraId="524C7A33" w14:textId="77777777" w:rsidR="00EC4E49" w:rsidRDefault="00EC4E49" w:rsidP="00477D6B">
    <w:pPr>
      <w:jc w:val="right"/>
    </w:pPr>
  </w:p>
  <w:p w14:paraId="5AF8CAAC"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D01D00"/>
    <w:multiLevelType w:val="hybridMultilevel"/>
    <w:tmpl w:val="28048020"/>
    <w:lvl w:ilvl="0" w:tplc="E1D8A5F4">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54D078B"/>
    <w:multiLevelType w:val="hybridMultilevel"/>
    <w:tmpl w:val="214E3802"/>
    <w:lvl w:ilvl="0" w:tplc="EFEE368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3446E1"/>
    <w:multiLevelType w:val="hybridMultilevel"/>
    <w:tmpl w:val="FF309928"/>
    <w:lvl w:ilvl="0" w:tplc="100C0017">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BA14D4"/>
    <w:multiLevelType w:val="hybridMultilevel"/>
    <w:tmpl w:val="5E3EED52"/>
    <w:lvl w:ilvl="0" w:tplc="3E1C4C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8694A"/>
    <w:multiLevelType w:val="hybridMultilevel"/>
    <w:tmpl w:val="394EC798"/>
    <w:lvl w:ilvl="0" w:tplc="3E1C4C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D0C43"/>
    <w:multiLevelType w:val="hybridMultilevel"/>
    <w:tmpl w:val="1424EC9C"/>
    <w:lvl w:ilvl="0" w:tplc="78E8C7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503E52"/>
    <w:multiLevelType w:val="hybridMultilevel"/>
    <w:tmpl w:val="4336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E656E"/>
    <w:multiLevelType w:val="hybridMultilevel"/>
    <w:tmpl w:val="E41A4A00"/>
    <w:lvl w:ilvl="0" w:tplc="EFEE36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13"/>
  </w:num>
  <w:num w:numId="8">
    <w:abstractNumId w:val="9"/>
  </w:num>
  <w:num w:numId="9">
    <w:abstractNumId w:val="11"/>
  </w:num>
  <w:num w:numId="10">
    <w:abstractNumId w:val="10"/>
  </w:num>
  <w:num w:numId="11">
    <w:abstractNumId w:val="1"/>
  </w:num>
  <w:num w:numId="12">
    <w:abstractNumId w:val="12"/>
  </w:num>
  <w:num w:numId="13">
    <w:abstractNumId w:val="1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UPOV_Beta|UPOVOld"/>
    <w:docVar w:name="TermBaseURL" w:val="empty"/>
    <w:docVar w:name="TextBases" w:val="TextBase TMs\WorkspaceFTS\Patents &amp; Innovation\CWS"/>
    <w:docVar w:name="TextBaseURL" w:val="empty"/>
    <w:docVar w:name="UILng" w:val="en"/>
  </w:docVars>
  <w:rsids>
    <w:rsidRoot w:val="005E46FD"/>
    <w:rsid w:val="000003A7"/>
    <w:rsid w:val="00007E96"/>
    <w:rsid w:val="00014519"/>
    <w:rsid w:val="00043CAA"/>
    <w:rsid w:val="0005398C"/>
    <w:rsid w:val="00062D7F"/>
    <w:rsid w:val="00064EBA"/>
    <w:rsid w:val="00065CCC"/>
    <w:rsid w:val="00075432"/>
    <w:rsid w:val="000808C4"/>
    <w:rsid w:val="00084C62"/>
    <w:rsid w:val="000968ED"/>
    <w:rsid w:val="000C243C"/>
    <w:rsid w:val="000C46AD"/>
    <w:rsid w:val="000D08AE"/>
    <w:rsid w:val="000F5E56"/>
    <w:rsid w:val="00111662"/>
    <w:rsid w:val="001254FE"/>
    <w:rsid w:val="00131569"/>
    <w:rsid w:val="001362EE"/>
    <w:rsid w:val="00146866"/>
    <w:rsid w:val="00147E49"/>
    <w:rsid w:val="00153DF0"/>
    <w:rsid w:val="0015499A"/>
    <w:rsid w:val="001567B8"/>
    <w:rsid w:val="00157BFF"/>
    <w:rsid w:val="001633F7"/>
    <w:rsid w:val="001647D5"/>
    <w:rsid w:val="00175347"/>
    <w:rsid w:val="00176105"/>
    <w:rsid w:val="001832A6"/>
    <w:rsid w:val="00190076"/>
    <w:rsid w:val="00196B78"/>
    <w:rsid w:val="001A0876"/>
    <w:rsid w:val="001A2212"/>
    <w:rsid w:val="001B1667"/>
    <w:rsid w:val="001B19B6"/>
    <w:rsid w:val="001C4A9D"/>
    <w:rsid w:val="00205460"/>
    <w:rsid w:val="0021217E"/>
    <w:rsid w:val="00212DF1"/>
    <w:rsid w:val="00212EA9"/>
    <w:rsid w:val="00232049"/>
    <w:rsid w:val="00243651"/>
    <w:rsid w:val="002634C4"/>
    <w:rsid w:val="0027399F"/>
    <w:rsid w:val="002847CA"/>
    <w:rsid w:val="00285DA9"/>
    <w:rsid w:val="00286340"/>
    <w:rsid w:val="00290477"/>
    <w:rsid w:val="002928D3"/>
    <w:rsid w:val="002B056C"/>
    <w:rsid w:val="002B3685"/>
    <w:rsid w:val="002C0E04"/>
    <w:rsid w:val="002C1A05"/>
    <w:rsid w:val="002C5E3D"/>
    <w:rsid w:val="002D14D4"/>
    <w:rsid w:val="002E049A"/>
    <w:rsid w:val="002E5683"/>
    <w:rsid w:val="002F1FE6"/>
    <w:rsid w:val="002F4E68"/>
    <w:rsid w:val="00300EC6"/>
    <w:rsid w:val="00312DD0"/>
    <w:rsid w:val="00312F7F"/>
    <w:rsid w:val="0031768F"/>
    <w:rsid w:val="00323DBC"/>
    <w:rsid w:val="00325746"/>
    <w:rsid w:val="00341E9D"/>
    <w:rsid w:val="00361450"/>
    <w:rsid w:val="003664C5"/>
    <w:rsid w:val="003673CF"/>
    <w:rsid w:val="00376D9A"/>
    <w:rsid w:val="003845C1"/>
    <w:rsid w:val="00392055"/>
    <w:rsid w:val="00395431"/>
    <w:rsid w:val="003965DA"/>
    <w:rsid w:val="003969B2"/>
    <w:rsid w:val="003A6F89"/>
    <w:rsid w:val="003A7994"/>
    <w:rsid w:val="003B38C1"/>
    <w:rsid w:val="003D16B8"/>
    <w:rsid w:val="003D3EC1"/>
    <w:rsid w:val="003E4806"/>
    <w:rsid w:val="003F6A6C"/>
    <w:rsid w:val="00402391"/>
    <w:rsid w:val="004050D9"/>
    <w:rsid w:val="00410803"/>
    <w:rsid w:val="004207A9"/>
    <w:rsid w:val="00423E3E"/>
    <w:rsid w:val="00427AF4"/>
    <w:rsid w:val="004300DA"/>
    <w:rsid w:val="00430BAB"/>
    <w:rsid w:val="00432A30"/>
    <w:rsid w:val="0043609E"/>
    <w:rsid w:val="004441D6"/>
    <w:rsid w:val="0044487F"/>
    <w:rsid w:val="004530DF"/>
    <w:rsid w:val="0046381F"/>
    <w:rsid w:val="004647DA"/>
    <w:rsid w:val="00464958"/>
    <w:rsid w:val="00465B0A"/>
    <w:rsid w:val="00474062"/>
    <w:rsid w:val="00476D38"/>
    <w:rsid w:val="00476E41"/>
    <w:rsid w:val="00477D6B"/>
    <w:rsid w:val="00477F21"/>
    <w:rsid w:val="00481349"/>
    <w:rsid w:val="004842A5"/>
    <w:rsid w:val="004A511F"/>
    <w:rsid w:val="004B3029"/>
    <w:rsid w:val="004C3716"/>
    <w:rsid w:val="004C3D58"/>
    <w:rsid w:val="004E41DF"/>
    <w:rsid w:val="004F0BDC"/>
    <w:rsid w:val="004F585B"/>
    <w:rsid w:val="005019FF"/>
    <w:rsid w:val="00503131"/>
    <w:rsid w:val="005267C0"/>
    <w:rsid w:val="00527B84"/>
    <w:rsid w:val="0053057A"/>
    <w:rsid w:val="00531F28"/>
    <w:rsid w:val="00533710"/>
    <w:rsid w:val="00537308"/>
    <w:rsid w:val="005522A3"/>
    <w:rsid w:val="00560A29"/>
    <w:rsid w:val="00562836"/>
    <w:rsid w:val="00566704"/>
    <w:rsid w:val="00574440"/>
    <w:rsid w:val="00580EAF"/>
    <w:rsid w:val="0059189B"/>
    <w:rsid w:val="00595D4C"/>
    <w:rsid w:val="00597290"/>
    <w:rsid w:val="005A428E"/>
    <w:rsid w:val="005C6649"/>
    <w:rsid w:val="005E46FD"/>
    <w:rsid w:val="005E6187"/>
    <w:rsid w:val="005F35AB"/>
    <w:rsid w:val="005F6639"/>
    <w:rsid w:val="006043E9"/>
    <w:rsid w:val="00605827"/>
    <w:rsid w:val="0061735B"/>
    <w:rsid w:val="0064043D"/>
    <w:rsid w:val="00646050"/>
    <w:rsid w:val="00652E74"/>
    <w:rsid w:val="006541BC"/>
    <w:rsid w:val="00665108"/>
    <w:rsid w:val="00665811"/>
    <w:rsid w:val="006713CA"/>
    <w:rsid w:val="00672E1D"/>
    <w:rsid w:val="00674433"/>
    <w:rsid w:val="00676C5C"/>
    <w:rsid w:val="006834D5"/>
    <w:rsid w:val="00683B3E"/>
    <w:rsid w:val="006B2394"/>
    <w:rsid w:val="006E7AD3"/>
    <w:rsid w:val="00701FBF"/>
    <w:rsid w:val="0070669D"/>
    <w:rsid w:val="00711378"/>
    <w:rsid w:val="00711817"/>
    <w:rsid w:val="00715EAB"/>
    <w:rsid w:val="007457D3"/>
    <w:rsid w:val="00760837"/>
    <w:rsid w:val="007653F6"/>
    <w:rsid w:val="0077256C"/>
    <w:rsid w:val="00774C04"/>
    <w:rsid w:val="00780334"/>
    <w:rsid w:val="00791531"/>
    <w:rsid w:val="007C3EA1"/>
    <w:rsid w:val="007D1613"/>
    <w:rsid w:val="007D2A6F"/>
    <w:rsid w:val="007D7318"/>
    <w:rsid w:val="007E0FFD"/>
    <w:rsid w:val="007E1B1A"/>
    <w:rsid w:val="007E4C0E"/>
    <w:rsid w:val="0081768A"/>
    <w:rsid w:val="008457F6"/>
    <w:rsid w:val="00853248"/>
    <w:rsid w:val="008632CF"/>
    <w:rsid w:val="00874547"/>
    <w:rsid w:val="00881931"/>
    <w:rsid w:val="0088228E"/>
    <w:rsid w:val="008A134B"/>
    <w:rsid w:val="008A51AA"/>
    <w:rsid w:val="008B2CC1"/>
    <w:rsid w:val="008B60B2"/>
    <w:rsid w:val="008C0ABC"/>
    <w:rsid w:val="008C4543"/>
    <w:rsid w:val="008C7F85"/>
    <w:rsid w:val="008D21BB"/>
    <w:rsid w:val="008E2A98"/>
    <w:rsid w:val="008E7688"/>
    <w:rsid w:val="0090731E"/>
    <w:rsid w:val="0090786D"/>
    <w:rsid w:val="00911497"/>
    <w:rsid w:val="00913804"/>
    <w:rsid w:val="00916EE2"/>
    <w:rsid w:val="00920795"/>
    <w:rsid w:val="00946D8F"/>
    <w:rsid w:val="00954CAD"/>
    <w:rsid w:val="00966A22"/>
    <w:rsid w:val="0096722F"/>
    <w:rsid w:val="009802F8"/>
    <w:rsid w:val="00980843"/>
    <w:rsid w:val="009846F6"/>
    <w:rsid w:val="009868E1"/>
    <w:rsid w:val="009A0DB4"/>
    <w:rsid w:val="009C7DB0"/>
    <w:rsid w:val="009D1C50"/>
    <w:rsid w:val="009E2791"/>
    <w:rsid w:val="009E3F6F"/>
    <w:rsid w:val="009F499F"/>
    <w:rsid w:val="00A05D16"/>
    <w:rsid w:val="00A157B2"/>
    <w:rsid w:val="00A174A9"/>
    <w:rsid w:val="00A2292E"/>
    <w:rsid w:val="00A273EE"/>
    <w:rsid w:val="00A34459"/>
    <w:rsid w:val="00A37342"/>
    <w:rsid w:val="00A42DAF"/>
    <w:rsid w:val="00A45BD8"/>
    <w:rsid w:val="00A6556A"/>
    <w:rsid w:val="00A7231A"/>
    <w:rsid w:val="00A73C60"/>
    <w:rsid w:val="00A7790F"/>
    <w:rsid w:val="00A84A61"/>
    <w:rsid w:val="00A853EC"/>
    <w:rsid w:val="00A869B7"/>
    <w:rsid w:val="00AA2D6D"/>
    <w:rsid w:val="00AA46DE"/>
    <w:rsid w:val="00AA65C5"/>
    <w:rsid w:val="00AB4632"/>
    <w:rsid w:val="00AC205C"/>
    <w:rsid w:val="00AD02A9"/>
    <w:rsid w:val="00AF0A6B"/>
    <w:rsid w:val="00B00D7A"/>
    <w:rsid w:val="00B02F96"/>
    <w:rsid w:val="00B05A69"/>
    <w:rsid w:val="00B25B08"/>
    <w:rsid w:val="00B40766"/>
    <w:rsid w:val="00B42F5D"/>
    <w:rsid w:val="00B46864"/>
    <w:rsid w:val="00B5522C"/>
    <w:rsid w:val="00B61F54"/>
    <w:rsid w:val="00B659F7"/>
    <w:rsid w:val="00B7085B"/>
    <w:rsid w:val="00B85C18"/>
    <w:rsid w:val="00B90537"/>
    <w:rsid w:val="00B95E19"/>
    <w:rsid w:val="00B9734B"/>
    <w:rsid w:val="00B973D6"/>
    <w:rsid w:val="00BA30E2"/>
    <w:rsid w:val="00BA3727"/>
    <w:rsid w:val="00BB2279"/>
    <w:rsid w:val="00BE5387"/>
    <w:rsid w:val="00C0065B"/>
    <w:rsid w:val="00C03A8F"/>
    <w:rsid w:val="00C06878"/>
    <w:rsid w:val="00C11BFE"/>
    <w:rsid w:val="00C1371B"/>
    <w:rsid w:val="00C2767E"/>
    <w:rsid w:val="00C32845"/>
    <w:rsid w:val="00C35501"/>
    <w:rsid w:val="00C5068F"/>
    <w:rsid w:val="00C51441"/>
    <w:rsid w:val="00C5338D"/>
    <w:rsid w:val="00C5635F"/>
    <w:rsid w:val="00C61A86"/>
    <w:rsid w:val="00C8647E"/>
    <w:rsid w:val="00C86D74"/>
    <w:rsid w:val="00C91799"/>
    <w:rsid w:val="00C95F81"/>
    <w:rsid w:val="00CA0137"/>
    <w:rsid w:val="00CB1577"/>
    <w:rsid w:val="00CB684D"/>
    <w:rsid w:val="00CC47C5"/>
    <w:rsid w:val="00CC7716"/>
    <w:rsid w:val="00CD04F1"/>
    <w:rsid w:val="00CD57D0"/>
    <w:rsid w:val="00CD59F2"/>
    <w:rsid w:val="00CF2641"/>
    <w:rsid w:val="00D05455"/>
    <w:rsid w:val="00D10F13"/>
    <w:rsid w:val="00D12C73"/>
    <w:rsid w:val="00D14DC9"/>
    <w:rsid w:val="00D3124F"/>
    <w:rsid w:val="00D45252"/>
    <w:rsid w:val="00D54640"/>
    <w:rsid w:val="00D54755"/>
    <w:rsid w:val="00D55089"/>
    <w:rsid w:val="00D6252A"/>
    <w:rsid w:val="00D63C1E"/>
    <w:rsid w:val="00D71B4D"/>
    <w:rsid w:val="00D81834"/>
    <w:rsid w:val="00D93D55"/>
    <w:rsid w:val="00DA6500"/>
    <w:rsid w:val="00DB2A3D"/>
    <w:rsid w:val="00DC7BA0"/>
    <w:rsid w:val="00DF3C5B"/>
    <w:rsid w:val="00E028E0"/>
    <w:rsid w:val="00E07CFE"/>
    <w:rsid w:val="00E15015"/>
    <w:rsid w:val="00E314AC"/>
    <w:rsid w:val="00E335FE"/>
    <w:rsid w:val="00E44D87"/>
    <w:rsid w:val="00E707F3"/>
    <w:rsid w:val="00E73E87"/>
    <w:rsid w:val="00E80D1A"/>
    <w:rsid w:val="00E834AD"/>
    <w:rsid w:val="00E83BE3"/>
    <w:rsid w:val="00E92C0C"/>
    <w:rsid w:val="00EA33F9"/>
    <w:rsid w:val="00EA3D78"/>
    <w:rsid w:val="00EA6799"/>
    <w:rsid w:val="00EA7D6E"/>
    <w:rsid w:val="00EC1E0A"/>
    <w:rsid w:val="00EC4E49"/>
    <w:rsid w:val="00ED77FB"/>
    <w:rsid w:val="00EE45FA"/>
    <w:rsid w:val="00EF3B54"/>
    <w:rsid w:val="00EF5545"/>
    <w:rsid w:val="00F05590"/>
    <w:rsid w:val="00F13B05"/>
    <w:rsid w:val="00F50AAB"/>
    <w:rsid w:val="00F574FC"/>
    <w:rsid w:val="00F62B85"/>
    <w:rsid w:val="00F66152"/>
    <w:rsid w:val="00F7369A"/>
    <w:rsid w:val="00F7440C"/>
    <w:rsid w:val="00F9539B"/>
    <w:rsid w:val="00FA08C3"/>
    <w:rsid w:val="00FC36BB"/>
    <w:rsid w:val="00FC7AE8"/>
    <w:rsid w:val="00FC7F5F"/>
    <w:rsid w:val="00FE259D"/>
    <w:rsid w:val="00FE2B6E"/>
    <w:rsid w:val="00FE67F3"/>
    <w:rsid w:val="00FE76CC"/>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44C4D66"/>
  <w15:docId w15:val="{3A5C24A9-FFF8-4A08-AF5A-6435E80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link w:val="ONUME"/>
    <w:rsid w:val="00FC7AE8"/>
    <w:rPr>
      <w:rFonts w:ascii="Arial" w:eastAsia="SimSun" w:hAnsi="Arial" w:cs="Arial"/>
      <w:sz w:val="22"/>
      <w:lang w:val="en-US" w:eastAsia="zh-CN"/>
    </w:rPr>
  </w:style>
  <w:style w:type="character" w:customStyle="1" w:styleId="BodyTextChar">
    <w:name w:val="Body Text Char"/>
    <w:basedOn w:val="DefaultParagraphFont"/>
    <w:link w:val="BodyText"/>
    <w:rsid w:val="00FC7AE8"/>
    <w:rPr>
      <w:rFonts w:ascii="Arial" w:eastAsia="SimSun" w:hAnsi="Arial" w:cs="Arial"/>
      <w:sz w:val="22"/>
      <w:lang w:val="en-US" w:eastAsia="zh-CN"/>
    </w:rPr>
  </w:style>
  <w:style w:type="paragraph" w:styleId="ListParagraph">
    <w:name w:val="List Paragraph"/>
    <w:basedOn w:val="Normal"/>
    <w:uiPriority w:val="34"/>
    <w:qFormat/>
    <w:rsid w:val="000D08AE"/>
    <w:pPr>
      <w:ind w:left="720"/>
      <w:contextualSpacing/>
    </w:pPr>
  </w:style>
  <w:style w:type="character" w:styleId="CommentReference">
    <w:name w:val="annotation reference"/>
    <w:basedOn w:val="DefaultParagraphFont"/>
    <w:uiPriority w:val="99"/>
    <w:unhideWhenUsed/>
    <w:rsid w:val="00C1371B"/>
    <w:rPr>
      <w:sz w:val="16"/>
      <w:szCs w:val="16"/>
    </w:rPr>
  </w:style>
  <w:style w:type="paragraph" w:styleId="CommentSubject">
    <w:name w:val="annotation subject"/>
    <w:basedOn w:val="CommentText"/>
    <w:next w:val="CommentText"/>
    <w:link w:val="CommentSubjectChar"/>
    <w:semiHidden/>
    <w:unhideWhenUsed/>
    <w:rsid w:val="00C1371B"/>
    <w:rPr>
      <w:b/>
      <w:bCs/>
      <w:sz w:val="20"/>
    </w:rPr>
  </w:style>
  <w:style w:type="character" w:customStyle="1" w:styleId="CommentTextChar">
    <w:name w:val="Comment Text Char"/>
    <w:basedOn w:val="DefaultParagraphFont"/>
    <w:link w:val="CommentText"/>
    <w:uiPriority w:val="99"/>
    <w:rsid w:val="00C1371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1371B"/>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FE76CC"/>
    <w:rPr>
      <w:rFonts w:ascii="Arial" w:eastAsia="SimSun" w:hAnsi="Arial" w:cs="Arial"/>
      <w:sz w:val="22"/>
      <w:lang w:val="en-US" w:eastAsia="zh-CN"/>
    </w:rPr>
  </w:style>
  <w:style w:type="character" w:customStyle="1" w:styleId="Heading3Char">
    <w:name w:val="Heading 3 Char"/>
    <w:basedOn w:val="DefaultParagraphFont"/>
    <w:link w:val="Heading3"/>
    <w:rsid w:val="000C243C"/>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300EC6"/>
    <w:rPr>
      <w:rFonts w:ascii="Arial" w:eastAsia="SimSun" w:hAnsi="Arial" w:cs="Arial"/>
      <w:bCs/>
      <w:i/>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2403">
      <w:bodyDiv w:val="1"/>
      <w:marLeft w:val="0"/>
      <w:marRight w:val="0"/>
      <w:marTop w:val="0"/>
      <w:marBottom w:val="0"/>
      <w:divBdr>
        <w:top w:val="none" w:sz="0" w:space="0" w:color="auto"/>
        <w:left w:val="none" w:sz="0" w:space="0" w:color="auto"/>
        <w:bottom w:val="none" w:sz="0" w:space="0" w:color="auto"/>
        <w:right w:val="none" w:sz="0" w:space="0" w:color="auto"/>
      </w:divBdr>
      <w:divsChild>
        <w:div w:id="906110455">
          <w:marLeft w:val="0"/>
          <w:marRight w:val="0"/>
          <w:marTop w:val="0"/>
          <w:marBottom w:val="0"/>
          <w:divBdr>
            <w:top w:val="none" w:sz="0" w:space="0" w:color="auto"/>
            <w:left w:val="none" w:sz="0" w:space="0" w:color="auto"/>
            <w:bottom w:val="none" w:sz="0" w:space="0" w:color="auto"/>
            <w:right w:val="none" w:sz="0" w:space="0" w:color="auto"/>
          </w:divBdr>
        </w:div>
        <w:div w:id="2077583267">
          <w:marLeft w:val="0"/>
          <w:marRight w:val="0"/>
          <w:marTop w:val="0"/>
          <w:marBottom w:val="0"/>
          <w:divBdr>
            <w:top w:val="none" w:sz="0" w:space="0" w:color="auto"/>
            <w:left w:val="none" w:sz="0" w:space="0" w:color="auto"/>
            <w:bottom w:val="none" w:sz="0" w:space="0" w:color="auto"/>
            <w:right w:val="none" w:sz="0" w:space="0" w:color="auto"/>
          </w:divBdr>
        </w:div>
        <w:div w:id="196285748">
          <w:marLeft w:val="0"/>
          <w:marRight w:val="0"/>
          <w:marTop w:val="0"/>
          <w:marBottom w:val="0"/>
          <w:divBdr>
            <w:top w:val="none" w:sz="0" w:space="0" w:color="auto"/>
            <w:left w:val="none" w:sz="0" w:space="0" w:color="auto"/>
            <w:bottom w:val="none" w:sz="0" w:space="0" w:color="auto"/>
            <w:right w:val="none" w:sz="0" w:space="0" w:color="auto"/>
          </w:divBdr>
        </w:div>
        <w:div w:id="88737854">
          <w:marLeft w:val="0"/>
          <w:marRight w:val="0"/>
          <w:marTop w:val="0"/>
          <w:marBottom w:val="0"/>
          <w:divBdr>
            <w:top w:val="none" w:sz="0" w:space="0" w:color="auto"/>
            <w:left w:val="none" w:sz="0" w:space="0" w:color="auto"/>
            <w:bottom w:val="none" w:sz="0" w:space="0" w:color="auto"/>
            <w:right w:val="none" w:sz="0" w:space="0" w:color="auto"/>
          </w:divBdr>
        </w:div>
      </w:divsChild>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81F4D-1304-45C4-A339-92FEBE10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7</Pages>
  <Words>3193</Words>
  <Characters>17528</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CWS/7/12 (in French)</vt:lpstr>
      <vt:lpstr>CWS/7/12 (in English)</vt:lpstr>
    </vt:vector>
  </TitlesOfParts>
  <Company>WIPO</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(in French)</dc:title>
  <dc:subject>REVISION DE LA NORME ST.27 DE L’OMPI</dc:subject>
  <dc:creator>WIPO</dc:creator>
  <cp:keywords>CWS, WIPO</cp:keywords>
  <cp:lastModifiedBy>DRAKE Sophie</cp:lastModifiedBy>
  <cp:revision>66</cp:revision>
  <cp:lastPrinted>2019-06-18T07:56:00Z</cp:lastPrinted>
  <dcterms:created xsi:type="dcterms:W3CDTF">2019-06-18T07:56:00Z</dcterms:created>
  <dcterms:modified xsi:type="dcterms:W3CDTF">2019-06-26T14:38:00Z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