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E4DFF" w:rsidRPr="008B2CC1" w:rsidTr="006A6562">
        <w:tc>
          <w:tcPr>
            <w:tcW w:w="4513" w:type="dxa"/>
            <w:tcBorders>
              <w:bottom w:val="single" w:sz="4" w:space="0" w:color="auto"/>
            </w:tcBorders>
            <w:tcMar>
              <w:bottom w:w="170" w:type="dxa"/>
            </w:tcMar>
          </w:tcPr>
          <w:p w:rsidR="00FE4DFF" w:rsidRPr="008B2CC1" w:rsidRDefault="00FE4DFF" w:rsidP="006A6562">
            <w:bookmarkStart w:id="0" w:name="TitleOfDoc"/>
            <w:bookmarkEnd w:id="0"/>
          </w:p>
        </w:tc>
        <w:tc>
          <w:tcPr>
            <w:tcW w:w="4337" w:type="dxa"/>
            <w:tcBorders>
              <w:bottom w:val="single" w:sz="4" w:space="0" w:color="auto"/>
            </w:tcBorders>
            <w:tcMar>
              <w:left w:w="0" w:type="dxa"/>
              <w:right w:w="0" w:type="dxa"/>
            </w:tcMar>
          </w:tcPr>
          <w:p w:rsidR="00FE4DFF" w:rsidRPr="008B2CC1" w:rsidRDefault="00FE4DFF" w:rsidP="006A6562">
            <w:r>
              <w:rPr>
                <w:noProof/>
                <w:lang w:eastAsia="en-US"/>
              </w:rPr>
              <w:drawing>
                <wp:inline distT="0" distB="0" distL="0" distR="0" wp14:anchorId="69CF5451" wp14:editId="51E28BE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E4DFF" w:rsidRPr="008B2CC1" w:rsidRDefault="00FE4DFF" w:rsidP="006A6562">
            <w:pPr>
              <w:jc w:val="right"/>
            </w:pPr>
            <w:r>
              <w:rPr>
                <w:b/>
                <w:sz w:val="40"/>
                <w:szCs w:val="40"/>
              </w:rPr>
              <w:t>F</w:t>
            </w:r>
          </w:p>
        </w:tc>
      </w:tr>
      <w:tr w:rsidR="00FE4DFF" w:rsidRPr="001832A6" w:rsidTr="006A6562">
        <w:trPr>
          <w:trHeight w:hRule="exact" w:val="357"/>
        </w:trPr>
        <w:tc>
          <w:tcPr>
            <w:tcW w:w="9356" w:type="dxa"/>
            <w:gridSpan w:val="3"/>
            <w:tcBorders>
              <w:top w:val="single" w:sz="4" w:space="0" w:color="auto"/>
            </w:tcBorders>
            <w:tcMar>
              <w:top w:w="170" w:type="dxa"/>
              <w:left w:w="0" w:type="dxa"/>
              <w:right w:w="0" w:type="dxa"/>
            </w:tcMar>
            <w:vAlign w:val="bottom"/>
          </w:tcPr>
          <w:p w:rsidR="00FE4DFF" w:rsidRPr="0090731E" w:rsidRDefault="00FE4DFF" w:rsidP="006A6562">
            <w:pPr>
              <w:jc w:val="right"/>
              <w:rPr>
                <w:rFonts w:ascii="Arial Black" w:hAnsi="Arial Black"/>
                <w:caps/>
                <w:sz w:val="15"/>
              </w:rPr>
            </w:pPr>
            <w:r>
              <w:rPr>
                <w:rFonts w:ascii="Arial Black" w:hAnsi="Arial Black"/>
                <w:caps/>
                <w:sz w:val="15"/>
              </w:rPr>
              <w:t>CWS/6/</w:t>
            </w:r>
            <w:bookmarkStart w:id="1" w:name="Code"/>
            <w:bookmarkEnd w:id="1"/>
            <w:r>
              <w:rPr>
                <w:rFonts w:ascii="Arial Black" w:hAnsi="Arial Black"/>
                <w:caps/>
                <w:sz w:val="15"/>
              </w:rPr>
              <w:t>28</w:t>
            </w:r>
          </w:p>
        </w:tc>
      </w:tr>
      <w:tr w:rsidR="00FE4DFF" w:rsidRPr="001832A6" w:rsidTr="006A6562">
        <w:trPr>
          <w:trHeight w:hRule="exact" w:val="170"/>
        </w:trPr>
        <w:tc>
          <w:tcPr>
            <w:tcW w:w="9356" w:type="dxa"/>
            <w:gridSpan w:val="3"/>
            <w:noWrap/>
            <w:tcMar>
              <w:left w:w="0" w:type="dxa"/>
              <w:right w:w="0" w:type="dxa"/>
            </w:tcMar>
            <w:vAlign w:val="bottom"/>
          </w:tcPr>
          <w:p w:rsidR="00FE4DFF" w:rsidRPr="0090731E" w:rsidRDefault="00FE4DFF" w:rsidP="006A656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FE4DFF" w:rsidRPr="001832A6" w:rsidTr="006A6562">
        <w:trPr>
          <w:trHeight w:hRule="exact" w:val="198"/>
        </w:trPr>
        <w:tc>
          <w:tcPr>
            <w:tcW w:w="9356" w:type="dxa"/>
            <w:gridSpan w:val="3"/>
            <w:tcMar>
              <w:left w:w="0" w:type="dxa"/>
              <w:right w:w="0" w:type="dxa"/>
            </w:tcMar>
            <w:vAlign w:val="bottom"/>
          </w:tcPr>
          <w:p w:rsidR="00FE4DFF" w:rsidRPr="0090731E" w:rsidRDefault="00FE4DFF" w:rsidP="006A656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8 août 2018</w:t>
            </w:r>
            <w:r w:rsidRPr="0090731E">
              <w:rPr>
                <w:rFonts w:ascii="Arial Black" w:hAnsi="Arial Black"/>
                <w:caps/>
                <w:sz w:val="15"/>
              </w:rPr>
              <w:t xml:space="preserve"> </w:t>
            </w:r>
          </w:p>
        </w:tc>
      </w:tr>
    </w:tbl>
    <w:p w:rsidR="00FE4DFF" w:rsidRPr="00FE4DFF" w:rsidRDefault="00FE4DFF" w:rsidP="00FE4DFF">
      <w:pPr>
        <w:spacing w:before="1200" w:after="600"/>
        <w:rPr>
          <w:b/>
          <w:sz w:val="28"/>
          <w:szCs w:val="28"/>
          <w:lang w:val="fr-FR"/>
        </w:rPr>
      </w:pPr>
      <w:r w:rsidRPr="00FE4DFF">
        <w:rPr>
          <w:b/>
          <w:sz w:val="28"/>
          <w:szCs w:val="28"/>
          <w:lang w:val="fr-FR"/>
        </w:rPr>
        <w:t>Comité des normes de l’OMPI (CWS)</w:t>
      </w:r>
    </w:p>
    <w:p w:rsidR="00FE4DFF" w:rsidRPr="00FE4DFF" w:rsidRDefault="00FE4DFF" w:rsidP="00FE4DFF">
      <w:pPr>
        <w:rPr>
          <w:b/>
          <w:sz w:val="24"/>
          <w:szCs w:val="24"/>
          <w:lang w:val="fr-FR"/>
        </w:rPr>
      </w:pPr>
      <w:r w:rsidRPr="00FE4DFF">
        <w:rPr>
          <w:b/>
          <w:sz w:val="24"/>
          <w:szCs w:val="24"/>
          <w:lang w:val="fr-FR"/>
        </w:rPr>
        <w:t>Sixième session</w:t>
      </w:r>
    </w:p>
    <w:p w:rsidR="00FE4DFF" w:rsidRPr="00FE4DFF" w:rsidRDefault="00FE4DFF" w:rsidP="00FE4DFF">
      <w:pPr>
        <w:rPr>
          <w:b/>
          <w:sz w:val="24"/>
          <w:szCs w:val="24"/>
          <w:lang w:val="fr-FR"/>
        </w:rPr>
      </w:pPr>
      <w:r w:rsidRPr="00FE4DFF">
        <w:rPr>
          <w:b/>
          <w:sz w:val="24"/>
          <w:szCs w:val="24"/>
          <w:lang w:val="fr-FR"/>
        </w:rPr>
        <w:t>Genève, 15 – 19 octobre 2018</w:t>
      </w:r>
    </w:p>
    <w:p w:rsidR="00CD67B8" w:rsidRPr="002A388B" w:rsidRDefault="00AD41EB" w:rsidP="002644E8">
      <w:pPr>
        <w:spacing w:before="720"/>
        <w:rPr>
          <w:caps/>
          <w:sz w:val="24"/>
          <w:lang w:val="fr-CH"/>
        </w:rPr>
      </w:pPr>
      <w:r w:rsidRPr="002A388B">
        <w:rPr>
          <w:sz w:val="24"/>
          <w:lang w:val="fr-CH"/>
        </w:rPr>
        <w:t>RAPPORT DE L</w:t>
      </w:r>
      <w:r w:rsidR="005421A1">
        <w:rPr>
          <w:sz w:val="24"/>
          <w:lang w:val="fr-CH"/>
        </w:rPr>
        <w:t>’</w:t>
      </w:r>
      <w:r w:rsidRPr="002A388B">
        <w:rPr>
          <w:sz w:val="24"/>
          <w:lang w:val="fr-CH"/>
        </w:rPr>
        <w:t>ÉQUIPE D</w:t>
      </w:r>
      <w:r w:rsidR="005421A1">
        <w:rPr>
          <w:sz w:val="24"/>
          <w:lang w:val="fr-CH"/>
        </w:rPr>
        <w:t>’</w:t>
      </w:r>
      <w:r w:rsidRPr="002A388B">
        <w:rPr>
          <w:sz w:val="24"/>
          <w:lang w:val="fr-CH"/>
        </w:rPr>
        <w:t>EXPERTS CHARGÉE DE LA REPRÉSENTATION DES DESSINS ET MODÈLES SUR LA TÂCHE N°</w:t>
      </w:r>
      <w:r w:rsidR="002644E8">
        <w:rPr>
          <w:sz w:val="24"/>
          <w:lang w:val="fr-CH"/>
        </w:rPr>
        <w:t> </w:t>
      </w:r>
      <w:r w:rsidRPr="002A388B">
        <w:rPr>
          <w:sz w:val="24"/>
          <w:lang w:val="fr-CH"/>
        </w:rPr>
        <w:t>57</w:t>
      </w:r>
    </w:p>
    <w:p w:rsidR="00CD67B8" w:rsidRPr="002A388B" w:rsidRDefault="00C406B9" w:rsidP="002644E8">
      <w:pPr>
        <w:spacing w:before="360" w:after="960"/>
        <w:rPr>
          <w:i/>
          <w:lang w:val="fr-CH"/>
        </w:rPr>
      </w:pPr>
      <w:bookmarkStart w:id="4" w:name="Prepared"/>
      <w:bookmarkEnd w:id="4"/>
      <w:r w:rsidRPr="002A388B">
        <w:rPr>
          <w:i/>
          <w:lang w:val="fr-CH"/>
        </w:rPr>
        <w:t>D</w:t>
      </w:r>
      <w:r w:rsidR="007D3FA3" w:rsidRPr="002A388B">
        <w:rPr>
          <w:i/>
          <w:lang w:val="fr-CH"/>
        </w:rPr>
        <w:t xml:space="preserve">ocument </w:t>
      </w:r>
      <w:r w:rsidR="00CE24C9" w:rsidRPr="002A388B">
        <w:rPr>
          <w:i/>
          <w:lang w:val="fr-CH"/>
        </w:rPr>
        <w:t>établi par</w:t>
      </w:r>
      <w:r w:rsidR="007D3FA3" w:rsidRPr="002A388B">
        <w:rPr>
          <w:i/>
          <w:lang w:val="fr-CH"/>
        </w:rPr>
        <w:t xml:space="preserve"> </w:t>
      </w:r>
      <w:r w:rsidR="00CE24C9" w:rsidRPr="002A388B">
        <w:rPr>
          <w:i/>
          <w:lang w:val="fr-CH"/>
        </w:rPr>
        <w:t>l</w:t>
      </w:r>
      <w:r w:rsidR="005421A1">
        <w:rPr>
          <w:i/>
          <w:lang w:val="fr-CH"/>
        </w:rPr>
        <w:t>’</w:t>
      </w:r>
      <w:r w:rsidR="000359F3" w:rsidRPr="002A388B">
        <w:rPr>
          <w:i/>
          <w:lang w:val="fr-CH"/>
        </w:rPr>
        <w:t>É</w:t>
      </w:r>
      <w:r w:rsidR="00CE24C9" w:rsidRPr="002A388B">
        <w:rPr>
          <w:i/>
          <w:lang w:val="fr-CH"/>
        </w:rPr>
        <w:t>quipe d</w:t>
      </w:r>
      <w:r w:rsidR="005421A1">
        <w:rPr>
          <w:i/>
          <w:lang w:val="fr-CH"/>
        </w:rPr>
        <w:t>’</w:t>
      </w:r>
      <w:r w:rsidR="00CE24C9" w:rsidRPr="002A388B">
        <w:rPr>
          <w:i/>
          <w:lang w:val="fr-CH"/>
        </w:rPr>
        <w:t>experts chargée de la représentation des dessins et modèles</w:t>
      </w:r>
    </w:p>
    <w:p w:rsidR="00CD67B8" w:rsidRPr="002A388B" w:rsidRDefault="002644E8" w:rsidP="002644E8">
      <w:pPr>
        <w:pStyle w:val="Heading2"/>
        <w:rPr>
          <w:lang w:val="fr-CH"/>
        </w:rPr>
      </w:pPr>
      <w:r w:rsidRPr="002A388B">
        <w:rPr>
          <w:lang w:val="fr-CH"/>
        </w:rPr>
        <w:t>Rappel</w:t>
      </w:r>
    </w:p>
    <w:p w:rsidR="00CD67B8" w:rsidRPr="002A388B" w:rsidRDefault="00234165" w:rsidP="00FE4DFF">
      <w:pPr>
        <w:pStyle w:val="ONUMFS"/>
        <w:rPr>
          <w:lang w:val="fr-CH"/>
        </w:rPr>
      </w:pPr>
      <w:r w:rsidRPr="002A388B">
        <w:rPr>
          <w:lang w:val="fr-CH"/>
        </w:rPr>
        <w:t>À sa cinqu</w:t>
      </w:r>
      <w:r w:rsidR="00813549">
        <w:rPr>
          <w:lang w:val="fr-CH"/>
        </w:rPr>
        <w:t>ième session</w:t>
      </w:r>
      <w:r w:rsidRPr="002A388B">
        <w:rPr>
          <w:lang w:val="fr-CH"/>
        </w:rPr>
        <w:t>, tenue à Genève du 2</w:t>
      </w:r>
      <w:r w:rsidR="00813549" w:rsidRPr="002A388B">
        <w:rPr>
          <w:lang w:val="fr-CH"/>
        </w:rPr>
        <w:t>9</w:t>
      </w:r>
      <w:r w:rsidR="00813549">
        <w:rPr>
          <w:lang w:val="fr-CH"/>
        </w:rPr>
        <w:t> </w:t>
      </w:r>
      <w:r w:rsidR="00813549" w:rsidRPr="002A388B">
        <w:rPr>
          <w:lang w:val="fr-CH"/>
        </w:rPr>
        <w:t xml:space="preserve">mai </w:t>
      </w:r>
      <w:r w:rsidRPr="002A388B">
        <w:rPr>
          <w:lang w:val="fr-CH"/>
        </w:rPr>
        <w:t xml:space="preserve">au </w:t>
      </w:r>
      <w:r w:rsidR="00813549" w:rsidRPr="002A388B">
        <w:rPr>
          <w:lang w:val="fr-CH"/>
        </w:rPr>
        <w:t>2</w:t>
      </w:r>
      <w:r w:rsidR="00813549">
        <w:rPr>
          <w:lang w:val="fr-CH"/>
        </w:rPr>
        <w:t> </w:t>
      </w:r>
      <w:r w:rsidR="00813549" w:rsidRPr="002A388B">
        <w:rPr>
          <w:lang w:val="fr-CH"/>
        </w:rPr>
        <w:t>juin</w:t>
      </w:r>
      <w:r w:rsidR="00813549">
        <w:rPr>
          <w:lang w:val="fr-CH"/>
        </w:rPr>
        <w:t> </w:t>
      </w:r>
      <w:r w:rsidR="00813549" w:rsidRPr="002A388B">
        <w:rPr>
          <w:lang w:val="fr-CH"/>
        </w:rPr>
        <w:t>20</w:t>
      </w:r>
      <w:r w:rsidRPr="002A388B">
        <w:rPr>
          <w:lang w:val="fr-CH"/>
        </w:rPr>
        <w:t>17, le Comité des normes de l</w:t>
      </w:r>
      <w:r w:rsidR="005421A1">
        <w:rPr>
          <w:lang w:val="fr-CH"/>
        </w:rPr>
        <w:t>’</w:t>
      </w:r>
      <w:r w:rsidRPr="002A388B">
        <w:rPr>
          <w:lang w:val="fr-CH"/>
        </w:rPr>
        <w:t>OMPI (CWS) a créé la tâche n°</w:t>
      </w:r>
      <w:r w:rsidR="00FF428F">
        <w:rPr>
          <w:lang w:val="fr-CH"/>
        </w:rPr>
        <w:t> </w:t>
      </w:r>
      <w:r w:rsidRPr="002A388B">
        <w:rPr>
          <w:lang w:val="fr-CH"/>
        </w:rPr>
        <w:t xml:space="preserve">57 en vue de </w:t>
      </w:r>
      <w:r w:rsidR="005421A1">
        <w:rPr>
          <w:lang w:val="fr-CH"/>
        </w:rPr>
        <w:t>“</w:t>
      </w:r>
      <w:r w:rsidR="00813549" w:rsidRPr="002A388B">
        <w:rPr>
          <w:lang w:val="fr-CH"/>
        </w:rPr>
        <w:t>r</w:t>
      </w:r>
      <w:r w:rsidRPr="002A388B">
        <w:rPr>
          <w:lang w:val="fr-CH"/>
        </w:rPr>
        <w:t xml:space="preserve">ecueillir des informations sur les exigences des offices de propriété industrielle et des clients; </w:t>
      </w:r>
      <w:r w:rsidR="00FF428F">
        <w:rPr>
          <w:lang w:val="fr-CH"/>
        </w:rPr>
        <w:t xml:space="preserve"> </w:t>
      </w:r>
      <w:r w:rsidRPr="002A388B">
        <w:rPr>
          <w:lang w:val="fr-CH"/>
        </w:rPr>
        <w:t>et élaborer des recommandations en matière de représentations visuelles sous forme électronique pour les dessins et modèle</w:t>
      </w:r>
      <w:r w:rsidR="00813549" w:rsidRPr="002A388B">
        <w:rPr>
          <w:lang w:val="fr-CH"/>
        </w:rPr>
        <w:t>s</w:t>
      </w:r>
      <w:r w:rsidR="005421A1">
        <w:rPr>
          <w:lang w:val="fr-CH"/>
        </w:rPr>
        <w:t>”</w:t>
      </w:r>
      <w:r w:rsidRPr="002A388B">
        <w:rPr>
          <w:lang w:val="fr-CH"/>
        </w:rPr>
        <w:t xml:space="preserve"> (voir le </w:t>
      </w:r>
      <w:r w:rsidR="00813549" w:rsidRPr="002A388B">
        <w:rPr>
          <w:lang w:val="fr-CH"/>
        </w:rPr>
        <w:t>paragraphe</w:t>
      </w:r>
      <w:r w:rsidR="00813549">
        <w:rPr>
          <w:lang w:val="fr-CH"/>
        </w:rPr>
        <w:t> </w:t>
      </w:r>
      <w:r w:rsidR="00813549" w:rsidRPr="002A388B">
        <w:rPr>
          <w:lang w:val="fr-CH"/>
        </w:rPr>
        <w:t>1</w:t>
      </w:r>
      <w:r w:rsidRPr="002A388B">
        <w:rPr>
          <w:lang w:val="fr-CH"/>
        </w:rPr>
        <w:t>03 du document</w:t>
      </w:r>
      <w:r w:rsidR="002644E8">
        <w:rPr>
          <w:lang w:val="fr-CH"/>
        </w:rPr>
        <w:t> </w:t>
      </w:r>
      <w:r w:rsidRPr="002A388B">
        <w:rPr>
          <w:lang w:val="fr-CH"/>
        </w:rPr>
        <w:t>CWS/5/22).</w:t>
      </w:r>
    </w:p>
    <w:p w:rsidR="00CD67B8" w:rsidRPr="002A388B" w:rsidRDefault="003F660F" w:rsidP="00FE4DFF">
      <w:pPr>
        <w:pStyle w:val="ONUMFS"/>
        <w:rPr>
          <w:lang w:val="fr-CH"/>
        </w:rPr>
      </w:pPr>
      <w:r w:rsidRPr="002A388B">
        <w:rPr>
          <w:lang w:val="fr-CH"/>
        </w:rPr>
        <w:t>Le CWS a également établi l</w:t>
      </w:r>
      <w:r w:rsidR="005421A1">
        <w:rPr>
          <w:lang w:val="fr-CH"/>
        </w:rPr>
        <w:t>’</w:t>
      </w:r>
      <w:r w:rsidRPr="002A388B">
        <w:rPr>
          <w:lang w:val="fr-CH"/>
        </w:rPr>
        <w:t>Équipe d</w:t>
      </w:r>
      <w:r w:rsidR="005421A1">
        <w:rPr>
          <w:lang w:val="fr-CH"/>
        </w:rPr>
        <w:t>’</w:t>
      </w:r>
      <w:r w:rsidRPr="002A388B">
        <w:rPr>
          <w:lang w:val="fr-CH"/>
        </w:rPr>
        <w:t xml:space="preserve">experts chargée de la représentation des dessins et modèles afin de mener à bien </w:t>
      </w:r>
      <w:r w:rsidR="009077BE" w:rsidRPr="002A388B">
        <w:rPr>
          <w:lang w:val="fr-CH"/>
        </w:rPr>
        <w:t xml:space="preserve">cette tâche </w:t>
      </w:r>
      <w:r w:rsidRPr="002A388B">
        <w:rPr>
          <w:lang w:val="fr-CH"/>
        </w:rPr>
        <w:t>et a désigné IP</w:t>
      </w:r>
      <w:r w:rsidR="00FF428F">
        <w:rPr>
          <w:lang w:val="fr-CH"/>
        </w:rPr>
        <w:t> </w:t>
      </w:r>
      <w:r w:rsidRPr="002A388B">
        <w:rPr>
          <w:lang w:val="fr-CH"/>
        </w:rPr>
        <w:t xml:space="preserve">Australia et le Bureau international comme coresponsables de </w:t>
      </w:r>
      <w:r w:rsidR="004F40FF" w:rsidRPr="002A388B">
        <w:rPr>
          <w:lang w:val="fr-CH"/>
        </w:rPr>
        <w:t>l</w:t>
      </w:r>
      <w:r w:rsidR="005421A1">
        <w:rPr>
          <w:lang w:val="fr-CH"/>
        </w:rPr>
        <w:t>’</w:t>
      </w:r>
      <w:r w:rsidRPr="002A388B">
        <w:rPr>
          <w:lang w:val="fr-CH"/>
        </w:rPr>
        <w:t>équipe d</w:t>
      </w:r>
      <w:r w:rsidR="005421A1">
        <w:rPr>
          <w:lang w:val="fr-CH"/>
        </w:rPr>
        <w:t>’</w:t>
      </w:r>
      <w:r w:rsidRPr="002A388B">
        <w:rPr>
          <w:lang w:val="fr-CH"/>
        </w:rPr>
        <w:t xml:space="preserve">experts (voir le </w:t>
      </w:r>
      <w:r w:rsidR="00813549" w:rsidRPr="002A388B">
        <w:rPr>
          <w:lang w:val="fr-CH"/>
        </w:rPr>
        <w:t>paragraphe</w:t>
      </w:r>
      <w:r w:rsidR="00813549">
        <w:rPr>
          <w:lang w:val="fr-CH"/>
        </w:rPr>
        <w:t> </w:t>
      </w:r>
      <w:r w:rsidR="00813549" w:rsidRPr="002A388B">
        <w:rPr>
          <w:lang w:val="fr-CH"/>
        </w:rPr>
        <w:t>1</w:t>
      </w:r>
      <w:r w:rsidRPr="002A388B">
        <w:rPr>
          <w:lang w:val="fr-CH"/>
        </w:rPr>
        <w:t>04 du document</w:t>
      </w:r>
      <w:r w:rsidR="002644E8">
        <w:rPr>
          <w:lang w:val="fr-CH"/>
        </w:rPr>
        <w:t> </w:t>
      </w:r>
      <w:r w:rsidRPr="002A388B">
        <w:rPr>
          <w:lang w:val="fr-CH"/>
        </w:rPr>
        <w:t>CWS/5/22).</w:t>
      </w:r>
    </w:p>
    <w:p w:rsidR="00CD67B8" w:rsidRPr="002A388B" w:rsidRDefault="003F660F" w:rsidP="002644E8">
      <w:pPr>
        <w:pStyle w:val="Heading2"/>
        <w:rPr>
          <w:lang w:val="fr-CH"/>
        </w:rPr>
      </w:pPr>
      <w:r w:rsidRPr="002A388B">
        <w:rPr>
          <w:lang w:val="fr-CH"/>
        </w:rPr>
        <w:t>Rapport sur l</w:t>
      </w:r>
      <w:r w:rsidR="005421A1">
        <w:rPr>
          <w:lang w:val="fr-CH"/>
        </w:rPr>
        <w:t>’</w:t>
      </w:r>
      <w:r w:rsidRPr="002A388B">
        <w:rPr>
          <w:lang w:val="fr-CH"/>
        </w:rPr>
        <w:t>état d</w:t>
      </w:r>
      <w:r w:rsidR="005421A1">
        <w:rPr>
          <w:lang w:val="fr-CH"/>
        </w:rPr>
        <w:t>’</w:t>
      </w:r>
      <w:r w:rsidRPr="002A388B">
        <w:rPr>
          <w:lang w:val="fr-CH"/>
        </w:rPr>
        <w:t>avancement des travaux</w:t>
      </w:r>
    </w:p>
    <w:p w:rsidR="000F0E77" w:rsidRPr="002A388B" w:rsidRDefault="00CB7230" w:rsidP="00FE4DFF">
      <w:pPr>
        <w:pStyle w:val="ONUMFS"/>
        <w:rPr>
          <w:lang w:val="fr-CH"/>
        </w:rPr>
      </w:pPr>
      <w:r w:rsidRPr="002A388B">
        <w:rPr>
          <w:lang w:val="fr-CH"/>
        </w:rPr>
        <w:t>Conformément</w:t>
      </w:r>
      <w:r w:rsidR="003F660F" w:rsidRPr="002A388B">
        <w:rPr>
          <w:lang w:val="fr-CH"/>
        </w:rPr>
        <w:t xml:space="preserve"> à la décision susmentionnée rendue à la cinqu</w:t>
      </w:r>
      <w:r w:rsidR="00813549">
        <w:rPr>
          <w:lang w:val="fr-CH"/>
        </w:rPr>
        <w:t>ième session</w:t>
      </w:r>
      <w:r w:rsidR="00813549" w:rsidRPr="002A388B">
        <w:rPr>
          <w:lang w:val="fr-CH"/>
        </w:rPr>
        <w:t xml:space="preserve"> du</w:t>
      </w:r>
      <w:r w:rsidR="00813549">
        <w:rPr>
          <w:lang w:val="fr-CH"/>
        </w:rPr>
        <w:t> </w:t>
      </w:r>
      <w:r w:rsidR="00813549" w:rsidRPr="002A388B">
        <w:rPr>
          <w:lang w:val="fr-CH"/>
        </w:rPr>
        <w:t>CWS</w:t>
      </w:r>
      <w:r w:rsidR="003F660F" w:rsidRPr="002A388B">
        <w:rPr>
          <w:lang w:val="fr-CH"/>
        </w:rPr>
        <w:t xml:space="preserve">, les représentants de </w:t>
      </w:r>
      <w:r w:rsidR="00FF428F">
        <w:rPr>
          <w:lang w:val="fr-CH"/>
        </w:rPr>
        <w:t>11 </w:t>
      </w:r>
      <w:r w:rsidR="003F660F" w:rsidRPr="002A388B">
        <w:rPr>
          <w:lang w:val="fr-CH"/>
        </w:rPr>
        <w:t xml:space="preserve">offices de propriété intellectuelle et le Bureau international ont été désignés pour participer </w:t>
      </w:r>
      <w:r w:rsidRPr="002A388B">
        <w:rPr>
          <w:lang w:val="fr-CH"/>
        </w:rPr>
        <w:t>aux travaux de</w:t>
      </w:r>
      <w:r w:rsidR="003F660F" w:rsidRPr="002A388B">
        <w:rPr>
          <w:lang w:val="fr-CH"/>
        </w:rPr>
        <w:t xml:space="preserve"> l</w:t>
      </w:r>
      <w:r w:rsidR="005421A1">
        <w:rPr>
          <w:lang w:val="fr-CH"/>
        </w:rPr>
        <w:t>’</w:t>
      </w:r>
      <w:r w:rsidR="003F660F" w:rsidRPr="002A388B">
        <w:rPr>
          <w:lang w:val="fr-CH"/>
        </w:rPr>
        <w:t>équipe d</w:t>
      </w:r>
      <w:r w:rsidR="005421A1">
        <w:rPr>
          <w:lang w:val="fr-CH"/>
        </w:rPr>
        <w:t>’</w:t>
      </w:r>
      <w:r w:rsidR="003F660F" w:rsidRPr="002A388B">
        <w:rPr>
          <w:lang w:val="fr-CH"/>
        </w:rPr>
        <w:t xml:space="preserve">experts, </w:t>
      </w:r>
      <w:r w:rsidRPr="002A388B">
        <w:rPr>
          <w:lang w:val="fr-CH"/>
        </w:rPr>
        <w:t>à la suite d</w:t>
      </w:r>
      <w:r w:rsidR="006D6F7F" w:rsidRPr="002A388B">
        <w:rPr>
          <w:lang w:val="fr-CH"/>
        </w:rPr>
        <w:t>e</w:t>
      </w:r>
      <w:r w:rsidR="003F660F" w:rsidRPr="002A388B">
        <w:rPr>
          <w:lang w:val="fr-CH"/>
        </w:rPr>
        <w:t xml:space="preserve"> l</w:t>
      </w:r>
      <w:r w:rsidR="005421A1">
        <w:rPr>
          <w:lang w:val="fr-CH"/>
        </w:rPr>
        <w:t>’</w:t>
      </w:r>
      <w:r w:rsidR="003F660F" w:rsidRPr="002A388B">
        <w:rPr>
          <w:lang w:val="fr-CH"/>
        </w:rPr>
        <w:t>invitation envoyée par le Bureau international dans la circulaire C.CWS 87 du 1</w:t>
      </w:r>
      <w:r w:rsidR="00813549" w:rsidRPr="002A388B">
        <w:rPr>
          <w:lang w:val="fr-CH"/>
        </w:rPr>
        <w:t>6</w:t>
      </w:r>
      <w:r w:rsidR="00813549">
        <w:rPr>
          <w:lang w:val="fr-CH"/>
        </w:rPr>
        <w:t> </w:t>
      </w:r>
      <w:r w:rsidR="00813549" w:rsidRPr="002A388B">
        <w:rPr>
          <w:lang w:val="fr-CH"/>
        </w:rPr>
        <w:t>août</w:t>
      </w:r>
      <w:r w:rsidR="00813549">
        <w:rPr>
          <w:lang w:val="fr-CH"/>
        </w:rPr>
        <w:t> </w:t>
      </w:r>
      <w:r w:rsidR="00813549" w:rsidRPr="002A388B">
        <w:rPr>
          <w:lang w:val="fr-CH"/>
        </w:rPr>
        <w:t>20</w:t>
      </w:r>
      <w:r w:rsidR="003F660F" w:rsidRPr="002A388B">
        <w:rPr>
          <w:lang w:val="fr-CH"/>
        </w:rPr>
        <w:t>17.</w:t>
      </w:r>
      <w:r w:rsidR="007201E0" w:rsidRPr="002A388B">
        <w:rPr>
          <w:lang w:val="fr-CH"/>
        </w:rPr>
        <w:t xml:space="preserve">  </w:t>
      </w:r>
      <w:r w:rsidR="003F660F" w:rsidRPr="002A388B">
        <w:rPr>
          <w:lang w:val="fr-CH"/>
        </w:rPr>
        <w:t>Un forum Wiki a été créé sur la page Wiki de l</w:t>
      </w:r>
      <w:r w:rsidR="005421A1">
        <w:rPr>
          <w:lang w:val="fr-CH"/>
        </w:rPr>
        <w:t>’</w:t>
      </w:r>
      <w:r w:rsidR="003F660F" w:rsidRPr="002A388B">
        <w:rPr>
          <w:lang w:val="fr-CH"/>
        </w:rPr>
        <w:t>OMPI pour les délibérations de l</w:t>
      </w:r>
      <w:r w:rsidR="005421A1">
        <w:rPr>
          <w:lang w:val="fr-CH"/>
        </w:rPr>
        <w:t>’</w:t>
      </w:r>
      <w:r w:rsidR="003F660F" w:rsidRPr="002A388B">
        <w:rPr>
          <w:lang w:val="fr-CH"/>
        </w:rPr>
        <w:t>équipe d</w:t>
      </w:r>
      <w:r w:rsidR="005421A1">
        <w:rPr>
          <w:lang w:val="fr-CH"/>
        </w:rPr>
        <w:t>’</w:t>
      </w:r>
      <w:r w:rsidR="003F660F" w:rsidRPr="002A388B">
        <w:rPr>
          <w:lang w:val="fr-CH"/>
        </w:rPr>
        <w:t>experts.</w:t>
      </w:r>
    </w:p>
    <w:p w:rsidR="00CD67B8" w:rsidRPr="002A388B" w:rsidRDefault="00367193" w:rsidP="00FE4DFF">
      <w:pPr>
        <w:pStyle w:val="ONUMFS"/>
        <w:rPr>
          <w:lang w:val="fr-CH"/>
        </w:rPr>
      </w:pPr>
      <w:r w:rsidRPr="002A388B">
        <w:rPr>
          <w:lang w:val="fr-CH"/>
        </w:rPr>
        <w:t>L</w:t>
      </w:r>
      <w:r w:rsidR="005421A1">
        <w:rPr>
          <w:lang w:val="fr-CH"/>
        </w:rPr>
        <w:t>’</w:t>
      </w:r>
      <w:r w:rsidRPr="002A388B">
        <w:rPr>
          <w:lang w:val="fr-CH"/>
        </w:rPr>
        <w:t>équipe d</w:t>
      </w:r>
      <w:r w:rsidR="005421A1">
        <w:rPr>
          <w:lang w:val="fr-CH"/>
        </w:rPr>
        <w:t>’</w:t>
      </w:r>
      <w:r w:rsidRPr="002A388B">
        <w:rPr>
          <w:lang w:val="fr-CH"/>
        </w:rPr>
        <w:t xml:space="preserve">experts a </w:t>
      </w:r>
      <w:r w:rsidR="004F40FF" w:rsidRPr="002A388B">
        <w:rPr>
          <w:lang w:val="fr-CH"/>
        </w:rPr>
        <w:t>étudié</w:t>
      </w:r>
      <w:r w:rsidRPr="002A388B">
        <w:rPr>
          <w:lang w:val="fr-CH"/>
        </w:rPr>
        <w:t xml:space="preserve"> et </w:t>
      </w:r>
      <w:r w:rsidR="004F40FF" w:rsidRPr="002A388B">
        <w:rPr>
          <w:lang w:val="fr-CH"/>
        </w:rPr>
        <w:t>élaboré</w:t>
      </w:r>
      <w:r w:rsidRPr="002A388B">
        <w:rPr>
          <w:lang w:val="fr-CH"/>
        </w:rPr>
        <w:t xml:space="preserve"> une table des matières pour la nouvelle norme de l</w:t>
      </w:r>
      <w:r w:rsidR="005421A1">
        <w:rPr>
          <w:lang w:val="fr-CH"/>
        </w:rPr>
        <w:t>’</w:t>
      </w:r>
      <w:r w:rsidRPr="002A388B">
        <w:rPr>
          <w:lang w:val="fr-CH"/>
        </w:rPr>
        <w:t>OMPI concernant les représentation</w:t>
      </w:r>
      <w:r w:rsidR="00116B28" w:rsidRPr="002A388B">
        <w:rPr>
          <w:lang w:val="fr-CH"/>
        </w:rPr>
        <w:t>s</w:t>
      </w:r>
      <w:r w:rsidRPr="002A388B">
        <w:rPr>
          <w:lang w:val="fr-CH"/>
        </w:rPr>
        <w:t xml:space="preserve"> sous forme électronique des dessins et modèles</w:t>
      </w:r>
      <w:r w:rsidR="00AC6D40" w:rsidRPr="002A388B">
        <w:rPr>
          <w:lang w:val="fr-CH"/>
        </w:rPr>
        <w:t xml:space="preserve"> industrie</w:t>
      </w:r>
      <w:r w:rsidR="002644E8" w:rsidRPr="002A388B">
        <w:rPr>
          <w:lang w:val="fr-CH"/>
        </w:rPr>
        <w:t>ls</w:t>
      </w:r>
      <w:r w:rsidR="002644E8">
        <w:rPr>
          <w:lang w:val="fr-CH"/>
        </w:rPr>
        <w:t xml:space="preserve">.  </w:t>
      </w:r>
      <w:r w:rsidR="002644E8" w:rsidRPr="002A388B">
        <w:rPr>
          <w:lang w:val="fr-CH"/>
        </w:rPr>
        <w:t>L</w:t>
      </w:r>
      <w:r w:rsidR="005421A1">
        <w:rPr>
          <w:lang w:val="fr-CH"/>
        </w:rPr>
        <w:t>’</w:t>
      </w:r>
      <w:r w:rsidR="002644E8" w:rsidRPr="002A388B">
        <w:rPr>
          <w:lang w:val="fr-CH"/>
        </w:rPr>
        <w:t>é</w:t>
      </w:r>
      <w:r w:rsidR="002D4805" w:rsidRPr="002A388B">
        <w:rPr>
          <w:lang w:val="fr-CH"/>
        </w:rPr>
        <w:t>q</w:t>
      </w:r>
      <w:r w:rsidRPr="002A388B">
        <w:rPr>
          <w:lang w:val="fr-CH"/>
        </w:rPr>
        <w:t>uipe d</w:t>
      </w:r>
      <w:r w:rsidR="005421A1">
        <w:rPr>
          <w:lang w:val="fr-CH"/>
        </w:rPr>
        <w:t>’</w:t>
      </w:r>
      <w:r w:rsidRPr="002A388B">
        <w:rPr>
          <w:lang w:val="fr-CH"/>
        </w:rPr>
        <w:t>experts est convenue que la table des matières sera élaborée plus avant afin de donner lieu à une norme de l</w:t>
      </w:r>
      <w:r w:rsidR="005421A1">
        <w:rPr>
          <w:lang w:val="fr-CH"/>
        </w:rPr>
        <w:t>’</w:t>
      </w:r>
      <w:r w:rsidRPr="002A388B">
        <w:rPr>
          <w:lang w:val="fr-CH"/>
        </w:rPr>
        <w:t>OMPI à part entière à l</w:t>
      </w:r>
      <w:r w:rsidR="005421A1">
        <w:rPr>
          <w:lang w:val="fr-CH"/>
        </w:rPr>
        <w:t>’</w:t>
      </w:r>
      <w:r w:rsidRPr="002A388B">
        <w:rPr>
          <w:lang w:val="fr-CH"/>
        </w:rPr>
        <w:t>issue de la réalisation d</w:t>
      </w:r>
      <w:r w:rsidR="005421A1">
        <w:rPr>
          <w:lang w:val="fr-CH"/>
        </w:rPr>
        <w:t>’</w:t>
      </w:r>
      <w:r w:rsidRPr="002A388B">
        <w:rPr>
          <w:lang w:val="fr-CH"/>
        </w:rPr>
        <w:t>une enquête sur les pratiques actuelles des offices de propriété intellectuelle.</w:t>
      </w:r>
    </w:p>
    <w:p w:rsidR="00CD67B8" w:rsidRPr="002A388B" w:rsidRDefault="00CE00A9" w:rsidP="00FE4DFF">
      <w:pPr>
        <w:pStyle w:val="ONUMFS"/>
        <w:rPr>
          <w:lang w:val="fr-CH"/>
        </w:rPr>
      </w:pPr>
      <w:r w:rsidRPr="002A388B">
        <w:rPr>
          <w:lang w:val="fr-CH"/>
        </w:rPr>
        <w:lastRenderedPageBreak/>
        <w:t>En vue de la réalisation d</w:t>
      </w:r>
      <w:r w:rsidR="005421A1">
        <w:rPr>
          <w:lang w:val="fr-CH"/>
        </w:rPr>
        <w:t>’</w:t>
      </w:r>
      <w:r w:rsidRPr="002A388B">
        <w:rPr>
          <w:lang w:val="fr-CH"/>
        </w:rPr>
        <w:t>une enquête sur les exigences des offices de propriété intellectuelle et des clients, l</w:t>
      </w:r>
      <w:r w:rsidR="005421A1">
        <w:rPr>
          <w:lang w:val="fr-CH"/>
        </w:rPr>
        <w:t>’</w:t>
      </w:r>
      <w:r w:rsidRPr="002A388B">
        <w:rPr>
          <w:lang w:val="fr-CH"/>
        </w:rPr>
        <w:t>équipe d</w:t>
      </w:r>
      <w:r w:rsidR="005421A1">
        <w:rPr>
          <w:lang w:val="fr-CH"/>
        </w:rPr>
        <w:t>’</w:t>
      </w:r>
      <w:r w:rsidRPr="002A388B">
        <w:rPr>
          <w:lang w:val="fr-CH"/>
        </w:rPr>
        <w:t xml:space="preserve">experts a examiné et approuvé le </w:t>
      </w:r>
      <w:r w:rsidR="005421A1">
        <w:rPr>
          <w:lang w:val="fr-CH"/>
        </w:rPr>
        <w:t>“</w:t>
      </w:r>
      <w:r w:rsidR="00813549" w:rsidRPr="002A388B">
        <w:rPr>
          <w:lang w:val="fr-CH"/>
        </w:rPr>
        <w:t>Q</w:t>
      </w:r>
      <w:r w:rsidRPr="002A388B">
        <w:rPr>
          <w:lang w:val="fr-CH"/>
        </w:rPr>
        <w:t>uestionnaire sur l</w:t>
      </w:r>
      <w:r w:rsidR="00B23B4F" w:rsidRPr="002A388B">
        <w:rPr>
          <w:lang w:val="fr-CH"/>
        </w:rPr>
        <w:t>es</w:t>
      </w:r>
      <w:r w:rsidRPr="002A388B">
        <w:rPr>
          <w:lang w:val="fr-CH"/>
        </w:rPr>
        <w:t xml:space="preserve"> représentation</w:t>
      </w:r>
      <w:r w:rsidR="00B23B4F" w:rsidRPr="002A388B">
        <w:rPr>
          <w:lang w:val="fr-CH"/>
        </w:rPr>
        <w:t>s</w:t>
      </w:r>
      <w:r w:rsidRPr="002A388B">
        <w:rPr>
          <w:lang w:val="fr-CH"/>
        </w:rPr>
        <w:t xml:space="preserve"> sous forme électronique des dessins et modèle</w:t>
      </w:r>
      <w:r w:rsidR="00813549" w:rsidRPr="002A388B">
        <w:rPr>
          <w:lang w:val="fr-CH"/>
        </w:rPr>
        <w:t>s</w:t>
      </w:r>
      <w:r w:rsidR="005421A1">
        <w:rPr>
          <w:lang w:val="fr-CH"/>
        </w:rPr>
        <w:t>”</w:t>
      </w:r>
      <w:r w:rsidRPr="002A388B">
        <w:rPr>
          <w:lang w:val="fr-CH"/>
        </w:rPr>
        <w:t xml:space="preserve"> (voir le document</w:t>
      </w:r>
      <w:r w:rsidR="002644E8">
        <w:rPr>
          <w:lang w:val="fr-CH"/>
        </w:rPr>
        <w:t> </w:t>
      </w:r>
      <w:r w:rsidRPr="002A388B">
        <w:rPr>
          <w:lang w:val="fr-CH"/>
        </w:rPr>
        <w:t>CWS/6/29).</w:t>
      </w:r>
    </w:p>
    <w:p w:rsidR="00CD67B8" w:rsidRPr="002A388B" w:rsidRDefault="00CE00A9" w:rsidP="00FE4DFF">
      <w:pPr>
        <w:pStyle w:val="ONUMFS"/>
        <w:rPr>
          <w:lang w:val="fr-CH"/>
        </w:rPr>
      </w:pPr>
      <w:r w:rsidRPr="002A388B">
        <w:rPr>
          <w:lang w:val="fr-CH"/>
        </w:rPr>
        <w:t>En vue de l</w:t>
      </w:r>
      <w:r w:rsidR="005421A1">
        <w:rPr>
          <w:lang w:val="fr-CH"/>
        </w:rPr>
        <w:t>’</w:t>
      </w:r>
      <w:r w:rsidRPr="002A388B">
        <w:rPr>
          <w:lang w:val="fr-CH"/>
        </w:rPr>
        <w:t xml:space="preserve">élaboration de recommandations </w:t>
      </w:r>
      <w:r w:rsidR="000A1112" w:rsidRPr="002A388B">
        <w:rPr>
          <w:lang w:val="fr-CH"/>
        </w:rPr>
        <w:t>en matière</w:t>
      </w:r>
      <w:r w:rsidRPr="002A388B">
        <w:rPr>
          <w:lang w:val="fr-CH"/>
        </w:rPr>
        <w:t xml:space="preserve"> </w:t>
      </w:r>
      <w:r w:rsidR="000A1112" w:rsidRPr="002A388B">
        <w:rPr>
          <w:lang w:val="fr-CH"/>
        </w:rPr>
        <w:t>de</w:t>
      </w:r>
      <w:r w:rsidRPr="002A388B">
        <w:rPr>
          <w:lang w:val="fr-CH"/>
        </w:rPr>
        <w:t xml:space="preserve"> représentations visuelles sous forme électronique pour les dessins et modèles industriels, l</w:t>
      </w:r>
      <w:r w:rsidR="005421A1">
        <w:rPr>
          <w:lang w:val="fr-CH"/>
        </w:rPr>
        <w:t>’</w:t>
      </w:r>
      <w:r w:rsidRPr="002A388B">
        <w:rPr>
          <w:lang w:val="fr-CH"/>
        </w:rPr>
        <w:t>équipe d</w:t>
      </w:r>
      <w:r w:rsidR="005421A1">
        <w:rPr>
          <w:lang w:val="fr-CH"/>
        </w:rPr>
        <w:t>’</w:t>
      </w:r>
      <w:r w:rsidRPr="002A388B">
        <w:rPr>
          <w:lang w:val="fr-CH"/>
        </w:rPr>
        <w:t>experts a examiné les objectifs et la portée de la norme de l</w:t>
      </w:r>
      <w:r w:rsidR="005421A1">
        <w:rPr>
          <w:lang w:val="fr-CH"/>
        </w:rPr>
        <w:t>’</w:t>
      </w:r>
      <w:r w:rsidRPr="002A388B">
        <w:rPr>
          <w:lang w:val="fr-CH"/>
        </w:rPr>
        <w:t>OMPI devant être élabor</w:t>
      </w:r>
      <w:r w:rsidR="002644E8" w:rsidRPr="002A388B">
        <w:rPr>
          <w:lang w:val="fr-CH"/>
        </w:rPr>
        <w:t>ée</w:t>
      </w:r>
      <w:r w:rsidR="002644E8">
        <w:rPr>
          <w:lang w:val="fr-CH"/>
        </w:rPr>
        <w:t xml:space="preserve">.  </w:t>
      </w:r>
      <w:r w:rsidR="002644E8" w:rsidRPr="002A388B">
        <w:rPr>
          <w:lang w:val="fr-CH"/>
        </w:rPr>
        <w:t>L</w:t>
      </w:r>
      <w:r w:rsidR="005421A1">
        <w:rPr>
          <w:lang w:val="fr-CH"/>
        </w:rPr>
        <w:t>’</w:t>
      </w:r>
      <w:r w:rsidR="002644E8" w:rsidRPr="002A388B">
        <w:rPr>
          <w:lang w:val="fr-CH"/>
        </w:rPr>
        <w:t>é</w:t>
      </w:r>
      <w:r w:rsidRPr="002A388B">
        <w:rPr>
          <w:lang w:val="fr-CH"/>
        </w:rPr>
        <w:t>quipe d</w:t>
      </w:r>
      <w:r w:rsidR="005421A1">
        <w:rPr>
          <w:lang w:val="fr-CH"/>
        </w:rPr>
        <w:t>’</w:t>
      </w:r>
      <w:r w:rsidRPr="002A388B">
        <w:rPr>
          <w:lang w:val="fr-CH"/>
        </w:rPr>
        <w:t>experts est convenue des objectifs suivants</w:t>
      </w:r>
      <w:r w:rsidR="00FF428F">
        <w:rPr>
          <w:lang w:val="fr-CH"/>
        </w:rPr>
        <w:t> </w:t>
      </w:r>
      <w:r w:rsidRPr="002A388B">
        <w:rPr>
          <w:lang w:val="fr-CH"/>
        </w:rPr>
        <w:t>:</w:t>
      </w:r>
    </w:p>
    <w:p w:rsidR="00CD67B8" w:rsidRPr="002A388B" w:rsidRDefault="00E96D9F" w:rsidP="00CE00A9">
      <w:pPr>
        <w:numPr>
          <w:ilvl w:val="0"/>
          <w:numId w:val="10"/>
        </w:numPr>
        <w:spacing w:after="120"/>
        <w:ind w:left="714" w:hanging="357"/>
        <w:rPr>
          <w:rFonts w:eastAsia="Calibri"/>
          <w:szCs w:val="22"/>
          <w:lang w:val="fr-CH" w:eastAsia="en-US"/>
        </w:rPr>
      </w:pPr>
      <w:r w:rsidRPr="002A388B">
        <w:rPr>
          <w:rFonts w:eastAsia="Calibri"/>
          <w:szCs w:val="22"/>
          <w:lang w:val="fr-CH" w:eastAsia="en-US"/>
        </w:rPr>
        <w:t>p</w:t>
      </w:r>
      <w:r w:rsidR="00CE00A9" w:rsidRPr="002A388B">
        <w:rPr>
          <w:rFonts w:eastAsia="Calibri"/>
          <w:szCs w:val="22"/>
          <w:lang w:val="fr-CH" w:eastAsia="en-US"/>
        </w:rPr>
        <w:t>our que les déposants puissent déposer une demande concernant le même dessin ou modèle auprès de plusieurs offices de propriété intellectuelle, favoriser le plus possible la réutilisation des mêmes représentations visuelles du dessin ou modèle industriel par tous les offices de propriété intellectuelle;</w:t>
      </w:r>
    </w:p>
    <w:p w:rsidR="00CD67B8" w:rsidRPr="002A388B" w:rsidRDefault="00E96D9F" w:rsidP="00CE00A9">
      <w:pPr>
        <w:numPr>
          <w:ilvl w:val="0"/>
          <w:numId w:val="10"/>
        </w:numPr>
        <w:spacing w:after="120"/>
        <w:ind w:left="714" w:hanging="357"/>
        <w:rPr>
          <w:rFonts w:eastAsia="Calibri"/>
          <w:szCs w:val="22"/>
          <w:lang w:val="fr-CH" w:eastAsia="en-US"/>
        </w:rPr>
      </w:pPr>
      <w:r w:rsidRPr="002A388B">
        <w:rPr>
          <w:rFonts w:eastAsia="Calibri"/>
          <w:szCs w:val="22"/>
          <w:lang w:val="fr-CH" w:eastAsia="en-US"/>
        </w:rPr>
        <w:t>u</w:t>
      </w:r>
      <w:r w:rsidR="00CE00A9" w:rsidRPr="002A388B">
        <w:rPr>
          <w:rFonts w:eastAsia="Calibri"/>
          <w:szCs w:val="22"/>
          <w:lang w:val="fr-CH" w:eastAsia="en-US"/>
        </w:rPr>
        <w:t>n ensemble d</w:t>
      </w:r>
      <w:r w:rsidR="005421A1">
        <w:rPr>
          <w:rFonts w:eastAsia="Calibri"/>
          <w:szCs w:val="22"/>
          <w:lang w:val="fr-CH" w:eastAsia="en-US"/>
        </w:rPr>
        <w:t>’</w:t>
      </w:r>
      <w:r w:rsidR="00CE00A9" w:rsidRPr="002A388B">
        <w:rPr>
          <w:rFonts w:eastAsia="Calibri"/>
          <w:szCs w:val="22"/>
          <w:lang w:val="fr-CH" w:eastAsia="en-US"/>
        </w:rPr>
        <w:t xml:space="preserve">exigences communes pour que les offices de propriété intellectuelle puissent échanger les représentations visuelles des données </w:t>
      </w:r>
      <w:r w:rsidR="00D01F5B" w:rsidRPr="002A388B">
        <w:rPr>
          <w:rFonts w:eastAsia="Calibri"/>
          <w:szCs w:val="22"/>
          <w:lang w:val="fr-CH" w:eastAsia="en-US"/>
        </w:rPr>
        <w:t>sur les</w:t>
      </w:r>
      <w:r w:rsidR="00CE00A9" w:rsidRPr="002A388B">
        <w:rPr>
          <w:rFonts w:eastAsia="Calibri"/>
          <w:szCs w:val="22"/>
          <w:lang w:val="fr-CH" w:eastAsia="en-US"/>
        </w:rPr>
        <w:t xml:space="preserve"> dessins et modèles industriels;</w:t>
      </w:r>
    </w:p>
    <w:p w:rsidR="00CD67B8" w:rsidRPr="002A388B" w:rsidRDefault="00E96D9F" w:rsidP="00CE00A9">
      <w:pPr>
        <w:numPr>
          <w:ilvl w:val="0"/>
          <w:numId w:val="10"/>
        </w:numPr>
        <w:spacing w:after="120"/>
        <w:ind w:left="714" w:hanging="357"/>
        <w:rPr>
          <w:rFonts w:eastAsia="Calibri"/>
          <w:szCs w:val="22"/>
          <w:lang w:val="fr-CH" w:eastAsia="en-US"/>
        </w:rPr>
      </w:pPr>
      <w:r w:rsidRPr="002A388B">
        <w:rPr>
          <w:rFonts w:eastAsia="Calibri"/>
          <w:szCs w:val="22"/>
          <w:lang w:val="fr-CH" w:eastAsia="en-US"/>
        </w:rPr>
        <w:t>u</w:t>
      </w:r>
      <w:r w:rsidR="00CE00A9" w:rsidRPr="002A388B">
        <w:rPr>
          <w:rFonts w:eastAsia="Calibri"/>
          <w:szCs w:val="22"/>
          <w:lang w:val="fr-CH" w:eastAsia="en-US"/>
        </w:rPr>
        <w:t>n ensemble d</w:t>
      </w:r>
      <w:r w:rsidR="005421A1">
        <w:rPr>
          <w:rFonts w:eastAsia="Calibri"/>
          <w:szCs w:val="22"/>
          <w:lang w:val="fr-CH" w:eastAsia="en-US"/>
        </w:rPr>
        <w:t>’</w:t>
      </w:r>
      <w:r w:rsidR="00CE00A9" w:rsidRPr="002A388B">
        <w:rPr>
          <w:rFonts w:eastAsia="Calibri"/>
          <w:szCs w:val="22"/>
          <w:lang w:val="fr-CH" w:eastAsia="en-US"/>
        </w:rPr>
        <w:t xml:space="preserve">exigences communes pour que les offices de propriété intellectuelle puissent traiter et publier les représentations visuelles des dessins et modèles industriels (facultatif); </w:t>
      </w:r>
      <w:r w:rsidR="00FF428F">
        <w:rPr>
          <w:rFonts w:eastAsia="Calibri"/>
          <w:szCs w:val="22"/>
          <w:lang w:val="fr-CH" w:eastAsia="en-US"/>
        </w:rPr>
        <w:t xml:space="preserve"> </w:t>
      </w:r>
      <w:r w:rsidR="00CE00A9" w:rsidRPr="002A388B">
        <w:rPr>
          <w:rFonts w:eastAsia="Calibri"/>
          <w:szCs w:val="22"/>
          <w:lang w:val="fr-CH" w:eastAsia="en-US"/>
        </w:rPr>
        <w:t>et</w:t>
      </w:r>
    </w:p>
    <w:p w:rsidR="00CD67B8" w:rsidRPr="002A388B" w:rsidRDefault="00E96D9F" w:rsidP="00CE00A9">
      <w:pPr>
        <w:numPr>
          <w:ilvl w:val="0"/>
          <w:numId w:val="10"/>
        </w:numPr>
        <w:spacing w:after="120"/>
        <w:ind w:left="714" w:hanging="357"/>
        <w:rPr>
          <w:lang w:val="fr-CH"/>
        </w:rPr>
      </w:pPr>
      <w:r w:rsidRPr="002A388B">
        <w:rPr>
          <w:lang w:val="fr-CH"/>
        </w:rPr>
        <w:t>u</w:t>
      </w:r>
      <w:r w:rsidR="00CE00A9" w:rsidRPr="002A388B">
        <w:rPr>
          <w:lang w:val="fr-CH"/>
        </w:rPr>
        <w:t>n ensemble d</w:t>
      </w:r>
      <w:r w:rsidR="005421A1">
        <w:rPr>
          <w:lang w:val="fr-CH"/>
        </w:rPr>
        <w:t>’</w:t>
      </w:r>
      <w:r w:rsidR="00CE00A9" w:rsidRPr="002A388B">
        <w:rPr>
          <w:lang w:val="fr-CH"/>
        </w:rPr>
        <w:t>exigences communes pour améliorer la recherche de représentations visuelles de dessins et modèles industriels.</w:t>
      </w:r>
    </w:p>
    <w:p w:rsidR="00CD67B8" w:rsidRPr="002A388B" w:rsidRDefault="002644E8" w:rsidP="002644E8">
      <w:pPr>
        <w:pStyle w:val="Heading2"/>
        <w:rPr>
          <w:lang w:val="fr-CH"/>
        </w:rPr>
      </w:pPr>
      <w:r w:rsidRPr="002A388B">
        <w:rPr>
          <w:lang w:val="fr-CH"/>
        </w:rPr>
        <w:t>Programme de travail</w:t>
      </w:r>
    </w:p>
    <w:p w:rsidR="00CD67B8" w:rsidRPr="002A388B" w:rsidRDefault="00EF53DF" w:rsidP="00FE4DFF">
      <w:pPr>
        <w:pStyle w:val="ONUMFS"/>
        <w:rPr>
          <w:lang w:val="fr-CH"/>
        </w:rPr>
      </w:pPr>
      <w:r w:rsidRPr="002A388B">
        <w:rPr>
          <w:lang w:val="fr-CH"/>
        </w:rPr>
        <w:t>L</w:t>
      </w:r>
      <w:r w:rsidR="005421A1">
        <w:rPr>
          <w:lang w:val="fr-CH"/>
        </w:rPr>
        <w:t>’</w:t>
      </w:r>
      <w:r w:rsidR="008739FF" w:rsidRPr="002A388B">
        <w:rPr>
          <w:lang w:val="fr-CH"/>
        </w:rPr>
        <w:t>é</w:t>
      </w:r>
      <w:r w:rsidRPr="002A388B">
        <w:rPr>
          <w:lang w:val="fr-CH"/>
        </w:rPr>
        <w:t>quipe d</w:t>
      </w:r>
      <w:r w:rsidR="005421A1">
        <w:rPr>
          <w:lang w:val="fr-CH"/>
        </w:rPr>
        <w:t>’</w:t>
      </w:r>
      <w:r w:rsidR="0036293C" w:rsidRPr="002A388B">
        <w:rPr>
          <w:lang w:val="fr-CH"/>
        </w:rPr>
        <w:t>e</w:t>
      </w:r>
      <w:r w:rsidRPr="002A388B">
        <w:rPr>
          <w:lang w:val="fr-CH"/>
        </w:rPr>
        <w:t xml:space="preserve">xperts a examiné </w:t>
      </w:r>
      <w:r w:rsidR="00315DFE" w:rsidRPr="002A388B">
        <w:rPr>
          <w:lang w:val="fr-CH"/>
        </w:rPr>
        <w:t>et proposé</w:t>
      </w:r>
      <w:r w:rsidRPr="002A388B">
        <w:rPr>
          <w:lang w:val="fr-CH"/>
        </w:rPr>
        <w:t xml:space="preserve"> le programme de travail ci</w:t>
      </w:r>
      <w:r w:rsidR="00E300E1">
        <w:rPr>
          <w:lang w:val="fr-CH"/>
        </w:rPr>
        <w:noBreakHyphen/>
      </w:r>
      <w:r w:rsidRPr="002A388B">
        <w:rPr>
          <w:lang w:val="fr-CH"/>
        </w:rPr>
        <w:t>après en vue de l</w:t>
      </w:r>
      <w:r w:rsidR="005421A1">
        <w:rPr>
          <w:lang w:val="fr-CH"/>
        </w:rPr>
        <w:t>’</w:t>
      </w:r>
      <w:r w:rsidRPr="002A388B">
        <w:rPr>
          <w:lang w:val="fr-CH"/>
        </w:rPr>
        <w:t>élaboration d</w:t>
      </w:r>
      <w:r w:rsidR="005421A1">
        <w:rPr>
          <w:lang w:val="fr-CH"/>
        </w:rPr>
        <w:t>’</w:t>
      </w:r>
      <w:r w:rsidRPr="002A388B">
        <w:rPr>
          <w:lang w:val="fr-CH"/>
        </w:rPr>
        <w:t>une nouvelle norme de l</w:t>
      </w:r>
      <w:r w:rsidR="005421A1">
        <w:rPr>
          <w:lang w:val="fr-CH"/>
        </w:rPr>
        <w:t>’</w:t>
      </w:r>
      <w:r w:rsidRPr="002A388B">
        <w:rPr>
          <w:lang w:val="fr-CH"/>
        </w:rPr>
        <w:t xml:space="preserve">OMPI </w:t>
      </w:r>
      <w:r w:rsidR="004031F2" w:rsidRPr="002A388B">
        <w:rPr>
          <w:lang w:val="fr-CH"/>
        </w:rPr>
        <w:t>concernant les</w:t>
      </w:r>
      <w:r w:rsidRPr="002A388B">
        <w:rPr>
          <w:lang w:val="fr-CH"/>
        </w:rPr>
        <w:t xml:space="preserve"> représentations visuelles sous forme électronique pour les dessins et modèles industriels</w:t>
      </w:r>
      <w:r w:rsidR="00813549">
        <w:rPr>
          <w:lang w:val="fr-CH"/>
        </w:rPr>
        <w:t> :</w:t>
      </w:r>
    </w:p>
    <w:p w:rsidR="00157CEA" w:rsidRPr="002A388B" w:rsidRDefault="00157CEA" w:rsidP="00157CEA">
      <w:pPr>
        <w:rPr>
          <w:lang w:val="fr-CH"/>
        </w:rPr>
      </w:pPr>
    </w:p>
    <w:tbl>
      <w:tblPr>
        <w:tblStyle w:val="TableGrid"/>
        <w:tblW w:w="5000" w:type="pct"/>
        <w:tblInd w:w="0" w:type="dxa"/>
        <w:tblLook w:val="04A0" w:firstRow="1" w:lastRow="0" w:firstColumn="1" w:lastColumn="0" w:noHBand="0" w:noVBand="1"/>
      </w:tblPr>
      <w:tblGrid>
        <w:gridCol w:w="2758"/>
        <w:gridCol w:w="4824"/>
        <w:gridCol w:w="1989"/>
      </w:tblGrid>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vAlign w:val="center"/>
            <w:hideMark/>
          </w:tcPr>
          <w:p w:rsidR="006E5628" w:rsidRPr="002A388B" w:rsidRDefault="00116B28" w:rsidP="00EF53DF">
            <w:pPr>
              <w:pStyle w:val="ONUME"/>
              <w:tabs>
                <w:tab w:val="left" w:pos="720"/>
              </w:tabs>
              <w:jc w:val="center"/>
              <w:rPr>
                <w:lang w:val="fr-CH" w:eastAsia="en-US"/>
              </w:rPr>
            </w:pPr>
            <w:r w:rsidRPr="002A388B">
              <w:rPr>
                <w:lang w:val="fr-CH" w:eastAsia="en-US"/>
              </w:rPr>
              <w:t>Mesure</w:t>
            </w:r>
          </w:p>
        </w:tc>
        <w:tc>
          <w:tcPr>
            <w:tcW w:w="2520" w:type="pct"/>
            <w:tcBorders>
              <w:top w:val="single" w:sz="4" w:space="0" w:color="auto"/>
              <w:left w:val="single" w:sz="4" w:space="0" w:color="auto"/>
              <w:bottom w:val="single" w:sz="4" w:space="0" w:color="auto"/>
              <w:right w:val="single" w:sz="4" w:space="0" w:color="auto"/>
            </w:tcBorders>
            <w:vAlign w:val="center"/>
            <w:hideMark/>
          </w:tcPr>
          <w:p w:rsidR="006E5628" w:rsidRPr="002A388B" w:rsidRDefault="00EF53DF" w:rsidP="00EF53DF">
            <w:pPr>
              <w:pStyle w:val="ONUME"/>
              <w:tabs>
                <w:tab w:val="left" w:pos="720"/>
              </w:tabs>
              <w:jc w:val="center"/>
              <w:rPr>
                <w:lang w:val="fr-CH" w:eastAsia="en-US"/>
              </w:rPr>
            </w:pPr>
            <w:r w:rsidRPr="002A388B">
              <w:rPr>
                <w:lang w:val="fr-CH" w:eastAsia="en-US"/>
              </w:rPr>
              <w:t>Résultat escompté</w:t>
            </w:r>
          </w:p>
        </w:tc>
        <w:tc>
          <w:tcPr>
            <w:tcW w:w="1039" w:type="pct"/>
            <w:tcBorders>
              <w:top w:val="single" w:sz="4" w:space="0" w:color="auto"/>
              <w:left w:val="single" w:sz="4" w:space="0" w:color="auto"/>
              <w:bottom w:val="single" w:sz="4" w:space="0" w:color="auto"/>
              <w:right w:val="single" w:sz="4" w:space="0" w:color="auto"/>
            </w:tcBorders>
            <w:vAlign w:val="center"/>
            <w:hideMark/>
          </w:tcPr>
          <w:p w:rsidR="006E5628" w:rsidRPr="002A388B" w:rsidRDefault="00EF53DF" w:rsidP="00EF53DF">
            <w:pPr>
              <w:pStyle w:val="ONUME"/>
              <w:tabs>
                <w:tab w:val="left" w:pos="720"/>
              </w:tabs>
              <w:jc w:val="center"/>
              <w:rPr>
                <w:lang w:val="fr-CH" w:eastAsia="en-US"/>
              </w:rPr>
            </w:pPr>
            <w:r w:rsidRPr="002A388B">
              <w:rPr>
                <w:lang w:val="fr-CH" w:eastAsia="en-US"/>
              </w:rPr>
              <w:t>Date prévue</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hideMark/>
          </w:tcPr>
          <w:p w:rsidR="006E5628" w:rsidRPr="002A388B" w:rsidRDefault="00EF53DF" w:rsidP="00EF53DF">
            <w:pPr>
              <w:pStyle w:val="ONUME"/>
              <w:tabs>
                <w:tab w:val="left" w:pos="720"/>
              </w:tabs>
              <w:rPr>
                <w:lang w:val="fr-CH" w:eastAsia="en-US"/>
              </w:rPr>
            </w:pPr>
            <w:r w:rsidRPr="002A388B">
              <w:rPr>
                <w:lang w:val="fr-CH" w:eastAsia="en-US"/>
              </w:rPr>
              <w:t>Présentation du rapport sur l</w:t>
            </w:r>
            <w:r w:rsidR="005421A1">
              <w:rPr>
                <w:lang w:val="fr-CH" w:eastAsia="en-US"/>
              </w:rPr>
              <w:t>’</w:t>
            </w:r>
            <w:r w:rsidRPr="002A388B">
              <w:rPr>
                <w:lang w:val="fr-CH" w:eastAsia="en-US"/>
              </w:rPr>
              <w:t>état d</w:t>
            </w:r>
            <w:r w:rsidR="005421A1">
              <w:rPr>
                <w:lang w:val="fr-CH" w:eastAsia="en-US"/>
              </w:rPr>
              <w:t>’</w:t>
            </w:r>
            <w:r w:rsidRPr="002A388B">
              <w:rPr>
                <w:lang w:val="fr-CH" w:eastAsia="en-US"/>
              </w:rPr>
              <w:t>avancement des travaux à la six</w:t>
            </w:r>
            <w:r w:rsidR="00813549">
              <w:rPr>
                <w:lang w:val="fr-CH" w:eastAsia="en-US"/>
              </w:rPr>
              <w:t>ième session</w:t>
            </w:r>
            <w:r w:rsidR="00813549" w:rsidRPr="002A388B">
              <w:rPr>
                <w:lang w:val="fr-CH" w:eastAsia="en-US"/>
              </w:rPr>
              <w:t xml:space="preserve"> du</w:t>
            </w:r>
            <w:r w:rsidR="00813549">
              <w:rPr>
                <w:lang w:val="fr-CH" w:eastAsia="en-US"/>
              </w:rPr>
              <w:t> </w:t>
            </w:r>
            <w:r w:rsidR="00813549" w:rsidRPr="002A388B">
              <w:rPr>
                <w:lang w:val="fr-CH" w:eastAsia="en-US"/>
              </w:rPr>
              <w:t>CWS</w:t>
            </w:r>
          </w:p>
        </w:tc>
        <w:tc>
          <w:tcPr>
            <w:tcW w:w="2520" w:type="pct"/>
            <w:tcBorders>
              <w:top w:val="single" w:sz="4" w:space="0" w:color="auto"/>
              <w:left w:val="single" w:sz="4" w:space="0" w:color="auto"/>
              <w:bottom w:val="single" w:sz="4" w:space="0" w:color="auto"/>
              <w:right w:val="single" w:sz="4" w:space="0" w:color="auto"/>
            </w:tcBorders>
            <w:hideMark/>
          </w:tcPr>
          <w:p w:rsidR="006E5628" w:rsidRPr="002A388B" w:rsidRDefault="00A05E5E" w:rsidP="002D4B0D">
            <w:pPr>
              <w:pStyle w:val="ONUME"/>
              <w:tabs>
                <w:tab w:val="left" w:pos="720"/>
              </w:tabs>
              <w:rPr>
                <w:lang w:val="fr-CH" w:eastAsia="en-US"/>
              </w:rPr>
            </w:pPr>
            <w:r w:rsidRPr="002A388B">
              <w:rPr>
                <w:lang w:val="fr-CH" w:eastAsia="en-US"/>
              </w:rPr>
              <w:t>Le</w:t>
            </w:r>
            <w:r w:rsidR="00EF53DF" w:rsidRPr="002A388B">
              <w:rPr>
                <w:lang w:val="fr-CH" w:eastAsia="en-US"/>
              </w:rPr>
              <w:t xml:space="preserve"> rapport sur l</w:t>
            </w:r>
            <w:r w:rsidR="005421A1">
              <w:rPr>
                <w:lang w:val="fr-CH" w:eastAsia="en-US"/>
              </w:rPr>
              <w:t>’</w:t>
            </w:r>
            <w:r w:rsidR="00EF53DF" w:rsidRPr="002A388B">
              <w:rPr>
                <w:lang w:val="fr-CH" w:eastAsia="en-US"/>
              </w:rPr>
              <w:t>état d</w:t>
            </w:r>
            <w:r w:rsidR="005421A1">
              <w:rPr>
                <w:lang w:val="fr-CH" w:eastAsia="en-US"/>
              </w:rPr>
              <w:t>’</w:t>
            </w:r>
            <w:r w:rsidR="00EF53DF" w:rsidRPr="002A388B">
              <w:rPr>
                <w:lang w:val="fr-CH" w:eastAsia="en-US"/>
              </w:rPr>
              <w:t xml:space="preserve">avancement </w:t>
            </w:r>
            <w:r w:rsidR="00B46BA9" w:rsidRPr="002A388B">
              <w:rPr>
                <w:lang w:val="fr-CH" w:eastAsia="en-US"/>
              </w:rPr>
              <w:t>des travaux</w:t>
            </w:r>
            <w:r w:rsidR="00EF53DF" w:rsidRPr="002A388B">
              <w:rPr>
                <w:lang w:val="fr-CH" w:eastAsia="en-US"/>
              </w:rPr>
              <w:t xml:space="preserve"> et </w:t>
            </w:r>
            <w:r w:rsidRPr="002A388B">
              <w:rPr>
                <w:lang w:val="fr-CH" w:eastAsia="en-US"/>
              </w:rPr>
              <w:t>le</w:t>
            </w:r>
            <w:r w:rsidR="00EF53DF" w:rsidRPr="002A388B">
              <w:rPr>
                <w:lang w:val="fr-CH" w:eastAsia="en-US"/>
              </w:rPr>
              <w:t xml:space="preserve"> programme de travail</w:t>
            </w:r>
            <w:r w:rsidRPr="002A388B">
              <w:rPr>
                <w:lang w:val="fr-CH" w:eastAsia="en-US"/>
              </w:rPr>
              <w:t xml:space="preserve"> sont présentés</w:t>
            </w:r>
            <w:r w:rsidR="00813549" w:rsidRPr="002A388B">
              <w:rPr>
                <w:lang w:val="fr-CH" w:eastAsia="en-US"/>
              </w:rPr>
              <w:t xml:space="preserve"> au</w:t>
            </w:r>
            <w:r w:rsidR="00813549">
              <w:rPr>
                <w:lang w:val="fr-CH" w:eastAsia="en-US"/>
              </w:rPr>
              <w:t> </w:t>
            </w:r>
            <w:r w:rsidR="00813549" w:rsidRPr="002A388B">
              <w:rPr>
                <w:lang w:val="fr-CH" w:eastAsia="en-US"/>
              </w:rPr>
              <w:t>CWS</w:t>
            </w:r>
            <w:r w:rsidR="00EF53DF" w:rsidRPr="002A388B">
              <w:rPr>
                <w:lang w:val="fr-CH" w:eastAsia="en-US"/>
              </w:rPr>
              <w:t xml:space="preserve">; </w:t>
            </w:r>
            <w:r w:rsidR="00FF428F">
              <w:rPr>
                <w:lang w:val="fr-CH" w:eastAsia="en-US"/>
              </w:rPr>
              <w:t xml:space="preserve"> </w:t>
            </w:r>
            <w:r w:rsidR="00EF53DF" w:rsidRPr="002A388B">
              <w:rPr>
                <w:lang w:val="fr-CH" w:eastAsia="en-US"/>
              </w:rPr>
              <w:t xml:space="preserve">des </w:t>
            </w:r>
            <w:r w:rsidR="002D4B0D" w:rsidRPr="002A388B">
              <w:rPr>
                <w:lang w:val="fr-CH" w:eastAsia="en-US"/>
              </w:rPr>
              <w:t>orientations</w:t>
            </w:r>
            <w:r w:rsidR="00EF53DF" w:rsidRPr="002A388B">
              <w:rPr>
                <w:lang w:val="fr-CH" w:eastAsia="en-US"/>
              </w:rPr>
              <w:t xml:space="preserve"> supplémentaires </w:t>
            </w:r>
            <w:r w:rsidR="002D4B0D" w:rsidRPr="002A388B">
              <w:rPr>
                <w:lang w:val="fr-CH" w:eastAsia="en-US"/>
              </w:rPr>
              <w:t>sont données à l</w:t>
            </w:r>
            <w:r w:rsidR="005421A1">
              <w:rPr>
                <w:lang w:val="fr-CH" w:eastAsia="en-US"/>
              </w:rPr>
              <w:t>’</w:t>
            </w:r>
            <w:r w:rsidR="002D4B0D" w:rsidRPr="002A388B">
              <w:rPr>
                <w:lang w:val="fr-CH" w:eastAsia="en-US"/>
              </w:rPr>
              <w:t>équipe d</w:t>
            </w:r>
            <w:r w:rsidR="005421A1">
              <w:rPr>
                <w:lang w:val="fr-CH" w:eastAsia="en-US"/>
              </w:rPr>
              <w:t>’</w:t>
            </w:r>
            <w:r w:rsidR="002D4B0D" w:rsidRPr="002A388B">
              <w:rPr>
                <w:lang w:val="fr-CH" w:eastAsia="en-US"/>
              </w:rPr>
              <w:t>experts par</w:t>
            </w:r>
            <w:r w:rsidR="00813549" w:rsidRPr="002A388B">
              <w:rPr>
                <w:lang w:val="fr-CH" w:eastAsia="en-US"/>
              </w:rPr>
              <w:t xml:space="preserve"> le</w:t>
            </w:r>
            <w:r w:rsidR="00813549">
              <w:rPr>
                <w:lang w:val="fr-CH" w:eastAsia="en-US"/>
              </w:rPr>
              <w:t> </w:t>
            </w:r>
            <w:r w:rsidR="00813549" w:rsidRPr="002A388B">
              <w:rPr>
                <w:lang w:val="fr-CH" w:eastAsia="en-US"/>
              </w:rPr>
              <w:t>CWS</w:t>
            </w:r>
            <w:r w:rsidR="00EF53DF" w:rsidRPr="002A388B">
              <w:rPr>
                <w:lang w:val="fr-CH" w:eastAsia="en-US"/>
              </w:rPr>
              <w:t>.</w:t>
            </w:r>
          </w:p>
        </w:tc>
        <w:tc>
          <w:tcPr>
            <w:tcW w:w="1039" w:type="pct"/>
            <w:tcBorders>
              <w:top w:val="single" w:sz="4" w:space="0" w:color="auto"/>
              <w:left w:val="single" w:sz="4" w:space="0" w:color="auto"/>
              <w:bottom w:val="single" w:sz="4" w:space="0" w:color="auto"/>
              <w:right w:val="single" w:sz="4" w:space="0" w:color="auto"/>
            </w:tcBorders>
            <w:hideMark/>
          </w:tcPr>
          <w:p w:rsidR="006E5628" w:rsidRPr="002A388B" w:rsidRDefault="00EF53DF" w:rsidP="00EF53DF">
            <w:pPr>
              <w:pStyle w:val="ONUME"/>
              <w:tabs>
                <w:tab w:val="left" w:pos="720"/>
              </w:tabs>
              <w:rPr>
                <w:lang w:val="fr-CH" w:eastAsia="en-US"/>
              </w:rPr>
            </w:pPr>
            <w:r w:rsidRPr="002A388B">
              <w:rPr>
                <w:lang w:val="fr-CH" w:eastAsia="en-US"/>
              </w:rPr>
              <w:t>Octobre</w:t>
            </w:r>
            <w:r w:rsidR="002644E8">
              <w:rPr>
                <w:lang w:val="fr-CH" w:eastAsia="en-US"/>
              </w:rPr>
              <w:t> </w:t>
            </w:r>
            <w:r w:rsidRPr="002A388B">
              <w:rPr>
                <w:lang w:val="fr-CH" w:eastAsia="en-US"/>
              </w:rPr>
              <w:t>2018</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hideMark/>
          </w:tcPr>
          <w:p w:rsidR="006E5628" w:rsidRPr="002A388B" w:rsidRDefault="00EF53DF" w:rsidP="00EF53DF">
            <w:pPr>
              <w:pStyle w:val="ONUME"/>
              <w:tabs>
                <w:tab w:val="left" w:pos="720"/>
              </w:tabs>
              <w:rPr>
                <w:lang w:val="fr-CH" w:eastAsia="en-US"/>
              </w:rPr>
            </w:pPr>
            <w:r w:rsidRPr="002A388B">
              <w:rPr>
                <w:lang w:val="fr-CH" w:eastAsia="en-US"/>
              </w:rPr>
              <w:t>Réalisation d</w:t>
            </w:r>
            <w:r w:rsidR="005421A1">
              <w:rPr>
                <w:lang w:val="fr-CH" w:eastAsia="en-US"/>
              </w:rPr>
              <w:t>’</w:t>
            </w:r>
            <w:r w:rsidRPr="002A388B">
              <w:rPr>
                <w:lang w:val="fr-CH" w:eastAsia="en-US"/>
              </w:rPr>
              <w:t>une enquête sur les pratiques actuelles</w:t>
            </w:r>
            <w:r w:rsidR="006E5628" w:rsidRPr="002A388B">
              <w:rPr>
                <w:lang w:val="fr-CH" w:eastAsia="en-US"/>
              </w:rPr>
              <w:t xml:space="preserve"> </w:t>
            </w:r>
          </w:p>
        </w:tc>
        <w:tc>
          <w:tcPr>
            <w:tcW w:w="2520" w:type="pct"/>
            <w:tcBorders>
              <w:top w:val="single" w:sz="4" w:space="0" w:color="auto"/>
              <w:left w:val="single" w:sz="4" w:space="0" w:color="auto"/>
              <w:bottom w:val="single" w:sz="4" w:space="0" w:color="auto"/>
              <w:right w:val="single" w:sz="4" w:space="0" w:color="auto"/>
            </w:tcBorders>
            <w:hideMark/>
          </w:tcPr>
          <w:p w:rsidR="006E5628" w:rsidRPr="002A388B" w:rsidRDefault="00EF53DF" w:rsidP="00F2154B">
            <w:pPr>
              <w:pStyle w:val="ONUME"/>
              <w:tabs>
                <w:tab w:val="left" w:pos="720"/>
              </w:tabs>
              <w:rPr>
                <w:lang w:val="fr-CH" w:eastAsia="en-US"/>
              </w:rPr>
            </w:pPr>
            <w:r w:rsidRPr="002A388B">
              <w:rPr>
                <w:lang w:val="fr-CH" w:eastAsia="en-US"/>
              </w:rPr>
              <w:t xml:space="preserve">Le Bureau </w:t>
            </w:r>
            <w:r w:rsidR="00F2154B" w:rsidRPr="002A388B">
              <w:rPr>
                <w:lang w:val="fr-CH" w:eastAsia="en-US"/>
              </w:rPr>
              <w:t>i</w:t>
            </w:r>
            <w:r w:rsidRPr="002A388B">
              <w:rPr>
                <w:lang w:val="fr-CH" w:eastAsia="en-US"/>
              </w:rPr>
              <w:t>nternational envoie le questionnaire d</w:t>
            </w:r>
            <w:r w:rsidR="005421A1">
              <w:rPr>
                <w:lang w:val="fr-CH" w:eastAsia="en-US"/>
              </w:rPr>
              <w:t>’</w:t>
            </w:r>
            <w:r w:rsidRPr="002A388B">
              <w:rPr>
                <w:lang w:val="fr-CH" w:eastAsia="en-US"/>
              </w:rPr>
              <w:t>enquête aux offices de propriété intellectuelle et à d</w:t>
            </w:r>
            <w:r w:rsidR="005421A1">
              <w:rPr>
                <w:lang w:val="fr-CH" w:eastAsia="en-US"/>
              </w:rPr>
              <w:t>’</w:t>
            </w:r>
            <w:r w:rsidRPr="002A388B">
              <w:rPr>
                <w:lang w:val="fr-CH" w:eastAsia="en-US"/>
              </w:rPr>
              <w:t>autres parties prenantes.</w:t>
            </w:r>
          </w:p>
        </w:tc>
        <w:tc>
          <w:tcPr>
            <w:tcW w:w="1039" w:type="pct"/>
            <w:tcBorders>
              <w:top w:val="single" w:sz="4" w:space="0" w:color="auto"/>
              <w:left w:val="single" w:sz="4" w:space="0" w:color="auto"/>
              <w:bottom w:val="single" w:sz="4" w:space="0" w:color="auto"/>
              <w:right w:val="single" w:sz="4" w:space="0" w:color="auto"/>
            </w:tcBorders>
            <w:hideMark/>
          </w:tcPr>
          <w:p w:rsidR="006E5628" w:rsidRPr="002A388B" w:rsidRDefault="00EF53DF" w:rsidP="00EF53DF">
            <w:pPr>
              <w:pStyle w:val="ONUME"/>
              <w:tabs>
                <w:tab w:val="left" w:pos="720"/>
              </w:tabs>
              <w:rPr>
                <w:lang w:val="fr-CH" w:eastAsia="en-US"/>
              </w:rPr>
            </w:pPr>
            <w:r w:rsidRPr="002A388B">
              <w:rPr>
                <w:lang w:val="fr-CH" w:eastAsia="en-US"/>
              </w:rPr>
              <w:t>Décembre</w:t>
            </w:r>
            <w:r w:rsidR="002644E8">
              <w:rPr>
                <w:lang w:val="fr-CH" w:eastAsia="en-US"/>
              </w:rPr>
              <w:t> </w:t>
            </w:r>
            <w:r w:rsidRPr="002A388B">
              <w:rPr>
                <w:lang w:val="fr-CH" w:eastAsia="en-US"/>
              </w:rPr>
              <w:t>2018</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tcPr>
          <w:p w:rsidR="006E5628" w:rsidRPr="002A388B" w:rsidRDefault="00EF53DF" w:rsidP="00EF53DF">
            <w:pPr>
              <w:pStyle w:val="ONUME"/>
              <w:tabs>
                <w:tab w:val="left" w:pos="720"/>
              </w:tabs>
              <w:rPr>
                <w:lang w:val="fr-CH" w:eastAsia="en-US"/>
              </w:rPr>
            </w:pPr>
            <w:r w:rsidRPr="002A388B">
              <w:rPr>
                <w:lang w:val="fr-CH" w:eastAsia="en-US"/>
              </w:rPr>
              <w:t>Réponse des offices de propriété intellectuelle à l</w:t>
            </w:r>
            <w:r w:rsidR="005421A1">
              <w:rPr>
                <w:lang w:val="fr-CH" w:eastAsia="en-US"/>
              </w:rPr>
              <w:t>’</w:t>
            </w:r>
            <w:r w:rsidRPr="002A388B">
              <w:rPr>
                <w:lang w:val="fr-CH" w:eastAsia="en-US"/>
              </w:rPr>
              <w:t>enquête</w:t>
            </w:r>
          </w:p>
        </w:tc>
        <w:tc>
          <w:tcPr>
            <w:tcW w:w="2520" w:type="pct"/>
            <w:tcBorders>
              <w:top w:val="single" w:sz="4" w:space="0" w:color="auto"/>
              <w:left w:val="single" w:sz="4" w:space="0" w:color="auto"/>
              <w:bottom w:val="single" w:sz="4" w:space="0" w:color="auto"/>
              <w:right w:val="single" w:sz="4" w:space="0" w:color="auto"/>
            </w:tcBorders>
          </w:tcPr>
          <w:p w:rsidR="006E5628" w:rsidRPr="002A388B" w:rsidRDefault="00EF53DF" w:rsidP="00AD41EB">
            <w:pPr>
              <w:pStyle w:val="ONUME"/>
              <w:tabs>
                <w:tab w:val="left" w:pos="720"/>
              </w:tabs>
              <w:rPr>
                <w:lang w:val="fr-CH" w:eastAsia="en-US"/>
              </w:rPr>
            </w:pPr>
            <w:r w:rsidRPr="002A388B">
              <w:rPr>
                <w:lang w:val="fr-CH" w:eastAsia="en-US"/>
              </w:rPr>
              <w:t xml:space="preserve">Le Bureau </w:t>
            </w:r>
            <w:r w:rsidR="00AD41EB" w:rsidRPr="002A388B">
              <w:rPr>
                <w:lang w:val="fr-CH" w:eastAsia="en-US"/>
              </w:rPr>
              <w:t>i</w:t>
            </w:r>
            <w:r w:rsidRPr="002A388B">
              <w:rPr>
                <w:lang w:val="fr-CH" w:eastAsia="en-US"/>
              </w:rPr>
              <w:t>nternational reçoit les réponses des offices de propriété intellectuelle.</w:t>
            </w:r>
          </w:p>
        </w:tc>
        <w:tc>
          <w:tcPr>
            <w:tcW w:w="1039" w:type="pct"/>
            <w:tcBorders>
              <w:top w:val="single" w:sz="4" w:space="0" w:color="auto"/>
              <w:left w:val="single" w:sz="4" w:space="0" w:color="auto"/>
              <w:bottom w:val="single" w:sz="4" w:space="0" w:color="auto"/>
              <w:right w:val="single" w:sz="4" w:space="0" w:color="auto"/>
            </w:tcBorders>
          </w:tcPr>
          <w:p w:rsidR="006E5628" w:rsidRPr="002A388B" w:rsidRDefault="00EF53DF" w:rsidP="00EF53DF">
            <w:pPr>
              <w:pStyle w:val="ONUME"/>
              <w:tabs>
                <w:tab w:val="left" w:pos="720"/>
              </w:tabs>
              <w:rPr>
                <w:lang w:val="fr-CH" w:eastAsia="en-US"/>
              </w:rPr>
            </w:pPr>
            <w:r w:rsidRPr="002A388B">
              <w:rPr>
                <w:lang w:val="fr-CH" w:eastAsia="en-US"/>
              </w:rPr>
              <w:t>Février</w:t>
            </w:r>
            <w:r w:rsidR="002644E8">
              <w:rPr>
                <w:lang w:val="fr-CH" w:eastAsia="en-US"/>
              </w:rPr>
              <w:t> </w:t>
            </w:r>
            <w:r w:rsidRPr="002A388B">
              <w:rPr>
                <w:lang w:val="fr-CH" w:eastAsia="en-US"/>
              </w:rPr>
              <w:t>2019</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tcPr>
          <w:p w:rsidR="006E5628" w:rsidRPr="002A388B" w:rsidRDefault="00EF53DF" w:rsidP="00EF53DF">
            <w:pPr>
              <w:pStyle w:val="ONUME"/>
              <w:tabs>
                <w:tab w:val="left" w:pos="720"/>
              </w:tabs>
              <w:rPr>
                <w:lang w:val="fr-CH" w:eastAsia="en-US"/>
              </w:rPr>
            </w:pPr>
            <w:r w:rsidRPr="002A388B">
              <w:rPr>
                <w:lang w:val="fr-CH" w:eastAsia="en-US"/>
              </w:rPr>
              <w:t>Communication des réponses à l</w:t>
            </w:r>
            <w:r w:rsidR="005421A1">
              <w:rPr>
                <w:lang w:val="fr-CH" w:eastAsia="en-US"/>
              </w:rPr>
              <w:t>’</w:t>
            </w:r>
            <w:r w:rsidRPr="002A388B">
              <w:rPr>
                <w:lang w:val="fr-CH" w:eastAsia="en-US"/>
              </w:rPr>
              <w:t>enquête à l</w:t>
            </w:r>
            <w:r w:rsidR="005421A1">
              <w:rPr>
                <w:lang w:val="fr-CH" w:eastAsia="en-US"/>
              </w:rPr>
              <w:t>’</w:t>
            </w:r>
            <w:r w:rsidRPr="002A388B">
              <w:rPr>
                <w:lang w:val="fr-CH" w:eastAsia="en-US"/>
              </w:rPr>
              <w:t>équipe d</w:t>
            </w:r>
            <w:r w:rsidR="005421A1">
              <w:rPr>
                <w:lang w:val="fr-CH" w:eastAsia="en-US"/>
              </w:rPr>
              <w:t>’</w:t>
            </w:r>
            <w:r w:rsidRPr="002A388B">
              <w:rPr>
                <w:lang w:val="fr-CH" w:eastAsia="en-US"/>
              </w:rPr>
              <w:t>experts chargée de la représentation des dessins et modèles</w:t>
            </w:r>
          </w:p>
        </w:tc>
        <w:tc>
          <w:tcPr>
            <w:tcW w:w="2520" w:type="pct"/>
            <w:tcBorders>
              <w:top w:val="single" w:sz="4" w:space="0" w:color="auto"/>
              <w:left w:val="single" w:sz="4" w:space="0" w:color="auto"/>
              <w:bottom w:val="single" w:sz="4" w:space="0" w:color="auto"/>
              <w:right w:val="single" w:sz="4" w:space="0" w:color="auto"/>
            </w:tcBorders>
          </w:tcPr>
          <w:p w:rsidR="006E5628" w:rsidRPr="002A388B" w:rsidRDefault="00EF53DF" w:rsidP="00F2154B">
            <w:pPr>
              <w:pStyle w:val="ONUME"/>
              <w:tabs>
                <w:tab w:val="left" w:pos="720"/>
              </w:tabs>
              <w:rPr>
                <w:lang w:val="fr-CH" w:eastAsia="en-US"/>
              </w:rPr>
            </w:pPr>
            <w:r w:rsidRPr="002A388B">
              <w:rPr>
                <w:lang w:val="fr-CH" w:eastAsia="en-US"/>
              </w:rPr>
              <w:t>Le Bureau international publie les réponses à l</w:t>
            </w:r>
            <w:r w:rsidR="005421A1">
              <w:rPr>
                <w:lang w:val="fr-CH" w:eastAsia="en-US"/>
              </w:rPr>
              <w:t>’</w:t>
            </w:r>
            <w:r w:rsidRPr="002A388B">
              <w:rPr>
                <w:lang w:val="fr-CH" w:eastAsia="en-US"/>
              </w:rPr>
              <w:t>enquête sur l</w:t>
            </w:r>
            <w:r w:rsidR="00F2154B" w:rsidRPr="002A388B">
              <w:rPr>
                <w:lang w:val="fr-CH" w:eastAsia="en-US"/>
              </w:rPr>
              <w:t>a</w:t>
            </w:r>
            <w:r w:rsidRPr="002A388B">
              <w:rPr>
                <w:lang w:val="fr-CH" w:eastAsia="en-US"/>
              </w:rPr>
              <w:t xml:space="preserve"> </w:t>
            </w:r>
            <w:r w:rsidR="00813549" w:rsidRPr="002A388B">
              <w:rPr>
                <w:lang w:val="fr-CH" w:eastAsia="en-US"/>
              </w:rPr>
              <w:t>page</w:t>
            </w:r>
            <w:r w:rsidR="00813549">
              <w:rPr>
                <w:lang w:val="fr-CH" w:eastAsia="en-US"/>
              </w:rPr>
              <w:t> </w:t>
            </w:r>
            <w:r w:rsidR="00813549" w:rsidRPr="002A388B">
              <w:rPr>
                <w:lang w:val="fr-CH" w:eastAsia="en-US"/>
              </w:rPr>
              <w:t>W</w:t>
            </w:r>
            <w:r w:rsidRPr="002A388B">
              <w:rPr>
                <w:lang w:val="fr-CH" w:eastAsia="en-US"/>
              </w:rPr>
              <w:t>iki de l</w:t>
            </w:r>
            <w:r w:rsidR="005421A1">
              <w:rPr>
                <w:lang w:val="fr-CH" w:eastAsia="en-US"/>
              </w:rPr>
              <w:t>’</w:t>
            </w:r>
            <w:r w:rsidRPr="002A388B">
              <w:rPr>
                <w:lang w:val="fr-CH" w:eastAsia="en-US"/>
              </w:rPr>
              <w:t>équipe d</w:t>
            </w:r>
            <w:r w:rsidR="005421A1">
              <w:rPr>
                <w:lang w:val="fr-CH" w:eastAsia="en-US"/>
              </w:rPr>
              <w:t>’</w:t>
            </w:r>
            <w:r w:rsidRPr="002A388B">
              <w:rPr>
                <w:lang w:val="fr-CH" w:eastAsia="en-US"/>
              </w:rPr>
              <w:t>experts chargée de la représentation des dessins et modèles.</w:t>
            </w:r>
          </w:p>
        </w:tc>
        <w:tc>
          <w:tcPr>
            <w:tcW w:w="1039" w:type="pct"/>
            <w:tcBorders>
              <w:top w:val="single" w:sz="4" w:space="0" w:color="auto"/>
              <w:left w:val="single" w:sz="4" w:space="0" w:color="auto"/>
              <w:bottom w:val="single" w:sz="4" w:space="0" w:color="auto"/>
              <w:right w:val="single" w:sz="4" w:space="0" w:color="auto"/>
            </w:tcBorders>
          </w:tcPr>
          <w:p w:rsidR="006E5628" w:rsidRPr="002A388B" w:rsidRDefault="00EF53DF" w:rsidP="00EF53DF">
            <w:pPr>
              <w:pStyle w:val="ONUME"/>
              <w:tabs>
                <w:tab w:val="left" w:pos="720"/>
              </w:tabs>
              <w:rPr>
                <w:lang w:val="fr-CH" w:eastAsia="en-US"/>
              </w:rPr>
            </w:pPr>
            <w:r w:rsidRPr="002A388B">
              <w:rPr>
                <w:lang w:val="fr-CH" w:eastAsia="en-US"/>
              </w:rPr>
              <w:t>Mars</w:t>
            </w:r>
            <w:r w:rsidR="002644E8">
              <w:rPr>
                <w:lang w:val="fr-CH" w:eastAsia="en-US"/>
              </w:rPr>
              <w:t> </w:t>
            </w:r>
            <w:r w:rsidRPr="002A388B">
              <w:rPr>
                <w:lang w:val="fr-CH" w:eastAsia="en-US"/>
              </w:rPr>
              <w:t>2019</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hideMark/>
          </w:tcPr>
          <w:p w:rsidR="00540FFE" w:rsidRPr="002A388B" w:rsidRDefault="00A35945" w:rsidP="00A35945">
            <w:pPr>
              <w:pStyle w:val="ONUME"/>
              <w:tabs>
                <w:tab w:val="left" w:pos="720"/>
              </w:tabs>
              <w:rPr>
                <w:lang w:val="fr-CH" w:eastAsia="en-US"/>
              </w:rPr>
            </w:pPr>
            <w:r w:rsidRPr="002A388B">
              <w:rPr>
                <w:lang w:val="fr-CH" w:eastAsia="en-US"/>
              </w:rPr>
              <w:t>Collecte et analyse des réponses à l</w:t>
            </w:r>
            <w:r w:rsidR="005421A1">
              <w:rPr>
                <w:lang w:val="fr-CH" w:eastAsia="en-US"/>
              </w:rPr>
              <w:t>’</w:t>
            </w:r>
            <w:r w:rsidRPr="002A388B">
              <w:rPr>
                <w:lang w:val="fr-CH" w:eastAsia="en-US"/>
              </w:rPr>
              <w:t>enquête</w:t>
            </w:r>
          </w:p>
        </w:tc>
        <w:tc>
          <w:tcPr>
            <w:tcW w:w="2520" w:type="pct"/>
            <w:tcBorders>
              <w:top w:val="single" w:sz="4" w:space="0" w:color="auto"/>
              <w:left w:val="single" w:sz="4" w:space="0" w:color="auto"/>
              <w:bottom w:val="single" w:sz="4" w:space="0" w:color="auto"/>
              <w:right w:val="single" w:sz="4" w:space="0" w:color="auto"/>
            </w:tcBorders>
            <w:hideMark/>
          </w:tcPr>
          <w:p w:rsidR="00540FFE" w:rsidRPr="002A388B" w:rsidRDefault="00A35945" w:rsidP="00DF2E2B">
            <w:pPr>
              <w:pStyle w:val="ONUME"/>
              <w:tabs>
                <w:tab w:val="left" w:pos="720"/>
              </w:tabs>
              <w:rPr>
                <w:lang w:val="fr-CH" w:eastAsia="en-US"/>
              </w:rPr>
            </w:pPr>
            <w:r w:rsidRPr="002A388B">
              <w:rPr>
                <w:lang w:val="fr-CH" w:eastAsia="en-US"/>
              </w:rPr>
              <w:t>L</w:t>
            </w:r>
            <w:r w:rsidR="005421A1">
              <w:rPr>
                <w:lang w:val="fr-CH" w:eastAsia="en-US"/>
              </w:rPr>
              <w:t>’</w:t>
            </w:r>
            <w:r w:rsidRPr="002A388B">
              <w:rPr>
                <w:lang w:val="fr-CH" w:eastAsia="en-US"/>
              </w:rPr>
              <w:t>équipe d</w:t>
            </w:r>
            <w:r w:rsidR="005421A1">
              <w:rPr>
                <w:lang w:val="fr-CH" w:eastAsia="en-US"/>
              </w:rPr>
              <w:t>’</w:t>
            </w:r>
            <w:r w:rsidRPr="002A388B">
              <w:rPr>
                <w:lang w:val="fr-CH" w:eastAsia="en-US"/>
              </w:rPr>
              <w:t xml:space="preserve">experts </w:t>
            </w:r>
            <w:r w:rsidR="00DF2E2B" w:rsidRPr="002A388B">
              <w:rPr>
                <w:lang w:val="fr-CH" w:eastAsia="en-US"/>
              </w:rPr>
              <w:t xml:space="preserve">élabore un </w:t>
            </w:r>
            <w:r w:rsidRPr="002A388B">
              <w:rPr>
                <w:lang w:val="fr-CH" w:eastAsia="en-US"/>
              </w:rPr>
              <w:t>résum</w:t>
            </w:r>
            <w:r w:rsidR="00DF2E2B" w:rsidRPr="002A388B">
              <w:rPr>
                <w:lang w:val="fr-CH" w:eastAsia="en-US"/>
              </w:rPr>
              <w:t>é</w:t>
            </w:r>
            <w:r w:rsidRPr="002A388B">
              <w:rPr>
                <w:lang w:val="fr-CH" w:eastAsia="en-US"/>
              </w:rPr>
              <w:t xml:space="preserve"> </w:t>
            </w:r>
            <w:r w:rsidR="00DF2E2B" w:rsidRPr="002A388B">
              <w:rPr>
                <w:lang w:val="fr-CH" w:eastAsia="en-US"/>
              </w:rPr>
              <w:t>d</w:t>
            </w:r>
            <w:r w:rsidRPr="002A388B">
              <w:rPr>
                <w:lang w:val="fr-CH" w:eastAsia="en-US"/>
              </w:rPr>
              <w:t>es résultats de l</w:t>
            </w:r>
            <w:r w:rsidR="005421A1">
              <w:rPr>
                <w:lang w:val="fr-CH" w:eastAsia="en-US"/>
              </w:rPr>
              <w:t>’</w:t>
            </w:r>
            <w:r w:rsidRPr="002A388B">
              <w:rPr>
                <w:lang w:val="fr-CH" w:eastAsia="en-US"/>
              </w:rPr>
              <w:t>enquête.</w:t>
            </w:r>
          </w:p>
        </w:tc>
        <w:tc>
          <w:tcPr>
            <w:tcW w:w="1039" w:type="pct"/>
            <w:tcBorders>
              <w:top w:val="single" w:sz="4" w:space="0" w:color="auto"/>
              <w:left w:val="single" w:sz="4" w:space="0" w:color="auto"/>
              <w:bottom w:val="single" w:sz="4" w:space="0" w:color="auto"/>
              <w:right w:val="single" w:sz="4" w:space="0" w:color="auto"/>
            </w:tcBorders>
            <w:hideMark/>
          </w:tcPr>
          <w:p w:rsidR="00540FFE" w:rsidRPr="002A388B" w:rsidRDefault="00A35945" w:rsidP="00A35945">
            <w:pPr>
              <w:pStyle w:val="ONUME"/>
              <w:tabs>
                <w:tab w:val="left" w:pos="720"/>
              </w:tabs>
              <w:rPr>
                <w:lang w:val="fr-CH" w:eastAsia="en-US"/>
              </w:rPr>
            </w:pPr>
            <w:r w:rsidRPr="002A388B">
              <w:rPr>
                <w:lang w:val="fr-CH" w:eastAsia="en-US"/>
              </w:rPr>
              <w:t>Avril</w:t>
            </w:r>
            <w:r w:rsidR="002644E8">
              <w:rPr>
                <w:lang w:val="fr-CH" w:eastAsia="en-US"/>
              </w:rPr>
              <w:t> </w:t>
            </w:r>
            <w:r w:rsidRPr="002A388B">
              <w:rPr>
                <w:lang w:val="fr-CH" w:eastAsia="en-US"/>
              </w:rPr>
              <w:t>2019</w:t>
            </w:r>
          </w:p>
        </w:tc>
      </w:tr>
      <w:tr w:rsidR="00FE4DFF" w:rsidRPr="002A388B" w:rsidTr="00FE4DFF">
        <w:trPr>
          <w:tblHeader/>
        </w:trPr>
        <w:tc>
          <w:tcPr>
            <w:tcW w:w="1441" w:type="pct"/>
            <w:tcBorders>
              <w:top w:val="single" w:sz="4" w:space="0" w:color="auto"/>
              <w:left w:val="single" w:sz="4" w:space="0" w:color="auto"/>
              <w:bottom w:val="single" w:sz="4" w:space="0" w:color="auto"/>
              <w:right w:val="single" w:sz="4" w:space="0" w:color="auto"/>
            </w:tcBorders>
            <w:vAlign w:val="center"/>
            <w:hideMark/>
          </w:tcPr>
          <w:p w:rsidR="00FE4DFF" w:rsidRPr="002A388B" w:rsidRDefault="00FE4DFF" w:rsidP="006A6562">
            <w:pPr>
              <w:pStyle w:val="ONUME"/>
              <w:tabs>
                <w:tab w:val="left" w:pos="720"/>
              </w:tabs>
              <w:jc w:val="center"/>
              <w:rPr>
                <w:lang w:val="fr-CH" w:eastAsia="en-US"/>
              </w:rPr>
            </w:pPr>
            <w:r w:rsidRPr="002A388B">
              <w:rPr>
                <w:lang w:val="fr-CH" w:eastAsia="en-US"/>
              </w:rPr>
              <w:lastRenderedPageBreak/>
              <w:t>Mesure</w:t>
            </w:r>
          </w:p>
        </w:tc>
        <w:tc>
          <w:tcPr>
            <w:tcW w:w="2520" w:type="pct"/>
            <w:tcBorders>
              <w:top w:val="single" w:sz="4" w:space="0" w:color="auto"/>
              <w:left w:val="single" w:sz="4" w:space="0" w:color="auto"/>
              <w:bottom w:val="single" w:sz="4" w:space="0" w:color="auto"/>
              <w:right w:val="single" w:sz="4" w:space="0" w:color="auto"/>
            </w:tcBorders>
            <w:vAlign w:val="center"/>
            <w:hideMark/>
          </w:tcPr>
          <w:p w:rsidR="00FE4DFF" w:rsidRPr="002A388B" w:rsidRDefault="00FE4DFF" w:rsidP="006A6562">
            <w:pPr>
              <w:pStyle w:val="ONUME"/>
              <w:tabs>
                <w:tab w:val="left" w:pos="720"/>
              </w:tabs>
              <w:jc w:val="center"/>
              <w:rPr>
                <w:lang w:val="fr-CH" w:eastAsia="en-US"/>
              </w:rPr>
            </w:pPr>
            <w:r w:rsidRPr="002A388B">
              <w:rPr>
                <w:lang w:val="fr-CH" w:eastAsia="en-US"/>
              </w:rPr>
              <w:t>Résultat escompté</w:t>
            </w:r>
          </w:p>
        </w:tc>
        <w:tc>
          <w:tcPr>
            <w:tcW w:w="1039" w:type="pct"/>
            <w:tcBorders>
              <w:top w:val="single" w:sz="4" w:space="0" w:color="auto"/>
              <w:left w:val="single" w:sz="4" w:space="0" w:color="auto"/>
              <w:bottom w:val="single" w:sz="4" w:space="0" w:color="auto"/>
              <w:right w:val="single" w:sz="4" w:space="0" w:color="auto"/>
            </w:tcBorders>
            <w:vAlign w:val="center"/>
            <w:hideMark/>
          </w:tcPr>
          <w:p w:rsidR="00FE4DFF" w:rsidRPr="002A388B" w:rsidRDefault="00FE4DFF" w:rsidP="006A6562">
            <w:pPr>
              <w:pStyle w:val="ONUME"/>
              <w:tabs>
                <w:tab w:val="left" w:pos="720"/>
              </w:tabs>
              <w:jc w:val="center"/>
              <w:rPr>
                <w:lang w:val="fr-CH" w:eastAsia="en-US"/>
              </w:rPr>
            </w:pPr>
            <w:r w:rsidRPr="002A388B">
              <w:rPr>
                <w:lang w:val="fr-CH" w:eastAsia="en-US"/>
              </w:rPr>
              <w:t>Date prévue</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tcPr>
          <w:p w:rsidR="00540FFE" w:rsidRPr="002A388B" w:rsidRDefault="00A35945" w:rsidP="00A35945">
            <w:pPr>
              <w:pStyle w:val="ONUME"/>
              <w:tabs>
                <w:tab w:val="left" w:pos="720"/>
              </w:tabs>
              <w:rPr>
                <w:lang w:val="fr-CH" w:eastAsia="en-US"/>
              </w:rPr>
            </w:pPr>
            <w:r w:rsidRPr="002A388B">
              <w:rPr>
                <w:lang w:val="fr-CH" w:eastAsia="en-US"/>
              </w:rPr>
              <w:t>Élaboration d</w:t>
            </w:r>
            <w:r w:rsidR="005421A1">
              <w:rPr>
                <w:lang w:val="fr-CH" w:eastAsia="en-US"/>
              </w:rPr>
              <w:t>’</w:t>
            </w:r>
            <w:r w:rsidRPr="002A388B">
              <w:rPr>
                <w:lang w:val="fr-CH" w:eastAsia="en-US"/>
              </w:rPr>
              <w:t>une nouvelle norme de l</w:t>
            </w:r>
            <w:r w:rsidR="005421A1">
              <w:rPr>
                <w:lang w:val="fr-CH" w:eastAsia="en-US"/>
              </w:rPr>
              <w:t>’</w:t>
            </w:r>
            <w:r w:rsidRPr="002A388B">
              <w:rPr>
                <w:lang w:val="fr-CH" w:eastAsia="en-US"/>
              </w:rPr>
              <w:t>OMPI</w:t>
            </w:r>
          </w:p>
        </w:tc>
        <w:tc>
          <w:tcPr>
            <w:tcW w:w="2520" w:type="pct"/>
            <w:tcBorders>
              <w:top w:val="single" w:sz="4" w:space="0" w:color="auto"/>
              <w:left w:val="single" w:sz="4" w:space="0" w:color="auto"/>
              <w:bottom w:val="single" w:sz="4" w:space="0" w:color="auto"/>
              <w:right w:val="single" w:sz="4" w:space="0" w:color="auto"/>
            </w:tcBorders>
          </w:tcPr>
          <w:p w:rsidR="00540FFE" w:rsidRPr="002A388B" w:rsidRDefault="00A35945" w:rsidP="00A35945">
            <w:pPr>
              <w:pStyle w:val="ONUME"/>
              <w:tabs>
                <w:tab w:val="left" w:pos="720"/>
              </w:tabs>
              <w:rPr>
                <w:lang w:val="fr-CH" w:eastAsia="en-US"/>
              </w:rPr>
            </w:pPr>
            <w:r w:rsidRPr="002A388B">
              <w:rPr>
                <w:lang w:val="fr-CH" w:eastAsia="en-US"/>
              </w:rPr>
              <w:t>Projet de norme de l</w:t>
            </w:r>
            <w:r w:rsidR="005421A1">
              <w:rPr>
                <w:lang w:val="fr-CH" w:eastAsia="en-US"/>
              </w:rPr>
              <w:t>’</w:t>
            </w:r>
            <w:r w:rsidRPr="002A388B">
              <w:rPr>
                <w:lang w:val="fr-CH" w:eastAsia="en-US"/>
              </w:rPr>
              <w:t>OMPI.</w:t>
            </w:r>
          </w:p>
        </w:tc>
        <w:tc>
          <w:tcPr>
            <w:tcW w:w="1039" w:type="pct"/>
            <w:tcBorders>
              <w:top w:val="single" w:sz="4" w:space="0" w:color="auto"/>
              <w:left w:val="single" w:sz="4" w:space="0" w:color="auto"/>
              <w:bottom w:val="single" w:sz="4" w:space="0" w:color="auto"/>
              <w:right w:val="single" w:sz="4" w:space="0" w:color="auto"/>
            </w:tcBorders>
          </w:tcPr>
          <w:p w:rsidR="00540FFE" w:rsidRPr="002A388B" w:rsidRDefault="00A35945" w:rsidP="00A35945">
            <w:pPr>
              <w:pStyle w:val="ONUME"/>
              <w:tabs>
                <w:tab w:val="left" w:pos="720"/>
              </w:tabs>
              <w:rPr>
                <w:lang w:val="fr-CH" w:eastAsia="en-US"/>
              </w:rPr>
            </w:pPr>
            <w:r w:rsidRPr="002A388B">
              <w:rPr>
                <w:lang w:val="fr-CH" w:eastAsia="en-US"/>
              </w:rPr>
              <w:t>Juin</w:t>
            </w:r>
            <w:r w:rsidR="002644E8">
              <w:rPr>
                <w:lang w:val="fr-CH" w:eastAsia="en-US"/>
              </w:rPr>
              <w:t> </w:t>
            </w:r>
            <w:r w:rsidRPr="002A388B">
              <w:rPr>
                <w:lang w:val="fr-CH" w:eastAsia="en-US"/>
              </w:rPr>
              <w:t>2019</w:t>
            </w:r>
          </w:p>
        </w:tc>
      </w:tr>
      <w:tr w:rsidR="00F248DF" w:rsidRPr="002A388B" w:rsidTr="00FE4DFF">
        <w:trPr>
          <w:tblHeader/>
        </w:trPr>
        <w:tc>
          <w:tcPr>
            <w:tcW w:w="1441" w:type="pct"/>
            <w:tcBorders>
              <w:top w:val="single" w:sz="4" w:space="0" w:color="auto"/>
              <w:left w:val="single" w:sz="4" w:space="0" w:color="auto"/>
              <w:bottom w:val="single" w:sz="4" w:space="0" w:color="auto"/>
              <w:right w:val="single" w:sz="4" w:space="0" w:color="auto"/>
            </w:tcBorders>
            <w:hideMark/>
          </w:tcPr>
          <w:p w:rsidR="00CD67B8" w:rsidRPr="002A388B" w:rsidRDefault="00A35945" w:rsidP="00A35945">
            <w:pPr>
              <w:pStyle w:val="ONUME"/>
              <w:tabs>
                <w:tab w:val="left" w:pos="720"/>
              </w:tabs>
              <w:rPr>
                <w:lang w:val="fr-CH" w:eastAsia="en-US"/>
              </w:rPr>
            </w:pPr>
            <w:r w:rsidRPr="002A388B">
              <w:rPr>
                <w:lang w:val="fr-CH" w:eastAsia="en-US"/>
              </w:rPr>
              <w:t>Présentation du projet de norme de l</w:t>
            </w:r>
            <w:r w:rsidR="005421A1">
              <w:rPr>
                <w:lang w:val="fr-CH" w:eastAsia="en-US"/>
              </w:rPr>
              <w:t>’</w:t>
            </w:r>
            <w:r w:rsidRPr="002A388B">
              <w:rPr>
                <w:lang w:val="fr-CH" w:eastAsia="en-US"/>
              </w:rPr>
              <w:t>OMPI pour examen ou approbation à la sept</w:t>
            </w:r>
            <w:r w:rsidR="00813549">
              <w:rPr>
                <w:lang w:val="fr-CH" w:eastAsia="en-US"/>
              </w:rPr>
              <w:t>ième session</w:t>
            </w:r>
            <w:r w:rsidR="00813549" w:rsidRPr="002A388B">
              <w:rPr>
                <w:lang w:val="fr-CH" w:eastAsia="en-US"/>
              </w:rPr>
              <w:t xml:space="preserve"> du</w:t>
            </w:r>
            <w:r w:rsidR="00813549">
              <w:rPr>
                <w:lang w:val="fr-CH" w:eastAsia="en-US"/>
              </w:rPr>
              <w:t> </w:t>
            </w:r>
            <w:r w:rsidR="00813549" w:rsidRPr="002A388B">
              <w:rPr>
                <w:lang w:val="fr-CH" w:eastAsia="en-US"/>
              </w:rPr>
              <w:t>CWS</w:t>
            </w:r>
            <w:r w:rsidRPr="002A388B">
              <w:rPr>
                <w:lang w:val="fr-CH" w:eastAsia="en-US"/>
              </w:rPr>
              <w:t xml:space="preserve"> (CWS/7).</w:t>
            </w:r>
          </w:p>
          <w:p w:rsidR="00540FFE" w:rsidRPr="002A388B" w:rsidRDefault="00315DFE" w:rsidP="00315DFE">
            <w:pPr>
              <w:pStyle w:val="ONUME"/>
              <w:tabs>
                <w:tab w:val="left" w:pos="720"/>
              </w:tabs>
              <w:rPr>
                <w:i/>
                <w:lang w:val="fr-CH" w:eastAsia="en-US"/>
              </w:rPr>
            </w:pPr>
            <w:r w:rsidRPr="002A388B">
              <w:rPr>
                <w:i/>
                <w:lang w:val="fr-CH" w:eastAsia="en-US"/>
              </w:rPr>
              <w:t>[Note</w:t>
            </w:r>
            <w:r w:rsidR="00813549">
              <w:rPr>
                <w:i/>
                <w:lang w:val="fr-CH" w:eastAsia="en-US"/>
              </w:rPr>
              <w:t> :</w:t>
            </w:r>
            <w:r w:rsidRPr="002A388B">
              <w:rPr>
                <w:i/>
                <w:lang w:val="fr-CH" w:eastAsia="en-US"/>
              </w:rPr>
              <w:t xml:space="preserve"> en fonction des dates de la sept</w:t>
            </w:r>
            <w:r w:rsidR="00813549">
              <w:rPr>
                <w:i/>
                <w:lang w:val="fr-CH" w:eastAsia="en-US"/>
              </w:rPr>
              <w:t>ième session</w:t>
            </w:r>
            <w:r w:rsidR="00813549" w:rsidRPr="002A388B">
              <w:rPr>
                <w:i/>
                <w:lang w:val="fr-CH" w:eastAsia="en-US"/>
              </w:rPr>
              <w:t xml:space="preserve"> du</w:t>
            </w:r>
            <w:r w:rsidR="00813549">
              <w:rPr>
                <w:i/>
                <w:lang w:val="fr-CH" w:eastAsia="en-US"/>
              </w:rPr>
              <w:t> </w:t>
            </w:r>
            <w:r w:rsidR="00813549" w:rsidRPr="002A388B">
              <w:rPr>
                <w:i/>
                <w:lang w:val="fr-CH" w:eastAsia="en-US"/>
              </w:rPr>
              <w:t>CWS</w:t>
            </w:r>
            <w:r w:rsidRPr="002A388B">
              <w:rPr>
                <w:i/>
                <w:lang w:val="fr-CH" w:eastAsia="en-US"/>
              </w:rPr>
              <w:t>]</w:t>
            </w:r>
          </w:p>
        </w:tc>
        <w:tc>
          <w:tcPr>
            <w:tcW w:w="2520" w:type="pct"/>
            <w:tcBorders>
              <w:top w:val="single" w:sz="4" w:space="0" w:color="auto"/>
              <w:left w:val="single" w:sz="4" w:space="0" w:color="auto"/>
              <w:bottom w:val="single" w:sz="4" w:space="0" w:color="auto"/>
              <w:right w:val="single" w:sz="4" w:space="0" w:color="auto"/>
            </w:tcBorders>
            <w:hideMark/>
          </w:tcPr>
          <w:p w:rsidR="00540FFE" w:rsidRPr="002A388B" w:rsidRDefault="00315DFE" w:rsidP="00315DFE">
            <w:pPr>
              <w:pStyle w:val="ONUME"/>
              <w:tabs>
                <w:tab w:val="left" w:pos="720"/>
              </w:tabs>
              <w:rPr>
                <w:lang w:val="fr-CH" w:eastAsia="en-US"/>
              </w:rPr>
            </w:pPr>
            <w:r w:rsidRPr="002A388B">
              <w:rPr>
                <w:lang w:val="fr-CH" w:eastAsia="en-US"/>
              </w:rPr>
              <w:t>Adoption de la nouvelle norme de l</w:t>
            </w:r>
            <w:r w:rsidR="005421A1">
              <w:rPr>
                <w:lang w:val="fr-CH" w:eastAsia="en-US"/>
              </w:rPr>
              <w:t>’</w:t>
            </w:r>
            <w:r w:rsidRPr="002A388B">
              <w:rPr>
                <w:lang w:val="fr-CH" w:eastAsia="en-US"/>
              </w:rPr>
              <w:t>OMPI ou communication d</w:t>
            </w:r>
            <w:r w:rsidR="005421A1">
              <w:rPr>
                <w:lang w:val="fr-CH" w:eastAsia="en-US"/>
              </w:rPr>
              <w:t>’</w:t>
            </w:r>
            <w:r w:rsidRPr="002A388B">
              <w:rPr>
                <w:lang w:val="fr-CH" w:eastAsia="en-US"/>
              </w:rPr>
              <w:t>orientations par les participants à la sept</w:t>
            </w:r>
            <w:r w:rsidR="00813549">
              <w:rPr>
                <w:lang w:val="fr-CH" w:eastAsia="en-US"/>
              </w:rPr>
              <w:t>ième session</w:t>
            </w:r>
            <w:r w:rsidR="00813549" w:rsidRPr="002A388B">
              <w:rPr>
                <w:lang w:val="fr-CH" w:eastAsia="en-US"/>
              </w:rPr>
              <w:t xml:space="preserve"> du</w:t>
            </w:r>
            <w:r w:rsidR="00813549">
              <w:rPr>
                <w:lang w:val="fr-CH" w:eastAsia="en-US"/>
              </w:rPr>
              <w:t> </w:t>
            </w:r>
            <w:r w:rsidR="00813549" w:rsidRPr="002A388B">
              <w:rPr>
                <w:lang w:val="fr-CH" w:eastAsia="en-US"/>
              </w:rPr>
              <w:t>CWS</w:t>
            </w:r>
            <w:r w:rsidRPr="002A388B">
              <w:rPr>
                <w:lang w:val="fr-CH" w:eastAsia="en-US"/>
              </w:rPr>
              <w:t>.</w:t>
            </w:r>
          </w:p>
        </w:tc>
        <w:tc>
          <w:tcPr>
            <w:tcW w:w="1039" w:type="pct"/>
            <w:tcBorders>
              <w:top w:val="single" w:sz="4" w:space="0" w:color="auto"/>
              <w:left w:val="single" w:sz="4" w:space="0" w:color="auto"/>
              <w:bottom w:val="single" w:sz="4" w:space="0" w:color="auto"/>
              <w:right w:val="single" w:sz="4" w:space="0" w:color="auto"/>
            </w:tcBorders>
            <w:hideMark/>
          </w:tcPr>
          <w:p w:rsidR="00540FFE" w:rsidRPr="002A388B" w:rsidRDefault="00315DFE" w:rsidP="00315DFE">
            <w:pPr>
              <w:pStyle w:val="ONUME"/>
              <w:tabs>
                <w:tab w:val="left" w:pos="720"/>
              </w:tabs>
              <w:rPr>
                <w:lang w:val="fr-CH" w:eastAsia="en-US"/>
              </w:rPr>
            </w:pPr>
            <w:r w:rsidRPr="002A388B">
              <w:rPr>
                <w:lang w:val="fr-CH" w:eastAsia="en-US"/>
              </w:rPr>
              <w:t>2019 (sept</w:t>
            </w:r>
            <w:r w:rsidR="00813549">
              <w:rPr>
                <w:lang w:val="fr-CH" w:eastAsia="en-US"/>
              </w:rPr>
              <w:t>ième session</w:t>
            </w:r>
            <w:r w:rsidR="00813549" w:rsidRPr="002A388B">
              <w:rPr>
                <w:lang w:val="fr-CH" w:eastAsia="en-US"/>
              </w:rPr>
              <w:t xml:space="preserve"> du</w:t>
            </w:r>
            <w:r w:rsidR="00813549">
              <w:rPr>
                <w:lang w:val="fr-CH" w:eastAsia="en-US"/>
              </w:rPr>
              <w:t> </w:t>
            </w:r>
            <w:r w:rsidR="00813549" w:rsidRPr="002A388B">
              <w:rPr>
                <w:lang w:val="fr-CH" w:eastAsia="en-US"/>
              </w:rPr>
              <w:t>CWS</w:t>
            </w:r>
            <w:r w:rsidRPr="002A388B">
              <w:rPr>
                <w:lang w:val="fr-CH" w:eastAsia="en-US"/>
              </w:rPr>
              <w:t>)</w:t>
            </w:r>
          </w:p>
        </w:tc>
      </w:tr>
    </w:tbl>
    <w:p w:rsidR="00CD67B8" w:rsidRPr="002A388B" w:rsidRDefault="00CD67B8" w:rsidP="006E5628">
      <w:pPr>
        <w:rPr>
          <w:lang w:val="fr-CH"/>
        </w:rPr>
      </w:pPr>
    </w:p>
    <w:p w:rsidR="00813549" w:rsidRPr="00FE4DFF" w:rsidRDefault="00315DFE" w:rsidP="00FE4DFF">
      <w:pPr>
        <w:pStyle w:val="ONUMFS"/>
        <w:ind w:left="5533"/>
        <w:rPr>
          <w:i/>
          <w:lang w:val="fr-CH"/>
        </w:rPr>
      </w:pPr>
      <w:r w:rsidRPr="00FE4DFF">
        <w:rPr>
          <w:i/>
          <w:lang w:val="fr-CH"/>
        </w:rPr>
        <w:t>Le CWS est invité</w:t>
      </w:r>
    </w:p>
    <w:p w:rsidR="00CD67B8" w:rsidRPr="002A388B" w:rsidRDefault="00FE4DFF" w:rsidP="00FE4DFF">
      <w:pPr>
        <w:pStyle w:val="BodyText"/>
        <w:tabs>
          <w:tab w:val="left" w:pos="6804"/>
        </w:tabs>
        <w:ind w:left="6237"/>
        <w:rPr>
          <w:i/>
          <w:lang w:val="fr-CH"/>
        </w:rPr>
      </w:pPr>
      <w:r>
        <w:rPr>
          <w:i/>
          <w:lang w:val="fr-CH"/>
        </w:rPr>
        <w:t>a)</w:t>
      </w:r>
      <w:r w:rsidR="00315DFE" w:rsidRPr="002A388B">
        <w:rPr>
          <w:i/>
          <w:lang w:val="fr-CH"/>
        </w:rPr>
        <w:tab/>
      </w:r>
      <w:r w:rsidR="002644E8">
        <w:rPr>
          <w:i/>
          <w:lang w:val="fr-CH"/>
        </w:rPr>
        <w:t>à</w:t>
      </w:r>
      <w:r w:rsidR="00315DFE" w:rsidRPr="002A388B">
        <w:rPr>
          <w:i/>
          <w:lang w:val="fr-CH"/>
        </w:rPr>
        <w:t xml:space="preserve"> prendre note du contenu du présent document </w:t>
      </w:r>
      <w:r w:rsidR="00FF428F">
        <w:rPr>
          <w:i/>
          <w:lang w:val="fr-CH"/>
        </w:rPr>
        <w:t xml:space="preserve"> </w:t>
      </w:r>
      <w:r w:rsidR="00315DFE" w:rsidRPr="002A388B">
        <w:rPr>
          <w:i/>
          <w:lang w:val="fr-CH"/>
        </w:rPr>
        <w:t>et</w:t>
      </w:r>
    </w:p>
    <w:p w:rsidR="00CD67B8" w:rsidRPr="002A388B" w:rsidRDefault="00315DFE" w:rsidP="00FE4DFF">
      <w:pPr>
        <w:pStyle w:val="BodyText"/>
        <w:tabs>
          <w:tab w:val="left" w:pos="6804"/>
        </w:tabs>
        <w:spacing w:after="0"/>
        <w:ind w:left="6237"/>
        <w:rPr>
          <w:i/>
          <w:lang w:val="fr-CH"/>
        </w:rPr>
      </w:pPr>
      <w:r w:rsidRPr="002A388B">
        <w:rPr>
          <w:i/>
          <w:lang w:val="fr-CH"/>
        </w:rPr>
        <w:t>b)</w:t>
      </w:r>
      <w:r w:rsidRPr="002A388B">
        <w:rPr>
          <w:i/>
          <w:lang w:val="fr-CH"/>
        </w:rPr>
        <w:tab/>
        <w:t>à examiner le programme de travail et à formuler des observations à cet égard, en particulier en ce qui concerne les mesures à prendre à l</w:t>
      </w:r>
      <w:r w:rsidR="005421A1">
        <w:rPr>
          <w:i/>
          <w:lang w:val="fr-CH"/>
        </w:rPr>
        <w:t>’</w:t>
      </w:r>
      <w:r w:rsidRPr="002A388B">
        <w:rPr>
          <w:i/>
          <w:lang w:val="fr-CH"/>
        </w:rPr>
        <w:t>issue de la six</w:t>
      </w:r>
      <w:r w:rsidR="00813549">
        <w:rPr>
          <w:i/>
          <w:lang w:val="fr-CH"/>
        </w:rPr>
        <w:t>ième session</w:t>
      </w:r>
      <w:r w:rsidR="00813549" w:rsidRPr="002A388B">
        <w:rPr>
          <w:i/>
          <w:lang w:val="fr-CH"/>
        </w:rPr>
        <w:t xml:space="preserve"> du</w:t>
      </w:r>
      <w:r w:rsidR="00813549">
        <w:rPr>
          <w:i/>
          <w:lang w:val="fr-CH"/>
        </w:rPr>
        <w:t> </w:t>
      </w:r>
      <w:r w:rsidR="00813549" w:rsidRPr="002A388B">
        <w:rPr>
          <w:i/>
          <w:lang w:val="fr-CH"/>
        </w:rPr>
        <w:t>CWS</w:t>
      </w:r>
      <w:r w:rsidRPr="002A388B">
        <w:rPr>
          <w:i/>
          <w:lang w:val="fr-CH"/>
        </w:rPr>
        <w:t xml:space="preserve">, comme indiqué au </w:t>
      </w:r>
      <w:r w:rsidR="00813549" w:rsidRPr="002A388B">
        <w:rPr>
          <w:i/>
          <w:lang w:val="fr-CH"/>
        </w:rPr>
        <w:t>paragraphe</w:t>
      </w:r>
      <w:r w:rsidR="00813549">
        <w:rPr>
          <w:i/>
          <w:lang w:val="fr-CH"/>
        </w:rPr>
        <w:t> </w:t>
      </w:r>
      <w:r w:rsidR="00813549" w:rsidRPr="002A388B">
        <w:rPr>
          <w:i/>
          <w:lang w:val="fr-CH"/>
        </w:rPr>
        <w:t>7</w:t>
      </w:r>
      <w:r w:rsidRPr="002A388B">
        <w:rPr>
          <w:i/>
          <w:lang w:val="fr-CH"/>
        </w:rPr>
        <w:t xml:space="preserve"> ci</w:t>
      </w:r>
      <w:r w:rsidR="00E300E1">
        <w:rPr>
          <w:i/>
          <w:lang w:val="fr-CH"/>
        </w:rPr>
        <w:noBreakHyphen/>
      </w:r>
      <w:r w:rsidRPr="002A388B">
        <w:rPr>
          <w:i/>
          <w:lang w:val="fr-CH"/>
        </w:rPr>
        <w:t>dessus.</w:t>
      </w:r>
    </w:p>
    <w:p w:rsidR="00CD67B8" w:rsidRPr="002A388B" w:rsidRDefault="00315DFE" w:rsidP="00FE4DFF">
      <w:pPr>
        <w:pStyle w:val="Endofdocument-Annex"/>
        <w:spacing w:before="960"/>
        <w:rPr>
          <w:lang w:val="fr-CH"/>
        </w:rPr>
      </w:pPr>
      <w:r w:rsidRPr="002A388B">
        <w:rPr>
          <w:lang w:val="fr-CH"/>
        </w:rPr>
        <w:t xml:space="preserve">[Fin </w:t>
      </w:r>
      <w:bookmarkStart w:id="5" w:name="_GoBack"/>
      <w:bookmarkEnd w:id="5"/>
      <w:r w:rsidRPr="002A388B">
        <w:rPr>
          <w:lang w:val="fr-CH"/>
        </w:rPr>
        <w:t>du document]</w:t>
      </w:r>
    </w:p>
    <w:sectPr w:rsidR="00CD67B8" w:rsidRPr="002A388B" w:rsidSect="00FE4DFF">
      <w:headerReference w:type="default" r:id="rId9"/>
      <w:pgSz w:w="11906" w:h="16838"/>
      <w:pgMar w:top="567" w:right="1134" w:bottom="1417" w:left="1417" w:header="51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4C" w:rsidRDefault="00AC134C">
      <w:r>
        <w:separator/>
      </w:r>
    </w:p>
  </w:endnote>
  <w:endnote w:type="continuationSeparator" w:id="0">
    <w:p w:rsidR="00AC134C" w:rsidRDefault="00AC134C" w:rsidP="003B38C1">
      <w:r>
        <w:separator/>
      </w:r>
    </w:p>
    <w:p w:rsidR="00AC134C" w:rsidRPr="003B38C1" w:rsidRDefault="00AC134C" w:rsidP="003B38C1">
      <w:pPr>
        <w:spacing w:after="60"/>
        <w:rPr>
          <w:sz w:val="17"/>
        </w:rPr>
      </w:pPr>
      <w:r>
        <w:rPr>
          <w:sz w:val="17"/>
        </w:rPr>
        <w:t>[Endnote continued from previous page]</w:t>
      </w:r>
    </w:p>
  </w:endnote>
  <w:endnote w:type="continuationNotice" w:id="1">
    <w:p w:rsidR="00AC134C" w:rsidRPr="003B38C1" w:rsidRDefault="00AC13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4C" w:rsidRDefault="00AC134C">
      <w:r>
        <w:separator/>
      </w:r>
    </w:p>
  </w:footnote>
  <w:footnote w:type="continuationSeparator" w:id="0">
    <w:p w:rsidR="00AC134C" w:rsidRDefault="00AC134C" w:rsidP="008B60B2">
      <w:r>
        <w:separator/>
      </w:r>
    </w:p>
    <w:p w:rsidR="00AC134C" w:rsidRPr="00ED77FB" w:rsidRDefault="00AC134C" w:rsidP="008B60B2">
      <w:pPr>
        <w:spacing w:after="60"/>
        <w:rPr>
          <w:sz w:val="17"/>
          <w:szCs w:val="17"/>
        </w:rPr>
      </w:pPr>
      <w:r w:rsidRPr="00ED77FB">
        <w:rPr>
          <w:sz w:val="17"/>
          <w:szCs w:val="17"/>
        </w:rPr>
        <w:t>[Footnote continued from previous page]</w:t>
      </w:r>
    </w:p>
  </w:footnote>
  <w:footnote w:type="continuationNotice" w:id="1">
    <w:p w:rsidR="00AC134C" w:rsidRPr="00ED77FB" w:rsidRDefault="00AC134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29" w:rsidRDefault="00C52829" w:rsidP="00477D6B">
    <w:pPr>
      <w:jc w:val="right"/>
    </w:pPr>
    <w:r>
      <w:t>CWS/6/28</w:t>
    </w:r>
  </w:p>
  <w:p w:rsidR="00C52829" w:rsidRDefault="00C52829" w:rsidP="00477D6B">
    <w:pPr>
      <w:jc w:val="right"/>
    </w:pPr>
    <w:r>
      <w:t>page</w:t>
    </w:r>
    <w:r w:rsidR="002644E8">
      <w:t> </w:t>
    </w:r>
    <w:r w:rsidR="00234EE8">
      <w:fldChar w:fldCharType="begin"/>
    </w:r>
    <w:r w:rsidR="00234EE8">
      <w:instrText xml:space="preserve"> PAGE   \* MERGEFORMAT </w:instrText>
    </w:r>
    <w:r w:rsidR="00234EE8">
      <w:fldChar w:fldCharType="separate"/>
    </w:r>
    <w:r w:rsidR="00263493">
      <w:rPr>
        <w:noProof/>
      </w:rPr>
      <w:t>2</w:t>
    </w:r>
    <w:r w:rsidR="00234EE8">
      <w:rPr>
        <w:noProof/>
      </w:rPr>
      <w:fldChar w:fldCharType="end"/>
    </w:r>
  </w:p>
  <w:p w:rsidR="00C52829" w:rsidRDefault="00C52829" w:rsidP="00477D6B">
    <w:pPr>
      <w:jc w:val="right"/>
    </w:pPr>
  </w:p>
  <w:p w:rsidR="00C52829" w:rsidRDefault="00C5282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279C5"/>
    <w:multiLevelType w:val="hybridMultilevel"/>
    <w:tmpl w:val="C09824CE"/>
    <w:lvl w:ilvl="0" w:tplc="F0F20576">
      <w:start w:val="1"/>
      <w:numFmt w:val="lowerLetter"/>
      <w:lvlText w:val="(%1)"/>
      <w:lvlJc w:val="left"/>
      <w:pPr>
        <w:ind w:left="6778" w:hanging="54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4ECA7A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6867B9"/>
    <w:multiLevelType w:val="multilevel"/>
    <w:tmpl w:val="C8F6061C"/>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24E8063D"/>
    <w:multiLevelType w:val="hybridMultilevel"/>
    <w:tmpl w:val="733AFD6C"/>
    <w:lvl w:ilvl="0" w:tplc="91784910">
      <w:start w:val="1"/>
      <w:numFmt w:val="bullet"/>
      <w:lvlText w:val=""/>
      <w:lvlJc w:val="left"/>
      <w:pPr>
        <w:ind w:left="1852" w:hanging="360"/>
      </w:pPr>
      <w:rPr>
        <w:rFonts w:ascii="Symbol" w:hAnsi="Symbol" w:hint="default"/>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7" w15:restartNumberingAfterBreak="0">
    <w:nsid w:val="27B8763C"/>
    <w:multiLevelType w:val="multilevel"/>
    <w:tmpl w:val="FB46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C9A035C"/>
    <w:multiLevelType w:val="multilevel"/>
    <w:tmpl w:val="FB46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0"/>
  </w:num>
  <w:num w:numId="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5"/>
  </w:num>
  <w:num w:numId="10">
    <w:abstractNumId w:val="6"/>
  </w:num>
  <w:num w:numId="11">
    <w:abstractNumId w:val="2"/>
  </w:num>
  <w:num w:numId="12">
    <w:abstractNumId w:val="2"/>
  </w:num>
  <w:num w:numId="13">
    <w:abstractNumId w:val="1"/>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406B9"/>
    <w:rsid w:val="00025D0F"/>
    <w:rsid w:val="000359F3"/>
    <w:rsid w:val="00037E5A"/>
    <w:rsid w:val="00043CAA"/>
    <w:rsid w:val="00052261"/>
    <w:rsid w:val="00065569"/>
    <w:rsid w:val="00075432"/>
    <w:rsid w:val="00080C2D"/>
    <w:rsid w:val="000968ED"/>
    <w:rsid w:val="000A1112"/>
    <w:rsid w:val="000F0E77"/>
    <w:rsid w:val="000F5E56"/>
    <w:rsid w:val="000F711F"/>
    <w:rsid w:val="00116B28"/>
    <w:rsid w:val="001362EE"/>
    <w:rsid w:val="00157CEA"/>
    <w:rsid w:val="001647D5"/>
    <w:rsid w:val="0017429A"/>
    <w:rsid w:val="001832A6"/>
    <w:rsid w:val="001B0CFA"/>
    <w:rsid w:val="001D5B98"/>
    <w:rsid w:val="0021217E"/>
    <w:rsid w:val="00234165"/>
    <w:rsid w:val="00234EE8"/>
    <w:rsid w:val="00263493"/>
    <w:rsid w:val="002634C4"/>
    <w:rsid w:val="002644E8"/>
    <w:rsid w:val="0028385D"/>
    <w:rsid w:val="00290096"/>
    <w:rsid w:val="002928D3"/>
    <w:rsid w:val="002A388B"/>
    <w:rsid w:val="002D4805"/>
    <w:rsid w:val="002D4B0D"/>
    <w:rsid w:val="002F1FE6"/>
    <w:rsid w:val="002F4E68"/>
    <w:rsid w:val="00312F7F"/>
    <w:rsid w:val="00315DFE"/>
    <w:rsid w:val="00361450"/>
    <w:rsid w:val="0036293C"/>
    <w:rsid w:val="00367193"/>
    <w:rsid w:val="003673CF"/>
    <w:rsid w:val="003845C1"/>
    <w:rsid w:val="003A0F70"/>
    <w:rsid w:val="003A410C"/>
    <w:rsid w:val="003A6F89"/>
    <w:rsid w:val="003B38C1"/>
    <w:rsid w:val="003D283F"/>
    <w:rsid w:val="003F660F"/>
    <w:rsid w:val="003F7382"/>
    <w:rsid w:val="004031F2"/>
    <w:rsid w:val="00423E3E"/>
    <w:rsid w:val="00427AF4"/>
    <w:rsid w:val="00440317"/>
    <w:rsid w:val="004417A3"/>
    <w:rsid w:val="00443256"/>
    <w:rsid w:val="00445071"/>
    <w:rsid w:val="004647DA"/>
    <w:rsid w:val="00465EC1"/>
    <w:rsid w:val="00474062"/>
    <w:rsid w:val="00477D6B"/>
    <w:rsid w:val="00493F1A"/>
    <w:rsid w:val="004B6D39"/>
    <w:rsid w:val="004C6741"/>
    <w:rsid w:val="004F40FF"/>
    <w:rsid w:val="004F41A7"/>
    <w:rsid w:val="005019FF"/>
    <w:rsid w:val="00502F58"/>
    <w:rsid w:val="0051130D"/>
    <w:rsid w:val="0053010C"/>
    <w:rsid w:val="0053057A"/>
    <w:rsid w:val="00540FFE"/>
    <w:rsid w:val="005421A1"/>
    <w:rsid w:val="00560A29"/>
    <w:rsid w:val="00572F59"/>
    <w:rsid w:val="00595195"/>
    <w:rsid w:val="005C6649"/>
    <w:rsid w:val="005E140B"/>
    <w:rsid w:val="00605827"/>
    <w:rsid w:val="00640BD8"/>
    <w:rsid w:val="006454C9"/>
    <w:rsid w:val="00646050"/>
    <w:rsid w:val="0066333F"/>
    <w:rsid w:val="006713CA"/>
    <w:rsid w:val="00676C5C"/>
    <w:rsid w:val="006B5190"/>
    <w:rsid w:val="006D6F7F"/>
    <w:rsid w:val="006E5628"/>
    <w:rsid w:val="007201E0"/>
    <w:rsid w:val="00745428"/>
    <w:rsid w:val="00791011"/>
    <w:rsid w:val="007D1613"/>
    <w:rsid w:val="007D2CE8"/>
    <w:rsid w:val="007D3FA3"/>
    <w:rsid w:val="007E4C0E"/>
    <w:rsid w:val="00813549"/>
    <w:rsid w:val="00827663"/>
    <w:rsid w:val="008739FF"/>
    <w:rsid w:val="008A134B"/>
    <w:rsid w:val="008B2CC1"/>
    <w:rsid w:val="008B60B2"/>
    <w:rsid w:val="008B7421"/>
    <w:rsid w:val="00900A72"/>
    <w:rsid w:val="0090731E"/>
    <w:rsid w:val="009077BE"/>
    <w:rsid w:val="009159D4"/>
    <w:rsid w:val="00916EE2"/>
    <w:rsid w:val="009235E9"/>
    <w:rsid w:val="00966A22"/>
    <w:rsid w:val="0096722F"/>
    <w:rsid w:val="009801CB"/>
    <w:rsid w:val="00980843"/>
    <w:rsid w:val="0098320F"/>
    <w:rsid w:val="009A4DC6"/>
    <w:rsid w:val="009C7DB0"/>
    <w:rsid w:val="009D467F"/>
    <w:rsid w:val="009E2791"/>
    <w:rsid w:val="009E3F6F"/>
    <w:rsid w:val="009F2F9A"/>
    <w:rsid w:val="009F499F"/>
    <w:rsid w:val="00A033D9"/>
    <w:rsid w:val="00A05E5E"/>
    <w:rsid w:val="00A1584B"/>
    <w:rsid w:val="00A35945"/>
    <w:rsid w:val="00A37342"/>
    <w:rsid w:val="00A42DAF"/>
    <w:rsid w:val="00A45BD8"/>
    <w:rsid w:val="00A709EF"/>
    <w:rsid w:val="00A869B7"/>
    <w:rsid w:val="00AC134C"/>
    <w:rsid w:val="00AC205C"/>
    <w:rsid w:val="00AC38D4"/>
    <w:rsid w:val="00AC6D40"/>
    <w:rsid w:val="00AD41EB"/>
    <w:rsid w:val="00AF0A6B"/>
    <w:rsid w:val="00B05A69"/>
    <w:rsid w:val="00B23B4F"/>
    <w:rsid w:val="00B326A9"/>
    <w:rsid w:val="00B46BA9"/>
    <w:rsid w:val="00B9734B"/>
    <w:rsid w:val="00BA30E2"/>
    <w:rsid w:val="00BE122D"/>
    <w:rsid w:val="00C10C20"/>
    <w:rsid w:val="00C11BFE"/>
    <w:rsid w:val="00C406B9"/>
    <w:rsid w:val="00C5068F"/>
    <w:rsid w:val="00C52829"/>
    <w:rsid w:val="00C86D74"/>
    <w:rsid w:val="00CB7230"/>
    <w:rsid w:val="00CD04F1"/>
    <w:rsid w:val="00CD59F2"/>
    <w:rsid w:val="00CD67B8"/>
    <w:rsid w:val="00CE00A9"/>
    <w:rsid w:val="00CE24C9"/>
    <w:rsid w:val="00D01F5B"/>
    <w:rsid w:val="00D3124F"/>
    <w:rsid w:val="00D45252"/>
    <w:rsid w:val="00D71B4D"/>
    <w:rsid w:val="00D93041"/>
    <w:rsid w:val="00D93D55"/>
    <w:rsid w:val="00DC4BB8"/>
    <w:rsid w:val="00DD1D74"/>
    <w:rsid w:val="00DD2C0A"/>
    <w:rsid w:val="00DF2E2B"/>
    <w:rsid w:val="00DF5D01"/>
    <w:rsid w:val="00E15015"/>
    <w:rsid w:val="00E227AE"/>
    <w:rsid w:val="00E22F91"/>
    <w:rsid w:val="00E300E1"/>
    <w:rsid w:val="00E335FE"/>
    <w:rsid w:val="00E35084"/>
    <w:rsid w:val="00E46591"/>
    <w:rsid w:val="00E96D9F"/>
    <w:rsid w:val="00EA7D6E"/>
    <w:rsid w:val="00EC4E49"/>
    <w:rsid w:val="00ED77FB"/>
    <w:rsid w:val="00EE05AE"/>
    <w:rsid w:val="00EE45FA"/>
    <w:rsid w:val="00EF53DF"/>
    <w:rsid w:val="00F2154B"/>
    <w:rsid w:val="00F248DF"/>
    <w:rsid w:val="00F458EB"/>
    <w:rsid w:val="00F544B8"/>
    <w:rsid w:val="00F65ACA"/>
    <w:rsid w:val="00F66152"/>
    <w:rsid w:val="00F877D0"/>
    <w:rsid w:val="00FE4DFF"/>
    <w:rsid w:val="00FF42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94F45F1D-3124-4509-BAB7-693F8DCC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FE4DF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C406B9"/>
    <w:rPr>
      <w:rFonts w:ascii="Tahoma" w:hAnsi="Tahoma" w:cs="Tahoma"/>
      <w:sz w:val="16"/>
      <w:szCs w:val="16"/>
    </w:rPr>
  </w:style>
  <w:style w:type="character" w:customStyle="1" w:styleId="BalloonTextChar">
    <w:name w:val="Balloon Text Char"/>
    <w:basedOn w:val="DefaultParagraphFont"/>
    <w:link w:val="BalloonText"/>
    <w:semiHidden/>
    <w:rsid w:val="00C406B9"/>
    <w:rPr>
      <w:rFonts w:ascii="Tahoma" w:eastAsia="SimSun" w:hAnsi="Tahoma" w:cs="Tahoma"/>
      <w:sz w:val="16"/>
      <w:szCs w:val="16"/>
      <w:lang w:val="en-US" w:eastAsia="zh-CN"/>
    </w:rPr>
  </w:style>
  <w:style w:type="character" w:customStyle="1" w:styleId="ONUMEChar">
    <w:name w:val="ONUM E Char"/>
    <w:link w:val="ONUME"/>
    <w:rsid w:val="006E5628"/>
    <w:rPr>
      <w:rFonts w:ascii="Arial" w:eastAsia="SimSun" w:hAnsi="Arial" w:cs="Arial"/>
      <w:sz w:val="22"/>
      <w:lang w:val="en-US" w:eastAsia="zh-CN"/>
    </w:rPr>
  </w:style>
  <w:style w:type="paragraph" w:customStyle="1" w:styleId="H3-Decision">
    <w:name w:val="H3-Decision"/>
    <w:basedOn w:val="Heading3"/>
    <w:link w:val="H3-DecisionChar"/>
    <w:rsid w:val="006E5628"/>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6E5628"/>
    <w:rPr>
      <w:i/>
      <w:sz w:val="24"/>
      <w:szCs w:val="24"/>
      <w:lang w:val="en-US" w:eastAsia="zh-CN"/>
    </w:rPr>
  </w:style>
  <w:style w:type="character" w:customStyle="1" w:styleId="Heading1Char">
    <w:name w:val="Heading 1 Char"/>
    <w:basedOn w:val="DefaultParagraphFont"/>
    <w:link w:val="Heading1"/>
    <w:rsid w:val="006E562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E4DFF"/>
    <w:rPr>
      <w:rFonts w:ascii="Arial" w:eastAsia="SimSun" w:hAnsi="Arial" w:cs="Arial"/>
      <w:bCs/>
      <w:iCs/>
      <w:caps/>
      <w:sz w:val="22"/>
      <w:szCs w:val="28"/>
      <w:lang w:val="en-US" w:eastAsia="zh-CN"/>
    </w:rPr>
  </w:style>
  <w:style w:type="table" w:styleId="TableGrid">
    <w:name w:val="Table Grid"/>
    <w:basedOn w:val="TableNormal"/>
    <w:rsid w:val="006E562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1584B"/>
    <w:rPr>
      <w:rFonts w:ascii="Arial" w:eastAsia="SimSun" w:hAnsi="Arial" w:cs="Arial"/>
      <w:sz w:val="22"/>
      <w:lang w:val="en-US" w:eastAsia="zh-CN"/>
    </w:rPr>
  </w:style>
  <w:style w:type="paragraph" w:styleId="ListParagraph">
    <w:name w:val="List Paragraph"/>
    <w:basedOn w:val="Normal"/>
    <w:uiPriority w:val="34"/>
    <w:qFormat/>
    <w:rsid w:val="003A0F70"/>
    <w:pPr>
      <w:spacing w:after="200"/>
      <w:jc w:val="both"/>
    </w:pPr>
    <w:rPr>
      <w:rFonts w:eastAsia="Times New Roman"/>
      <w:sz w:val="17"/>
      <w:szCs w:val="17"/>
      <w:lang w:eastAsia="de-DE"/>
    </w:rPr>
  </w:style>
  <w:style w:type="character" w:styleId="CommentReference">
    <w:name w:val="annotation reference"/>
    <w:basedOn w:val="DefaultParagraphFont"/>
    <w:semiHidden/>
    <w:unhideWhenUsed/>
    <w:rsid w:val="0053010C"/>
    <w:rPr>
      <w:sz w:val="16"/>
      <w:szCs w:val="16"/>
    </w:rPr>
  </w:style>
  <w:style w:type="paragraph" w:styleId="CommentSubject">
    <w:name w:val="annotation subject"/>
    <w:basedOn w:val="CommentText"/>
    <w:next w:val="CommentText"/>
    <w:link w:val="CommentSubjectChar"/>
    <w:semiHidden/>
    <w:unhideWhenUsed/>
    <w:rsid w:val="0053010C"/>
    <w:rPr>
      <w:b/>
      <w:bCs/>
      <w:sz w:val="20"/>
    </w:rPr>
  </w:style>
  <w:style w:type="character" w:customStyle="1" w:styleId="CommentTextChar">
    <w:name w:val="Comment Text Char"/>
    <w:basedOn w:val="DefaultParagraphFont"/>
    <w:link w:val="CommentText"/>
    <w:semiHidden/>
    <w:rsid w:val="0053010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3010C"/>
    <w:rPr>
      <w:rFonts w:ascii="Arial" w:eastAsia="SimSun" w:hAnsi="Arial" w:cs="Arial"/>
      <w:b/>
      <w:bCs/>
      <w:sz w:val="18"/>
      <w:lang w:val="en-US" w:eastAsia="zh-CN"/>
    </w:rPr>
  </w:style>
  <w:style w:type="character" w:styleId="Hyperlink">
    <w:name w:val="Hyperlink"/>
    <w:basedOn w:val="DefaultParagraphFont"/>
    <w:semiHidden/>
    <w:unhideWhenUsed/>
    <w:rsid w:val="002644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27DF-4271-4266-9EBC-E3DC4D10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382</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CWS/6/28</vt:lpstr>
    </vt:vector>
  </TitlesOfParts>
  <Company>OMPI</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CWS/6/28</dc:title>
  <dc:subject>Report on Task No.57 by the Design Representation Task Force</dc:subject>
  <dc:creator>OMPI</dc:creator>
  <cp:keywords>CWS (in French)</cp:keywords>
  <cp:lastModifiedBy>DRAKE Sophie</cp:lastModifiedBy>
  <cp:revision>65</cp:revision>
  <cp:lastPrinted>2018-09-06T11:28:00Z</cp:lastPrinted>
  <dcterms:created xsi:type="dcterms:W3CDTF">2018-08-14T14:50:00Z</dcterms:created>
  <dcterms:modified xsi:type="dcterms:W3CDTF">2018-09-06T11:29:00Z</dcterms:modified>
</cp:coreProperties>
</file>