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4923" w14:textId="4F096200" w:rsidR="00A44BB2" w:rsidRPr="00AB4E65" w:rsidRDefault="001E6F99" w:rsidP="001E6F99">
      <w:pPr>
        <w:jc w:val="center"/>
        <w:rPr>
          <w:b/>
          <w:caps/>
          <w:sz w:val="20"/>
          <w:lang w:val="fr-FR"/>
        </w:rPr>
      </w:pPr>
      <w:r w:rsidRPr="00AB4E65">
        <w:rPr>
          <w:b/>
          <w:caps/>
          <w:sz w:val="20"/>
          <w:lang w:val="fr-FR"/>
        </w:rPr>
        <w:t>Norme</w:t>
      </w:r>
      <w:r w:rsidR="00871F9F" w:rsidRPr="00AB4E65">
        <w:rPr>
          <w:b/>
          <w:caps/>
          <w:sz w:val="20"/>
          <w:lang w:val="fr-FR"/>
        </w:rPr>
        <w:t> </w:t>
      </w:r>
      <w:r w:rsidRPr="00AB4E65">
        <w:rPr>
          <w:b/>
          <w:caps/>
          <w:sz w:val="20"/>
          <w:lang w:val="fr-FR"/>
        </w:rPr>
        <w:t>ST.26 – Annexe</w:t>
      </w:r>
      <w:r w:rsidR="00871F9F" w:rsidRPr="00AB4E65">
        <w:rPr>
          <w:b/>
          <w:caps/>
          <w:sz w:val="20"/>
          <w:lang w:val="fr-FR"/>
        </w:rPr>
        <w:t> </w:t>
      </w:r>
      <w:r w:rsidRPr="00AB4E65">
        <w:rPr>
          <w:b/>
          <w:caps/>
          <w:sz w:val="20"/>
          <w:lang w:val="fr-FR"/>
        </w:rPr>
        <w:t>IV</w:t>
      </w:r>
    </w:p>
    <w:p w14:paraId="6FD29289" w14:textId="77777777" w:rsidR="00A44BB2" w:rsidRPr="00AB4E65" w:rsidRDefault="00A44BB2" w:rsidP="00BD0412">
      <w:pPr>
        <w:jc w:val="center"/>
        <w:rPr>
          <w:rFonts w:eastAsia="Batang" w:cs="Times New Roman"/>
          <w:caps/>
          <w:sz w:val="17"/>
          <w:lang w:val="fr-FR" w:eastAsia="en-US"/>
        </w:rPr>
      </w:pPr>
    </w:p>
    <w:p w14:paraId="7C4C9544" w14:textId="77777777" w:rsidR="00A44BB2" w:rsidRPr="00AB4E65" w:rsidRDefault="00A44BB2" w:rsidP="00BD0412">
      <w:pPr>
        <w:jc w:val="center"/>
        <w:rPr>
          <w:rFonts w:eastAsia="Batang" w:cs="Times New Roman"/>
          <w:sz w:val="17"/>
          <w:lang w:val="fr-FR" w:eastAsia="en-US"/>
        </w:rPr>
      </w:pPr>
    </w:p>
    <w:p w14:paraId="2F9C1184" w14:textId="77777777" w:rsidR="00A44BB2" w:rsidRPr="00AB4E65" w:rsidRDefault="001E6F99" w:rsidP="001E6F99">
      <w:pPr>
        <w:jc w:val="center"/>
        <w:rPr>
          <w:rFonts w:eastAsia="Batang" w:cs="Times New Roman"/>
          <w:sz w:val="17"/>
          <w:lang w:val="fr-FR" w:eastAsia="en-US"/>
        </w:rPr>
      </w:pPr>
      <w:bookmarkStart w:id="0" w:name="_GoBack"/>
      <w:r w:rsidRPr="00AB4E65">
        <w:rPr>
          <w:rFonts w:eastAsia="Batang" w:cs="Times New Roman"/>
          <w:sz w:val="17"/>
          <w:lang w:val="fr-FR" w:eastAsia="en-US"/>
        </w:rPr>
        <w:t>SOUS-ENSEMBLE DE CARACTÈRES PROVENANT DU TABLEAU DE CODES DES CARACTÈRES LATINS DE BASE DE LA NORME UNICODE</w:t>
      </w:r>
    </w:p>
    <w:p w14:paraId="126A6851" w14:textId="1C8454CA" w:rsidR="00A44BB2" w:rsidRDefault="001E6F99" w:rsidP="001E6F99">
      <w:pPr>
        <w:jc w:val="center"/>
        <w:rPr>
          <w:rFonts w:eastAsia="Batang" w:cs="Times New Roman"/>
          <w:sz w:val="17"/>
          <w:u w:val="single"/>
          <w:lang w:val="fr-FR" w:eastAsia="en-US"/>
        </w:rPr>
      </w:pPr>
      <w:r w:rsidRPr="001E6F99">
        <w:rPr>
          <w:rFonts w:eastAsia="Batang" w:cs="Times New Roman"/>
          <w:color w:val="000000"/>
          <w:sz w:val="17"/>
          <w:highlight w:val="yellow"/>
          <w:u w:val="single"/>
          <w:lang w:val="fr-FR" w:eastAsia="en-US"/>
        </w:rPr>
        <w:t>DEVANT ÊTRE EMPLOYÉ</w:t>
      </w:r>
      <w:r>
        <w:rPr>
          <w:rFonts w:eastAsia="Batang" w:cs="Times New Roman"/>
          <w:color w:val="000000"/>
          <w:sz w:val="17"/>
          <w:highlight w:val="yellow"/>
          <w:u w:val="single"/>
          <w:lang w:val="fr-FR" w:eastAsia="en-US"/>
        </w:rPr>
        <w:t>S</w:t>
      </w:r>
      <w:r w:rsidRPr="001E6F99">
        <w:rPr>
          <w:rFonts w:eastAsia="Batang" w:cs="Times New Roman"/>
          <w:color w:val="000000"/>
          <w:sz w:val="17"/>
          <w:highlight w:val="yellow"/>
          <w:u w:val="single"/>
          <w:lang w:val="fr-FR" w:eastAsia="en-US"/>
        </w:rPr>
        <w:t xml:space="preserve"> DANS L</w:t>
      </w:r>
      <w:r w:rsidR="00871F9F">
        <w:rPr>
          <w:rFonts w:eastAsia="Batang" w:cs="Times New Roman"/>
          <w:color w:val="000000"/>
          <w:sz w:val="17"/>
          <w:highlight w:val="yellow"/>
          <w:u w:val="single"/>
          <w:lang w:val="fr-FR" w:eastAsia="en-US"/>
        </w:rPr>
        <w:t>’</w:t>
      </w:r>
      <w:r w:rsidRPr="001E6F99">
        <w:rPr>
          <w:rFonts w:eastAsia="Batang" w:cs="Times New Roman"/>
          <w:color w:val="000000"/>
          <w:sz w:val="17"/>
          <w:highlight w:val="yellow"/>
          <w:u w:val="single"/>
          <w:lang w:val="fr-FR" w:eastAsia="en-US"/>
        </w:rPr>
        <w:t>INSTANCE XML D</w:t>
      </w:r>
      <w:r w:rsidR="00871F9F">
        <w:rPr>
          <w:rFonts w:eastAsia="Batang" w:cs="Times New Roman"/>
          <w:color w:val="000000"/>
          <w:sz w:val="17"/>
          <w:highlight w:val="yellow"/>
          <w:u w:val="single"/>
          <w:lang w:val="fr-FR" w:eastAsia="en-US"/>
        </w:rPr>
        <w:t>'</w:t>
      </w:r>
      <w:r w:rsidRPr="001E6F99">
        <w:rPr>
          <w:rFonts w:eastAsia="Batang" w:cs="Times New Roman"/>
          <w:color w:val="000000"/>
          <w:sz w:val="17"/>
          <w:highlight w:val="yellow"/>
          <w:u w:val="single"/>
          <w:lang w:val="fr-FR" w:eastAsia="en-US"/>
        </w:rPr>
        <w:t>UN LISTAGE DE SÉQUENCES</w:t>
      </w:r>
    </w:p>
    <w:bookmarkEnd w:id="0"/>
    <w:p w14:paraId="17309BFB" w14:textId="77777777" w:rsidR="00A44BB2" w:rsidRDefault="00A44BB2" w:rsidP="00BD0412">
      <w:pPr>
        <w:jc w:val="center"/>
        <w:rPr>
          <w:rFonts w:eastAsia="Batang" w:cs="Times New Roman"/>
          <w:sz w:val="17"/>
          <w:u w:val="single"/>
          <w:lang w:val="fr-FR" w:eastAsia="en-US"/>
        </w:rPr>
      </w:pPr>
    </w:p>
    <w:p w14:paraId="34F0B983" w14:textId="77777777" w:rsidR="00A44BB2" w:rsidRPr="00AB4E65" w:rsidRDefault="001E6F99" w:rsidP="001E6F99">
      <w:pPr>
        <w:jc w:val="center"/>
        <w:rPr>
          <w:rFonts w:eastAsia="Batang" w:cs="Times New Roman"/>
          <w:i/>
          <w:sz w:val="17"/>
          <w:u w:val="single"/>
          <w:lang w:val="fr-FR" w:eastAsia="en-US"/>
        </w:rPr>
      </w:pPr>
      <w:r w:rsidRPr="00AB4E65">
        <w:rPr>
          <w:rFonts w:eastAsia="Batang" w:cs="Times New Roman"/>
          <w:i/>
          <w:sz w:val="17"/>
          <w:highlight w:val="yellow"/>
          <w:u w:val="single"/>
          <w:lang w:val="fr-FR" w:eastAsia="en-US"/>
        </w:rPr>
        <w:t>Projet final</w:t>
      </w:r>
    </w:p>
    <w:p w14:paraId="12099635" w14:textId="77777777" w:rsidR="00A44BB2" w:rsidRDefault="00A44BB2" w:rsidP="00BD0412">
      <w:pPr>
        <w:jc w:val="center"/>
        <w:rPr>
          <w:rFonts w:eastAsia="Batang" w:cs="Times New Roman"/>
          <w:sz w:val="17"/>
          <w:lang w:val="fr-FR" w:eastAsia="en-US"/>
        </w:rPr>
      </w:pPr>
    </w:p>
    <w:p w14:paraId="2A7E8383" w14:textId="5599744C" w:rsidR="00A44BB2" w:rsidRPr="00AB4E65" w:rsidRDefault="001E6F99" w:rsidP="001E6F99">
      <w:pPr>
        <w:spacing w:after="340"/>
        <w:ind w:right="11"/>
        <w:jc w:val="center"/>
        <w:rPr>
          <w:rFonts w:eastAsia="Times New Roman" w:cs="Times New Roman"/>
          <w:i/>
          <w:strike/>
          <w:sz w:val="17"/>
          <w:shd w:val="clear" w:color="auto" w:fill="7030A0"/>
          <w:lang w:val="fr-FR"/>
        </w:rPr>
      </w:pPr>
      <w:r w:rsidRPr="006D647D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val="fr-FR"/>
        </w:rPr>
        <w:t>Adoptée par le Comité des normes de l</w:t>
      </w:r>
      <w:r w:rsidR="00871F9F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val="fr-FR"/>
        </w:rPr>
        <w:t>'</w:t>
      </w:r>
      <w:r w:rsidRPr="006D647D">
        <w:rPr>
          <w:rFonts w:eastAsia="Times New Roman" w:cs="Times New Roman"/>
          <w:i/>
          <w:strike/>
          <w:color w:val="FFFFFF" w:themeColor="background1"/>
          <w:sz w:val="17"/>
          <w:shd w:val="clear" w:color="auto" w:fill="7030A0"/>
          <w:lang w:val="fr-FR"/>
        </w:rPr>
        <w:t>OMPI (CWS) à sa cinquième session le 2 juin </w:t>
      </w:r>
      <w:r w:rsidRPr="00AB4E65">
        <w:rPr>
          <w:rFonts w:eastAsia="Times New Roman" w:cs="Times New Roman"/>
          <w:i/>
          <w:strike/>
          <w:sz w:val="17"/>
          <w:shd w:val="clear" w:color="auto" w:fill="7030A0"/>
          <w:lang w:val="fr-FR"/>
        </w:rPr>
        <w:t>2017</w:t>
      </w:r>
      <w:r w:rsidRPr="00AB4E65">
        <w:rPr>
          <w:rFonts w:eastAsia="Batang"/>
          <w:i/>
          <w:sz w:val="17"/>
          <w:highlight w:val="yellow"/>
          <w:u w:val="single"/>
          <w:lang w:val="fr-FR"/>
        </w:rPr>
        <w:t>Proposition présentée par l’équipe d’experts SEQL pour examen et adoption par le CWS à sa sixième session</w:t>
      </w:r>
    </w:p>
    <w:p w14:paraId="4513275B" w14:textId="184E0820" w:rsidR="00A44BB2" w:rsidRPr="00AB4E65" w:rsidRDefault="000F5D73" w:rsidP="00A44BB2">
      <w:pPr>
        <w:rPr>
          <w:rFonts w:eastAsia="Batang" w:cs="Times New Roman"/>
          <w:sz w:val="17"/>
          <w:u w:val="single"/>
          <w:lang w:val="fr-FR" w:eastAsia="en-US"/>
        </w:rPr>
      </w:pPr>
      <w:r w:rsidRPr="00AB4E65">
        <w:rPr>
          <w:rFonts w:eastAsia="Batang" w:cs="Times New Roman"/>
          <w:sz w:val="17"/>
          <w:lang w:val="fr-FR" w:eastAsia="en-US"/>
        </w:rPr>
        <w:t>La perluète (0026) n’est autorisée qu’en tant qu’élément d’une entité prédéfinie ou d’une référence de caractère numérique (&amp;#</w:t>
      </w:r>
      <w:proofErr w:type="spellStart"/>
      <w:r w:rsidRPr="00AB4E65">
        <w:rPr>
          <w:rFonts w:eastAsia="Batang" w:cs="Times New Roman"/>
          <w:sz w:val="17"/>
          <w:highlight w:val="yellow"/>
          <w:u w:val="single"/>
          <w:lang w:val="fr-FR" w:eastAsia="en-US"/>
        </w:rPr>
        <w:t>x</w:t>
      </w:r>
      <w:r w:rsidRPr="00AB4E65">
        <w:rPr>
          <w:rFonts w:eastAsia="Batang" w:cs="Times New Roman"/>
          <w:sz w:val="17"/>
          <w:lang w:val="fr-FR" w:eastAsia="en-US"/>
        </w:rPr>
        <w:t>nnnn</w:t>
      </w:r>
      <w:proofErr w:type="spellEnd"/>
      <w:r w:rsidRPr="00AB4E65">
        <w:rPr>
          <w:rFonts w:eastAsia="Batang" w:cs="Times New Roman"/>
          <w:sz w:val="17"/>
          <w:lang w:val="fr-FR" w:eastAsia="en-US"/>
        </w:rPr>
        <w:t>;).</w:t>
      </w:r>
      <w:r w:rsidR="00D312F4" w:rsidRPr="00AB4E65">
        <w:rPr>
          <w:rFonts w:eastAsia="Batang" w:cs="Times New Roman"/>
          <w:sz w:val="17"/>
          <w:lang w:val="fr-FR" w:eastAsia="en-US"/>
        </w:rPr>
        <w:t xml:space="preserve">  </w:t>
      </w:r>
      <w:r w:rsidRPr="00AB4E65">
        <w:rPr>
          <w:rFonts w:eastAsia="Batang" w:cs="Times New Roman"/>
          <w:sz w:val="17"/>
          <w:lang w:val="fr-FR" w:eastAsia="en-US"/>
        </w:rPr>
        <w:t xml:space="preserve">Le guillemet (0022), l’apostrophe (0027), le signe inférieur à (003C) et le signe supérieur à (003E) </w:t>
      </w:r>
      <w:r w:rsidRPr="00BF5144">
        <w:rPr>
          <w:rFonts w:eastAsia="Times New Roman" w:cs="Times New Roman"/>
          <w:strike/>
          <w:color w:val="FFFFFF" w:themeColor="background1"/>
          <w:sz w:val="17"/>
          <w:shd w:val="clear" w:color="auto" w:fill="7030A0"/>
          <w:lang w:val="fr-FR"/>
        </w:rPr>
        <w:t>ne sont pas autorisés et</w:t>
      </w:r>
      <w:r w:rsidRPr="00AB4E65">
        <w:rPr>
          <w:rFonts w:eastAsia="Batang" w:cs="Times New Roman"/>
          <w:sz w:val="17"/>
          <w:lang w:val="fr-FR" w:eastAsia="en-US"/>
        </w:rPr>
        <w:t xml:space="preserve"> doivent être représentés par leurs entités prédéfinies.</w:t>
      </w:r>
      <w:r w:rsidR="00EA19F8" w:rsidRPr="00AB4E65">
        <w:rPr>
          <w:rFonts w:eastAsia="Batang" w:cs="Times New Roman"/>
          <w:sz w:val="17"/>
          <w:lang w:val="fr-FR" w:eastAsia="en-US"/>
        </w:rPr>
        <w:t xml:space="preserve">  </w:t>
      </w:r>
      <w:r w:rsidR="00A44BB2" w:rsidRPr="00AB4E65">
        <w:rPr>
          <w:rFonts w:eastAsia="Batang" w:cs="Times New Roman"/>
          <w:sz w:val="17"/>
          <w:highlight w:val="yellow"/>
          <w:u w:val="single"/>
          <w:lang w:val="fr-FR" w:eastAsia="en-US"/>
        </w:rPr>
        <w:t>De plus, la perluète (00026) doit être représentée par son entité prédéfinie lorsqu</w:t>
      </w:r>
      <w:r w:rsidR="00871F9F" w:rsidRPr="00AB4E65">
        <w:rPr>
          <w:rFonts w:eastAsia="Batang" w:cs="Times New Roman"/>
          <w:sz w:val="17"/>
          <w:highlight w:val="yellow"/>
          <w:u w:val="single"/>
          <w:lang w:val="fr-FR" w:eastAsia="en-US"/>
        </w:rPr>
        <w:t>'</w:t>
      </w:r>
      <w:r w:rsidR="00A44BB2" w:rsidRPr="00AB4E65">
        <w:rPr>
          <w:rFonts w:eastAsia="Batang" w:cs="Times New Roman"/>
          <w:sz w:val="17"/>
          <w:highlight w:val="yellow"/>
          <w:u w:val="single"/>
          <w:lang w:val="fr-FR" w:eastAsia="en-US"/>
        </w:rPr>
        <w:t>elle est employée pour renseigner une valeur</w:t>
      </w:r>
      <w:r w:rsidR="00A44BB2" w:rsidRPr="00211D92">
        <w:rPr>
          <w:rFonts w:eastAsia="Batang" w:cs="Times New Roman"/>
          <w:sz w:val="17"/>
          <w:highlight w:val="yellow"/>
          <w:lang w:val="fr-FR" w:eastAsia="en-US"/>
        </w:rPr>
        <w:t>.</w:t>
      </w:r>
    </w:p>
    <w:p w14:paraId="06C07932" w14:textId="5287F6C8" w:rsidR="00B836FE" w:rsidRPr="00A44BB2" w:rsidRDefault="00B836FE" w:rsidP="00D312F4">
      <w:pPr>
        <w:rPr>
          <w:rFonts w:eastAsia="Batang" w:cs="Times New Roman"/>
          <w:sz w:val="17"/>
          <w:lang w:val="fr-FR" w:eastAsia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2958B1E5" w14:textId="77777777" w:rsidTr="007F67CB">
        <w:trPr>
          <w:cantSplit/>
          <w:tblHeader/>
          <w:jc w:val="center"/>
        </w:trPr>
        <w:tc>
          <w:tcPr>
            <w:tcW w:w="858" w:type="pct"/>
            <w:shd w:val="clear" w:color="auto" w:fill="D9D9D9" w:themeFill="background1" w:themeFillShade="D9"/>
            <w:vAlign w:val="center"/>
          </w:tcPr>
          <w:p w14:paraId="20F62E6F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876" w:type="pct"/>
            <w:shd w:val="clear" w:color="auto" w:fill="D9D9D9" w:themeFill="background1" w:themeFillShade="D9"/>
            <w:vAlign w:val="center"/>
          </w:tcPr>
          <w:p w14:paraId="1F6025CD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Character</w:t>
            </w:r>
          </w:p>
        </w:tc>
        <w:tc>
          <w:tcPr>
            <w:tcW w:w="3266" w:type="pct"/>
            <w:shd w:val="clear" w:color="auto" w:fill="D9D9D9" w:themeFill="background1" w:themeFillShade="D9"/>
            <w:vAlign w:val="center"/>
          </w:tcPr>
          <w:p w14:paraId="4696FC45" w14:textId="77777777" w:rsidR="00B836FE" w:rsidRPr="00992F7B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992F7B">
              <w:rPr>
                <w:rFonts w:eastAsia="Batang" w:cs="Times New Roman"/>
                <w:b/>
                <w:bCs/>
                <w:sz w:val="17"/>
                <w:lang w:eastAsia="en-US"/>
              </w:rPr>
              <w:t>Name</w:t>
            </w:r>
          </w:p>
        </w:tc>
      </w:tr>
      <w:tr w:rsidR="00B836FE" w14:paraId="186C34F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AD54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876" w:type="pct"/>
            <w:vAlign w:val="center"/>
          </w:tcPr>
          <w:p w14:paraId="76A159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3266" w:type="pct"/>
            <w:vAlign w:val="center"/>
          </w:tcPr>
          <w:p w14:paraId="26E41E5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14:paraId="1C2E356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A37AC6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876" w:type="pct"/>
            <w:vAlign w:val="center"/>
          </w:tcPr>
          <w:p w14:paraId="14DE0E1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3266" w:type="pct"/>
            <w:vAlign w:val="center"/>
          </w:tcPr>
          <w:p w14:paraId="25CF48F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542C48" w14:paraId="4BD481D3" w14:textId="77777777" w:rsidTr="007F67CB">
        <w:trPr>
          <w:cantSplit/>
          <w:jc w:val="center"/>
        </w:trPr>
        <w:tc>
          <w:tcPr>
            <w:tcW w:w="858" w:type="pct"/>
            <w:shd w:val="clear" w:color="auto" w:fill="auto"/>
            <w:vAlign w:val="center"/>
          </w:tcPr>
          <w:p w14:paraId="33C42AFB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7B1A240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“</w:t>
            </w:r>
          </w:p>
        </w:tc>
        <w:tc>
          <w:tcPr>
            <w:tcW w:w="3266" w:type="pct"/>
            <w:shd w:val="clear" w:color="auto" w:fill="auto"/>
            <w:vAlign w:val="center"/>
          </w:tcPr>
          <w:p w14:paraId="44AA142B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QUOTATION MARK</w:t>
            </w:r>
          </w:p>
        </w:tc>
      </w:tr>
      <w:tr w:rsidR="00B836FE" w14:paraId="11FCCAE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2854B1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876" w:type="pct"/>
            <w:vAlign w:val="center"/>
          </w:tcPr>
          <w:p w14:paraId="3E9E06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3266" w:type="pct"/>
            <w:vAlign w:val="center"/>
          </w:tcPr>
          <w:p w14:paraId="4F69340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14:paraId="4FBF2E6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9FFDC4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876" w:type="pct"/>
            <w:vAlign w:val="center"/>
          </w:tcPr>
          <w:p w14:paraId="57B24E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3266" w:type="pct"/>
            <w:vAlign w:val="center"/>
          </w:tcPr>
          <w:p w14:paraId="6E806C1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14:paraId="195B11A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6512D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876" w:type="pct"/>
            <w:vAlign w:val="center"/>
          </w:tcPr>
          <w:p w14:paraId="6490BC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3266" w:type="pct"/>
            <w:vAlign w:val="center"/>
          </w:tcPr>
          <w:p w14:paraId="1FAF0B8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14:paraId="601FE7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5C180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876" w:type="pct"/>
            <w:vAlign w:val="center"/>
          </w:tcPr>
          <w:p w14:paraId="7B74FE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3266" w:type="pct"/>
            <w:vAlign w:val="center"/>
          </w:tcPr>
          <w:p w14:paraId="52674D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542C48" w14:paraId="03BF222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2F06937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0027</w:t>
            </w:r>
          </w:p>
        </w:tc>
        <w:tc>
          <w:tcPr>
            <w:tcW w:w="876" w:type="pct"/>
            <w:vAlign w:val="center"/>
          </w:tcPr>
          <w:p w14:paraId="1C014E5B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>
              <w:rPr>
                <w:rFonts w:eastAsia="Batang" w:cs="Times New Roman"/>
                <w:sz w:val="17"/>
                <w:lang w:eastAsia="en-US"/>
              </w:rPr>
              <w:t>‘</w:t>
            </w:r>
          </w:p>
        </w:tc>
        <w:tc>
          <w:tcPr>
            <w:tcW w:w="3266" w:type="pct"/>
            <w:vAlign w:val="center"/>
          </w:tcPr>
          <w:p w14:paraId="7927B7B2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APOSTROPHE</w:t>
            </w:r>
          </w:p>
        </w:tc>
      </w:tr>
      <w:tr w:rsidR="00B836FE" w14:paraId="5EBA8D1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68ECB3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876" w:type="pct"/>
            <w:vAlign w:val="center"/>
          </w:tcPr>
          <w:p w14:paraId="3F17305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3266" w:type="pct"/>
            <w:vAlign w:val="center"/>
          </w:tcPr>
          <w:p w14:paraId="77A70D6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14:paraId="608F9B5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5C3E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876" w:type="pct"/>
            <w:vAlign w:val="center"/>
          </w:tcPr>
          <w:p w14:paraId="367584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3266" w:type="pct"/>
            <w:vAlign w:val="center"/>
          </w:tcPr>
          <w:p w14:paraId="55595E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14:paraId="124B45B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046CD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876" w:type="pct"/>
            <w:vAlign w:val="center"/>
          </w:tcPr>
          <w:p w14:paraId="374FB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3266" w:type="pct"/>
            <w:vAlign w:val="center"/>
          </w:tcPr>
          <w:p w14:paraId="095B655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14:paraId="39B3ECB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CBD930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876" w:type="pct"/>
            <w:vAlign w:val="center"/>
          </w:tcPr>
          <w:p w14:paraId="3FBD894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3266" w:type="pct"/>
            <w:vAlign w:val="center"/>
          </w:tcPr>
          <w:p w14:paraId="6548ECD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14:paraId="29DE686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68C3FA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876" w:type="pct"/>
            <w:vAlign w:val="center"/>
          </w:tcPr>
          <w:p w14:paraId="0D72E57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3266" w:type="pct"/>
            <w:vAlign w:val="center"/>
          </w:tcPr>
          <w:p w14:paraId="0BD9495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14:paraId="3123C5E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45888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876" w:type="pct"/>
            <w:vAlign w:val="center"/>
          </w:tcPr>
          <w:p w14:paraId="638C53F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3266" w:type="pct"/>
            <w:vAlign w:val="center"/>
          </w:tcPr>
          <w:p w14:paraId="197ED0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14:paraId="315660F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46C533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876" w:type="pct"/>
            <w:vAlign w:val="center"/>
          </w:tcPr>
          <w:p w14:paraId="0AC20B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3266" w:type="pct"/>
            <w:vAlign w:val="center"/>
          </w:tcPr>
          <w:p w14:paraId="5143CE8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14:paraId="335E30E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9D1BF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876" w:type="pct"/>
            <w:vAlign w:val="center"/>
          </w:tcPr>
          <w:p w14:paraId="5EBA51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3266" w:type="pct"/>
            <w:vAlign w:val="center"/>
          </w:tcPr>
          <w:p w14:paraId="2CD99CB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14:paraId="1E649AC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F86397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876" w:type="pct"/>
            <w:vAlign w:val="center"/>
          </w:tcPr>
          <w:p w14:paraId="1B57BB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3266" w:type="pct"/>
            <w:vAlign w:val="center"/>
          </w:tcPr>
          <w:p w14:paraId="0FD2A08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14:paraId="2418E3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491BDC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876" w:type="pct"/>
            <w:vAlign w:val="center"/>
          </w:tcPr>
          <w:p w14:paraId="362B133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3266" w:type="pct"/>
            <w:vAlign w:val="center"/>
          </w:tcPr>
          <w:p w14:paraId="2D8D62E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14:paraId="6E6F407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9D047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876" w:type="pct"/>
            <w:vAlign w:val="center"/>
          </w:tcPr>
          <w:p w14:paraId="765AD4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3266" w:type="pct"/>
            <w:vAlign w:val="center"/>
          </w:tcPr>
          <w:p w14:paraId="159ACB2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14:paraId="7C0A378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D0A38F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876" w:type="pct"/>
            <w:vAlign w:val="center"/>
          </w:tcPr>
          <w:p w14:paraId="4C38BD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3266" w:type="pct"/>
            <w:vAlign w:val="center"/>
          </w:tcPr>
          <w:p w14:paraId="37DB885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14:paraId="7D36FC9D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0088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876" w:type="pct"/>
            <w:vAlign w:val="center"/>
          </w:tcPr>
          <w:p w14:paraId="4280EC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3266" w:type="pct"/>
            <w:vAlign w:val="center"/>
          </w:tcPr>
          <w:p w14:paraId="66FC6EE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14:paraId="5847A0E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186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876" w:type="pct"/>
            <w:vAlign w:val="center"/>
          </w:tcPr>
          <w:p w14:paraId="4CCB5D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3266" w:type="pct"/>
            <w:vAlign w:val="center"/>
          </w:tcPr>
          <w:p w14:paraId="30C6DE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14:paraId="650108B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EF464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876" w:type="pct"/>
            <w:vAlign w:val="center"/>
          </w:tcPr>
          <w:p w14:paraId="10CEF6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3266" w:type="pct"/>
            <w:vAlign w:val="center"/>
          </w:tcPr>
          <w:p w14:paraId="6EE5126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14:paraId="2E8E27D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3B8069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876" w:type="pct"/>
            <w:vAlign w:val="center"/>
          </w:tcPr>
          <w:p w14:paraId="75E2560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3266" w:type="pct"/>
            <w:vAlign w:val="center"/>
          </w:tcPr>
          <w:p w14:paraId="070A3B3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14:paraId="19841E4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E9A1B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876" w:type="pct"/>
            <w:vAlign w:val="center"/>
          </w:tcPr>
          <w:p w14:paraId="192EF4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3266" w:type="pct"/>
            <w:vAlign w:val="center"/>
          </w:tcPr>
          <w:p w14:paraId="3962AC9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14:paraId="185166B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89980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876" w:type="pct"/>
            <w:vAlign w:val="center"/>
          </w:tcPr>
          <w:p w14:paraId="459B0EE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3266" w:type="pct"/>
            <w:vAlign w:val="center"/>
          </w:tcPr>
          <w:p w14:paraId="6897883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14:paraId="2C115288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5DE784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876" w:type="pct"/>
            <w:vAlign w:val="center"/>
          </w:tcPr>
          <w:p w14:paraId="42B9616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3266" w:type="pct"/>
            <w:vAlign w:val="center"/>
          </w:tcPr>
          <w:p w14:paraId="5CD9D6C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14:paraId="7996A14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F97F4C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876" w:type="pct"/>
            <w:vAlign w:val="center"/>
          </w:tcPr>
          <w:p w14:paraId="7395B00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3266" w:type="pct"/>
            <w:vAlign w:val="center"/>
          </w:tcPr>
          <w:p w14:paraId="508E2E6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542C48" w14:paraId="66AF48DC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2B6BAD3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003C</w:t>
            </w:r>
          </w:p>
        </w:tc>
        <w:tc>
          <w:tcPr>
            <w:tcW w:w="876" w:type="pct"/>
            <w:vAlign w:val="center"/>
          </w:tcPr>
          <w:p w14:paraId="5729FECD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&lt;</w:t>
            </w:r>
          </w:p>
        </w:tc>
        <w:tc>
          <w:tcPr>
            <w:tcW w:w="3266" w:type="pct"/>
            <w:vAlign w:val="center"/>
          </w:tcPr>
          <w:p w14:paraId="0120E9A0" w14:textId="77777777" w:rsidR="00542C48" w:rsidRPr="00B45EC1" w:rsidRDefault="00542C48" w:rsidP="00542C48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LESS-THAN SIGN</w:t>
            </w:r>
          </w:p>
        </w:tc>
      </w:tr>
      <w:tr w:rsidR="00B836FE" w14:paraId="1A5A9FB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D8B00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876" w:type="pct"/>
            <w:vAlign w:val="center"/>
          </w:tcPr>
          <w:p w14:paraId="089C5F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3266" w:type="pct"/>
            <w:vAlign w:val="center"/>
          </w:tcPr>
          <w:p w14:paraId="72073A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542C48" w14:paraId="045C6D99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1AE7AEA" w14:textId="77777777" w:rsidR="00542C48" w:rsidRPr="00B45EC1" w:rsidRDefault="00542C48" w:rsidP="00081501">
            <w:pPr>
              <w:jc w:val="center"/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003E</w:t>
            </w:r>
          </w:p>
        </w:tc>
        <w:tc>
          <w:tcPr>
            <w:tcW w:w="876" w:type="pct"/>
            <w:vAlign w:val="center"/>
          </w:tcPr>
          <w:p w14:paraId="3DAE1C67" w14:textId="77777777" w:rsidR="00542C48" w:rsidRPr="00BD0412" w:rsidRDefault="00542C48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lang w:eastAsia="en-US"/>
              </w:rPr>
              <w:t>&gt;</w:t>
            </w:r>
          </w:p>
        </w:tc>
        <w:tc>
          <w:tcPr>
            <w:tcW w:w="3266" w:type="pct"/>
            <w:vAlign w:val="center"/>
          </w:tcPr>
          <w:p w14:paraId="5B847A80" w14:textId="77777777" w:rsidR="00542C48" w:rsidRPr="00B45EC1" w:rsidRDefault="00542C48" w:rsidP="00081501">
            <w:pPr>
              <w:rPr>
                <w:rFonts w:eastAsia="Batang" w:cs="Times New Roman"/>
                <w:sz w:val="17"/>
                <w:u w:val="single"/>
                <w:lang w:eastAsia="en-US"/>
              </w:rPr>
            </w:pPr>
            <w:r w:rsidRPr="00B45EC1">
              <w:rPr>
                <w:rFonts w:eastAsia="Batang" w:cs="Times New Roman"/>
                <w:sz w:val="17"/>
                <w:highlight w:val="yellow"/>
                <w:u w:val="single"/>
                <w:lang w:eastAsia="en-US"/>
              </w:rPr>
              <w:t>GREATER-THAN SIGN</w:t>
            </w:r>
          </w:p>
        </w:tc>
      </w:tr>
      <w:tr w:rsidR="00B836FE" w14:paraId="1DEB468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8E54C0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876" w:type="pct"/>
            <w:vAlign w:val="center"/>
          </w:tcPr>
          <w:p w14:paraId="3FA30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3266" w:type="pct"/>
            <w:vAlign w:val="center"/>
          </w:tcPr>
          <w:p w14:paraId="6BE07B6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14:paraId="7EDAAF4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5FEA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876" w:type="pct"/>
            <w:vAlign w:val="center"/>
          </w:tcPr>
          <w:p w14:paraId="754672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3266" w:type="pct"/>
            <w:vAlign w:val="center"/>
          </w:tcPr>
          <w:p w14:paraId="2AA108C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14:paraId="4711782F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26823F3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876" w:type="pct"/>
            <w:vAlign w:val="center"/>
          </w:tcPr>
          <w:p w14:paraId="6DBFB1F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6E1C19A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14:paraId="443B8F90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43C6C6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876" w:type="pct"/>
            <w:vAlign w:val="center"/>
          </w:tcPr>
          <w:p w14:paraId="1D188B2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519E62A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14:paraId="4AFA0785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BFF5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876" w:type="pct"/>
            <w:vAlign w:val="center"/>
          </w:tcPr>
          <w:p w14:paraId="4E41F23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52F6391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14:paraId="1A007D1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4FF481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876" w:type="pct"/>
            <w:vAlign w:val="center"/>
          </w:tcPr>
          <w:p w14:paraId="007C8A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44D4279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14:paraId="5DE3D3E7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1FCCA6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876" w:type="pct"/>
            <w:vAlign w:val="center"/>
          </w:tcPr>
          <w:p w14:paraId="092F0F8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6D728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14:paraId="1F758F9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08452E5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876" w:type="pct"/>
            <w:vAlign w:val="center"/>
          </w:tcPr>
          <w:p w14:paraId="610FAF3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31C2F67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14:paraId="4BDBD11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7C1175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876" w:type="pct"/>
            <w:vAlign w:val="center"/>
          </w:tcPr>
          <w:p w14:paraId="44E2432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736C97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14:paraId="348B2332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4AF056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876" w:type="pct"/>
            <w:vAlign w:val="center"/>
          </w:tcPr>
          <w:p w14:paraId="01264C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35590E6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14:paraId="5A183EB1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8D211F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876" w:type="pct"/>
            <w:vAlign w:val="center"/>
          </w:tcPr>
          <w:p w14:paraId="0E07F5E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3266" w:type="pct"/>
            <w:vAlign w:val="center"/>
          </w:tcPr>
          <w:p w14:paraId="6272684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14:paraId="5007A45E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6F29FBA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876" w:type="pct"/>
            <w:vAlign w:val="center"/>
          </w:tcPr>
          <w:p w14:paraId="38A7BFA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66F89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14:paraId="2B5E4A33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0398AE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876" w:type="pct"/>
            <w:vAlign w:val="center"/>
          </w:tcPr>
          <w:p w14:paraId="4A91C6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558005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14:paraId="2B853916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B51413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876" w:type="pct"/>
            <w:vAlign w:val="center"/>
          </w:tcPr>
          <w:p w14:paraId="573EFD9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26948A2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14:paraId="37E1171B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30EBD3F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876" w:type="pct"/>
            <w:vAlign w:val="center"/>
          </w:tcPr>
          <w:p w14:paraId="622E7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2C2F912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14:paraId="33AEB6F4" w14:textId="77777777" w:rsidTr="007F67CB">
        <w:trPr>
          <w:cantSplit/>
          <w:jc w:val="center"/>
        </w:trPr>
        <w:tc>
          <w:tcPr>
            <w:tcW w:w="858" w:type="pct"/>
            <w:vAlign w:val="center"/>
          </w:tcPr>
          <w:p w14:paraId="514043A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876" w:type="pct"/>
            <w:vAlign w:val="center"/>
          </w:tcPr>
          <w:p w14:paraId="296FECC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45DC68D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</w:tbl>
    <w:p w14:paraId="5A8C6B3B" w14:textId="77777777" w:rsidR="00B36D56" w:rsidRDefault="00B36D56" w:rsidP="00081501">
      <w:pPr>
        <w:jc w:val="center"/>
        <w:rPr>
          <w:rFonts w:eastAsia="Batang" w:cs="Times New Roman"/>
          <w:sz w:val="17"/>
          <w:lang w:eastAsia="en-US"/>
        </w:rPr>
        <w:sectPr w:rsidR="00B36D56" w:rsidSect="00E230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86"/>
          <w:cols w:space="720"/>
          <w:titlePg/>
          <w:docGrid w:linePitch="299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42"/>
        <w:gridCol w:w="1677"/>
        <w:gridCol w:w="6252"/>
      </w:tblGrid>
      <w:tr w:rsidR="00B836FE" w14:paraId="7B9BB9F2" w14:textId="77777777" w:rsidTr="007F67CB">
        <w:trPr>
          <w:cantSplit/>
        </w:trPr>
        <w:tc>
          <w:tcPr>
            <w:tcW w:w="858" w:type="pct"/>
            <w:vAlign w:val="center"/>
          </w:tcPr>
          <w:p w14:paraId="50AD86FB" w14:textId="4B7B76E1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004F</w:t>
            </w:r>
          </w:p>
        </w:tc>
        <w:tc>
          <w:tcPr>
            <w:tcW w:w="876" w:type="pct"/>
            <w:vAlign w:val="center"/>
          </w:tcPr>
          <w:p w14:paraId="2C202A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691C3EA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14:paraId="06D73BEE" w14:textId="77777777" w:rsidTr="007F67CB">
        <w:trPr>
          <w:cantSplit/>
        </w:trPr>
        <w:tc>
          <w:tcPr>
            <w:tcW w:w="858" w:type="pct"/>
            <w:vAlign w:val="center"/>
          </w:tcPr>
          <w:p w14:paraId="203964B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876" w:type="pct"/>
            <w:vAlign w:val="center"/>
          </w:tcPr>
          <w:p w14:paraId="54DA68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59F4290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14:paraId="52746416" w14:textId="77777777" w:rsidTr="007F67CB">
        <w:trPr>
          <w:cantSplit/>
        </w:trPr>
        <w:tc>
          <w:tcPr>
            <w:tcW w:w="858" w:type="pct"/>
            <w:vAlign w:val="center"/>
          </w:tcPr>
          <w:p w14:paraId="0A22B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876" w:type="pct"/>
            <w:vAlign w:val="center"/>
          </w:tcPr>
          <w:p w14:paraId="71E0DE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5AC8551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14:paraId="081B5023" w14:textId="77777777" w:rsidTr="007F67CB">
        <w:trPr>
          <w:cantSplit/>
        </w:trPr>
        <w:tc>
          <w:tcPr>
            <w:tcW w:w="858" w:type="pct"/>
            <w:vAlign w:val="center"/>
          </w:tcPr>
          <w:p w14:paraId="563083F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876" w:type="pct"/>
            <w:vAlign w:val="center"/>
          </w:tcPr>
          <w:p w14:paraId="1E42C0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1E34D5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14:paraId="2EEFA2A4" w14:textId="77777777" w:rsidTr="007F67CB">
        <w:trPr>
          <w:cantSplit/>
        </w:trPr>
        <w:tc>
          <w:tcPr>
            <w:tcW w:w="858" w:type="pct"/>
            <w:vAlign w:val="center"/>
          </w:tcPr>
          <w:p w14:paraId="1ADE0B6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876" w:type="pct"/>
            <w:vAlign w:val="center"/>
          </w:tcPr>
          <w:p w14:paraId="53688A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6C986F38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14:paraId="0317C40D" w14:textId="77777777" w:rsidTr="007F67CB">
        <w:trPr>
          <w:cantSplit/>
        </w:trPr>
        <w:tc>
          <w:tcPr>
            <w:tcW w:w="858" w:type="pct"/>
            <w:vAlign w:val="center"/>
          </w:tcPr>
          <w:p w14:paraId="3A3F4B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876" w:type="pct"/>
            <w:vAlign w:val="center"/>
          </w:tcPr>
          <w:p w14:paraId="29449E4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4879C8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14:paraId="6F8B5A2C" w14:textId="77777777" w:rsidTr="007F67CB">
        <w:trPr>
          <w:cantSplit/>
        </w:trPr>
        <w:tc>
          <w:tcPr>
            <w:tcW w:w="858" w:type="pct"/>
            <w:vAlign w:val="center"/>
          </w:tcPr>
          <w:p w14:paraId="41C8C6B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0055</w:t>
            </w:r>
          </w:p>
        </w:tc>
        <w:tc>
          <w:tcPr>
            <w:tcW w:w="876" w:type="pct"/>
            <w:vAlign w:val="center"/>
          </w:tcPr>
          <w:p w14:paraId="4E7C49D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1129115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14:paraId="728340CA" w14:textId="77777777" w:rsidTr="007F67CB">
        <w:trPr>
          <w:cantSplit/>
        </w:trPr>
        <w:tc>
          <w:tcPr>
            <w:tcW w:w="858" w:type="pct"/>
            <w:vAlign w:val="center"/>
          </w:tcPr>
          <w:p w14:paraId="500F37D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0056</w:t>
            </w:r>
          </w:p>
        </w:tc>
        <w:tc>
          <w:tcPr>
            <w:tcW w:w="876" w:type="pct"/>
            <w:vAlign w:val="center"/>
          </w:tcPr>
          <w:p w14:paraId="72DDA4F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C0DA51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14:paraId="750D9828" w14:textId="77777777" w:rsidTr="007F67CB">
        <w:trPr>
          <w:cantSplit/>
        </w:trPr>
        <w:tc>
          <w:tcPr>
            <w:tcW w:w="858" w:type="pct"/>
            <w:vAlign w:val="center"/>
          </w:tcPr>
          <w:p w14:paraId="305972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876" w:type="pct"/>
            <w:vAlign w:val="center"/>
          </w:tcPr>
          <w:p w14:paraId="728F5E0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117470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14:paraId="6DCA695F" w14:textId="77777777" w:rsidTr="007F67CB">
        <w:trPr>
          <w:cantSplit/>
        </w:trPr>
        <w:tc>
          <w:tcPr>
            <w:tcW w:w="858" w:type="pct"/>
            <w:vAlign w:val="center"/>
          </w:tcPr>
          <w:p w14:paraId="25933F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876" w:type="pct"/>
            <w:vAlign w:val="center"/>
          </w:tcPr>
          <w:p w14:paraId="1D093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05A6DF1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14:paraId="71EB5C4E" w14:textId="77777777" w:rsidTr="007F67CB">
        <w:trPr>
          <w:cantSplit/>
        </w:trPr>
        <w:tc>
          <w:tcPr>
            <w:tcW w:w="858" w:type="pct"/>
            <w:vAlign w:val="center"/>
          </w:tcPr>
          <w:p w14:paraId="09395BC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876" w:type="pct"/>
            <w:vAlign w:val="center"/>
          </w:tcPr>
          <w:p w14:paraId="78836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63D4B33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14:paraId="3B47AFF5" w14:textId="77777777" w:rsidTr="007F67CB">
        <w:trPr>
          <w:cantSplit/>
        </w:trPr>
        <w:tc>
          <w:tcPr>
            <w:tcW w:w="858" w:type="pct"/>
            <w:vAlign w:val="center"/>
          </w:tcPr>
          <w:p w14:paraId="6D40FFB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876" w:type="pct"/>
            <w:vAlign w:val="center"/>
          </w:tcPr>
          <w:p w14:paraId="719DFDB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551C572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14:paraId="29B3A5EB" w14:textId="77777777" w:rsidTr="007F67CB">
        <w:trPr>
          <w:cantSplit/>
        </w:trPr>
        <w:tc>
          <w:tcPr>
            <w:tcW w:w="858" w:type="pct"/>
            <w:vAlign w:val="center"/>
          </w:tcPr>
          <w:p w14:paraId="4836267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876" w:type="pct"/>
            <w:vAlign w:val="center"/>
          </w:tcPr>
          <w:p w14:paraId="606E82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3266" w:type="pct"/>
            <w:vAlign w:val="center"/>
          </w:tcPr>
          <w:p w14:paraId="0A95A3A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14:paraId="42984A4E" w14:textId="77777777" w:rsidTr="007F67CB">
        <w:trPr>
          <w:cantSplit/>
        </w:trPr>
        <w:tc>
          <w:tcPr>
            <w:tcW w:w="858" w:type="pct"/>
            <w:vAlign w:val="center"/>
          </w:tcPr>
          <w:p w14:paraId="6BF0EBF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876" w:type="pct"/>
            <w:vAlign w:val="center"/>
          </w:tcPr>
          <w:p w14:paraId="1498E9B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3266" w:type="pct"/>
            <w:vAlign w:val="center"/>
          </w:tcPr>
          <w:p w14:paraId="494A4DD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14:paraId="089AAA95" w14:textId="77777777" w:rsidTr="007F67CB">
        <w:trPr>
          <w:cantSplit/>
        </w:trPr>
        <w:tc>
          <w:tcPr>
            <w:tcW w:w="858" w:type="pct"/>
            <w:vAlign w:val="center"/>
          </w:tcPr>
          <w:p w14:paraId="6767641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876" w:type="pct"/>
            <w:vAlign w:val="center"/>
          </w:tcPr>
          <w:p w14:paraId="047759F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3266" w:type="pct"/>
            <w:vAlign w:val="center"/>
          </w:tcPr>
          <w:p w14:paraId="71C4090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14:paraId="60B0FC7A" w14:textId="77777777" w:rsidTr="007F67CB">
        <w:trPr>
          <w:cantSplit/>
        </w:trPr>
        <w:tc>
          <w:tcPr>
            <w:tcW w:w="858" w:type="pct"/>
            <w:vAlign w:val="center"/>
          </w:tcPr>
          <w:p w14:paraId="308EDE9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876" w:type="pct"/>
            <w:vAlign w:val="center"/>
          </w:tcPr>
          <w:p w14:paraId="73FDECC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3266" w:type="pct"/>
            <w:vAlign w:val="center"/>
          </w:tcPr>
          <w:p w14:paraId="6F7117F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14:paraId="296FE1AA" w14:textId="77777777" w:rsidTr="007F67CB">
        <w:trPr>
          <w:cantSplit/>
        </w:trPr>
        <w:tc>
          <w:tcPr>
            <w:tcW w:w="858" w:type="pct"/>
            <w:vAlign w:val="center"/>
          </w:tcPr>
          <w:p w14:paraId="00D2B2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876" w:type="pct"/>
            <w:vAlign w:val="center"/>
          </w:tcPr>
          <w:p w14:paraId="2E16E51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3266" w:type="pct"/>
            <w:vAlign w:val="center"/>
          </w:tcPr>
          <w:p w14:paraId="3F5E8DB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14:paraId="4DCF4659" w14:textId="77777777" w:rsidTr="007F67CB">
        <w:trPr>
          <w:cantSplit/>
        </w:trPr>
        <w:tc>
          <w:tcPr>
            <w:tcW w:w="858" w:type="pct"/>
            <w:vAlign w:val="center"/>
          </w:tcPr>
          <w:p w14:paraId="443104A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876" w:type="pct"/>
            <w:vAlign w:val="center"/>
          </w:tcPr>
          <w:p w14:paraId="278D83D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3266" w:type="pct"/>
            <w:vAlign w:val="center"/>
          </w:tcPr>
          <w:p w14:paraId="7B06C56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14:paraId="4825AA63" w14:textId="77777777" w:rsidTr="007F67CB">
        <w:trPr>
          <w:cantSplit/>
        </w:trPr>
        <w:tc>
          <w:tcPr>
            <w:tcW w:w="858" w:type="pct"/>
            <w:vAlign w:val="center"/>
          </w:tcPr>
          <w:p w14:paraId="23CAA70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876" w:type="pct"/>
            <w:vAlign w:val="center"/>
          </w:tcPr>
          <w:p w14:paraId="30760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3266" w:type="pct"/>
            <w:vAlign w:val="center"/>
          </w:tcPr>
          <w:p w14:paraId="39FA088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14:paraId="0B986FF2" w14:textId="77777777" w:rsidTr="007F67CB">
        <w:trPr>
          <w:cantSplit/>
        </w:trPr>
        <w:tc>
          <w:tcPr>
            <w:tcW w:w="858" w:type="pct"/>
            <w:vAlign w:val="center"/>
          </w:tcPr>
          <w:p w14:paraId="68066A2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876" w:type="pct"/>
            <w:vAlign w:val="center"/>
          </w:tcPr>
          <w:p w14:paraId="59238AB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3266" w:type="pct"/>
            <w:vAlign w:val="center"/>
          </w:tcPr>
          <w:p w14:paraId="438CCCC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14:paraId="5C572F25" w14:textId="77777777" w:rsidTr="007F67CB">
        <w:trPr>
          <w:cantSplit/>
        </w:trPr>
        <w:tc>
          <w:tcPr>
            <w:tcW w:w="858" w:type="pct"/>
            <w:vAlign w:val="center"/>
          </w:tcPr>
          <w:p w14:paraId="720B4A3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876" w:type="pct"/>
            <w:vAlign w:val="center"/>
          </w:tcPr>
          <w:p w14:paraId="362BF04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3266" w:type="pct"/>
            <w:vAlign w:val="center"/>
          </w:tcPr>
          <w:p w14:paraId="4EACF59C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14:paraId="50B2C9C3" w14:textId="77777777" w:rsidTr="007F67CB">
        <w:trPr>
          <w:cantSplit/>
        </w:trPr>
        <w:tc>
          <w:tcPr>
            <w:tcW w:w="858" w:type="pct"/>
            <w:vAlign w:val="center"/>
          </w:tcPr>
          <w:p w14:paraId="17B8979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876" w:type="pct"/>
            <w:vAlign w:val="center"/>
          </w:tcPr>
          <w:p w14:paraId="1F9CBDC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3266" w:type="pct"/>
            <w:vAlign w:val="center"/>
          </w:tcPr>
          <w:p w14:paraId="5B290BB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14:paraId="74C89D2B" w14:textId="77777777" w:rsidTr="007F67CB">
        <w:trPr>
          <w:cantSplit/>
        </w:trPr>
        <w:tc>
          <w:tcPr>
            <w:tcW w:w="858" w:type="pct"/>
            <w:vAlign w:val="center"/>
          </w:tcPr>
          <w:p w14:paraId="75F321B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876" w:type="pct"/>
            <w:vAlign w:val="center"/>
          </w:tcPr>
          <w:p w14:paraId="0B616E8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3266" w:type="pct"/>
            <w:vAlign w:val="center"/>
          </w:tcPr>
          <w:p w14:paraId="33DB07D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14:paraId="78AABE43" w14:textId="77777777" w:rsidTr="007F67CB">
        <w:trPr>
          <w:cantSplit/>
        </w:trPr>
        <w:tc>
          <w:tcPr>
            <w:tcW w:w="858" w:type="pct"/>
            <w:vAlign w:val="center"/>
          </w:tcPr>
          <w:p w14:paraId="4F42613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876" w:type="pct"/>
            <w:vAlign w:val="center"/>
          </w:tcPr>
          <w:p w14:paraId="4097AEA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3266" w:type="pct"/>
            <w:vAlign w:val="center"/>
          </w:tcPr>
          <w:p w14:paraId="16132CC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14:paraId="237BEE1A" w14:textId="77777777" w:rsidTr="007F67CB">
        <w:trPr>
          <w:cantSplit/>
        </w:trPr>
        <w:tc>
          <w:tcPr>
            <w:tcW w:w="858" w:type="pct"/>
            <w:vAlign w:val="center"/>
          </w:tcPr>
          <w:p w14:paraId="495211F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876" w:type="pct"/>
            <w:vAlign w:val="center"/>
          </w:tcPr>
          <w:p w14:paraId="6C8813D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3266" w:type="pct"/>
            <w:vAlign w:val="center"/>
          </w:tcPr>
          <w:p w14:paraId="3B6EC4AD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14:paraId="4EDB7265" w14:textId="77777777" w:rsidTr="007F67CB">
        <w:trPr>
          <w:cantSplit/>
        </w:trPr>
        <w:tc>
          <w:tcPr>
            <w:tcW w:w="858" w:type="pct"/>
            <w:vAlign w:val="center"/>
          </w:tcPr>
          <w:p w14:paraId="646A195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876" w:type="pct"/>
            <w:vAlign w:val="center"/>
          </w:tcPr>
          <w:p w14:paraId="555AD36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3266" w:type="pct"/>
            <w:vAlign w:val="center"/>
          </w:tcPr>
          <w:p w14:paraId="186DFEF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14:paraId="54C11F13" w14:textId="77777777" w:rsidTr="007F67CB">
        <w:trPr>
          <w:cantSplit/>
        </w:trPr>
        <w:tc>
          <w:tcPr>
            <w:tcW w:w="858" w:type="pct"/>
            <w:vAlign w:val="center"/>
          </w:tcPr>
          <w:p w14:paraId="53C061A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876" w:type="pct"/>
            <w:vAlign w:val="center"/>
          </w:tcPr>
          <w:p w14:paraId="166F697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3266" w:type="pct"/>
            <w:vAlign w:val="center"/>
          </w:tcPr>
          <w:p w14:paraId="4B2E92C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14:paraId="1561A690" w14:textId="77777777" w:rsidTr="007F67CB">
        <w:trPr>
          <w:cantSplit/>
        </w:trPr>
        <w:tc>
          <w:tcPr>
            <w:tcW w:w="858" w:type="pct"/>
            <w:vAlign w:val="center"/>
          </w:tcPr>
          <w:p w14:paraId="0FD20CB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876" w:type="pct"/>
            <w:vAlign w:val="center"/>
          </w:tcPr>
          <w:p w14:paraId="083FC3F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3266" w:type="pct"/>
            <w:vAlign w:val="center"/>
          </w:tcPr>
          <w:p w14:paraId="114EC17E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14:paraId="41CB5762" w14:textId="77777777" w:rsidTr="007F67CB">
        <w:trPr>
          <w:cantSplit/>
        </w:trPr>
        <w:tc>
          <w:tcPr>
            <w:tcW w:w="858" w:type="pct"/>
            <w:vAlign w:val="center"/>
          </w:tcPr>
          <w:p w14:paraId="5E3FA71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876" w:type="pct"/>
            <w:vAlign w:val="center"/>
          </w:tcPr>
          <w:p w14:paraId="4AFA3A2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3266" w:type="pct"/>
            <w:vAlign w:val="center"/>
          </w:tcPr>
          <w:p w14:paraId="7C96D73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14:paraId="31D2266B" w14:textId="77777777" w:rsidTr="007F67CB">
        <w:trPr>
          <w:cantSplit/>
        </w:trPr>
        <w:tc>
          <w:tcPr>
            <w:tcW w:w="858" w:type="pct"/>
            <w:vAlign w:val="center"/>
          </w:tcPr>
          <w:p w14:paraId="30E434E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876" w:type="pct"/>
            <w:vAlign w:val="center"/>
          </w:tcPr>
          <w:p w14:paraId="3DCF384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3266" w:type="pct"/>
            <w:vAlign w:val="center"/>
          </w:tcPr>
          <w:p w14:paraId="51AE968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14:paraId="16DEA4C3" w14:textId="77777777" w:rsidTr="007F67CB">
        <w:trPr>
          <w:cantSplit/>
        </w:trPr>
        <w:tc>
          <w:tcPr>
            <w:tcW w:w="858" w:type="pct"/>
            <w:vAlign w:val="center"/>
          </w:tcPr>
          <w:p w14:paraId="66189B2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876" w:type="pct"/>
            <w:vAlign w:val="center"/>
          </w:tcPr>
          <w:p w14:paraId="59042D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3266" w:type="pct"/>
            <w:vAlign w:val="center"/>
          </w:tcPr>
          <w:p w14:paraId="10408944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14:paraId="67E20C39" w14:textId="77777777" w:rsidTr="007F67CB">
        <w:trPr>
          <w:cantSplit/>
        </w:trPr>
        <w:tc>
          <w:tcPr>
            <w:tcW w:w="858" w:type="pct"/>
            <w:vAlign w:val="center"/>
          </w:tcPr>
          <w:p w14:paraId="7663830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876" w:type="pct"/>
            <w:vAlign w:val="center"/>
          </w:tcPr>
          <w:p w14:paraId="62A5F071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3266" w:type="pct"/>
            <w:vAlign w:val="center"/>
          </w:tcPr>
          <w:p w14:paraId="1305FDB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14:paraId="05338A19" w14:textId="77777777" w:rsidTr="007F67CB">
        <w:trPr>
          <w:cantSplit/>
        </w:trPr>
        <w:tc>
          <w:tcPr>
            <w:tcW w:w="858" w:type="pct"/>
            <w:vAlign w:val="center"/>
          </w:tcPr>
          <w:p w14:paraId="65FBC4E4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876" w:type="pct"/>
            <w:vAlign w:val="center"/>
          </w:tcPr>
          <w:p w14:paraId="06BD450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3266" w:type="pct"/>
            <w:vAlign w:val="center"/>
          </w:tcPr>
          <w:p w14:paraId="260E1475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14:paraId="1B8F5A82" w14:textId="77777777" w:rsidTr="007F67CB">
        <w:trPr>
          <w:cantSplit/>
        </w:trPr>
        <w:tc>
          <w:tcPr>
            <w:tcW w:w="858" w:type="pct"/>
            <w:vAlign w:val="center"/>
          </w:tcPr>
          <w:p w14:paraId="2545A066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876" w:type="pct"/>
            <w:vAlign w:val="center"/>
          </w:tcPr>
          <w:p w14:paraId="7B272F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3266" w:type="pct"/>
            <w:vAlign w:val="center"/>
          </w:tcPr>
          <w:p w14:paraId="294A1EE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14:paraId="6A4B0F5A" w14:textId="77777777" w:rsidTr="007F67CB">
        <w:trPr>
          <w:cantSplit/>
        </w:trPr>
        <w:tc>
          <w:tcPr>
            <w:tcW w:w="858" w:type="pct"/>
            <w:vAlign w:val="center"/>
          </w:tcPr>
          <w:p w14:paraId="658FEC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876" w:type="pct"/>
            <w:vAlign w:val="center"/>
          </w:tcPr>
          <w:p w14:paraId="5D75368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3266" w:type="pct"/>
            <w:vAlign w:val="center"/>
          </w:tcPr>
          <w:p w14:paraId="74B8A2D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14:paraId="651DDF38" w14:textId="77777777" w:rsidTr="007F67CB">
        <w:trPr>
          <w:cantSplit/>
        </w:trPr>
        <w:tc>
          <w:tcPr>
            <w:tcW w:w="858" w:type="pct"/>
            <w:vAlign w:val="center"/>
          </w:tcPr>
          <w:p w14:paraId="5C98F165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876" w:type="pct"/>
            <w:vAlign w:val="center"/>
          </w:tcPr>
          <w:p w14:paraId="727199A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3266" w:type="pct"/>
            <w:vAlign w:val="center"/>
          </w:tcPr>
          <w:p w14:paraId="0B1FFC4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14:paraId="515E2F41" w14:textId="77777777" w:rsidTr="007F67CB">
        <w:trPr>
          <w:cantSplit/>
        </w:trPr>
        <w:tc>
          <w:tcPr>
            <w:tcW w:w="858" w:type="pct"/>
            <w:vAlign w:val="center"/>
          </w:tcPr>
          <w:p w14:paraId="460966B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876" w:type="pct"/>
            <w:vAlign w:val="center"/>
          </w:tcPr>
          <w:p w14:paraId="71B698F3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3266" w:type="pct"/>
            <w:vAlign w:val="center"/>
          </w:tcPr>
          <w:p w14:paraId="0516A901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14:paraId="053F207A" w14:textId="77777777" w:rsidTr="007F67CB">
        <w:trPr>
          <w:cantSplit/>
        </w:trPr>
        <w:tc>
          <w:tcPr>
            <w:tcW w:w="858" w:type="pct"/>
            <w:vAlign w:val="center"/>
          </w:tcPr>
          <w:p w14:paraId="2547AAA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876" w:type="pct"/>
            <w:vAlign w:val="center"/>
          </w:tcPr>
          <w:p w14:paraId="496B956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3266" w:type="pct"/>
            <w:vAlign w:val="center"/>
          </w:tcPr>
          <w:p w14:paraId="3F5043A0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14:paraId="3599FBB1" w14:textId="77777777" w:rsidTr="007F67CB">
        <w:trPr>
          <w:cantSplit/>
        </w:trPr>
        <w:tc>
          <w:tcPr>
            <w:tcW w:w="858" w:type="pct"/>
            <w:vAlign w:val="center"/>
          </w:tcPr>
          <w:p w14:paraId="61CDA982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876" w:type="pct"/>
            <w:vAlign w:val="center"/>
          </w:tcPr>
          <w:p w14:paraId="29ECBB1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3266" w:type="pct"/>
            <w:vAlign w:val="center"/>
          </w:tcPr>
          <w:p w14:paraId="79D32E0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14:paraId="10689604" w14:textId="77777777" w:rsidTr="007F67CB">
        <w:trPr>
          <w:cantSplit/>
        </w:trPr>
        <w:tc>
          <w:tcPr>
            <w:tcW w:w="858" w:type="pct"/>
            <w:vAlign w:val="center"/>
          </w:tcPr>
          <w:p w14:paraId="6F5988D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876" w:type="pct"/>
            <w:vAlign w:val="center"/>
          </w:tcPr>
          <w:p w14:paraId="58E3B49D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3266" w:type="pct"/>
            <w:vAlign w:val="center"/>
          </w:tcPr>
          <w:p w14:paraId="3294C57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14:paraId="651CCFB4" w14:textId="77777777" w:rsidTr="007F67CB">
        <w:trPr>
          <w:cantSplit/>
        </w:trPr>
        <w:tc>
          <w:tcPr>
            <w:tcW w:w="858" w:type="pct"/>
            <w:vAlign w:val="center"/>
          </w:tcPr>
          <w:p w14:paraId="174FCFE0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876" w:type="pct"/>
            <w:vAlign w:val="center"/>
          </w:tcPr>
          <w:p w14:paraId="6BE6959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3266" w:type="pct"/>
            <w:vAlign w:val="center"/>
          </w:tcPr>
          <w:p w14:paraId="0805E487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14:paraId="58C6B139" w14:textId="77777777" w:rsidTr="007F67CB">
        <w:trPr>
          <w:cantSplit/>
        </w:trPr>
        <w:tc>
          <w:tcPr>
            <w:tcW w:w="858" w:type="pct"/>
            <w:vAlign w:val="center"/>
          </w:tcPr>
          <w:p w14:paraId="1D59233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876" w:type="pct"/>
            <w:vAlign w:val="center"/>
          </w:tcPr>
          <w:p w14:paraId="7FA9450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3266" w:type="pct"/>
            <w:vAlign w:val="center"/>
          </w:tcPr>
          <w:p w14:paraId="1BCB13E3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14:paraId="445C4E7D" w14:textId="77777777" w:rsidTr="007F67CB">
        <w:trPr>
          <w:cantSplit/>
        </w:trPr>
        <w:tc>
          <w:tcPr>
            <w:tcW w:w="858" w:type="pct"/>
            <w:vAlign w:val="center"/>
          </w:tcPr>
          <w:p w14:paraId="5989B5A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876" w:type="pct"/>
            <w:vAlign w:val="center"/>
          </w:tcPr>
          <w:p w14:paraId="130B326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3266" w:type="pct"/>
            <w:vAlign w:val="center"/>
          </w:tcPr>
          <w:p w14:paraId="2F9A0FC9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14:paraId="026418AA" w14:textId="77777777" w:rsidTr="007F67CB">
        <w:trPr>
          <w:cantSplit/>
        </w:trPr>
        <w:tc>
          <w:tcPr>
            <w:tcW w:w="858" w:type="pct"/>
            <w:vAlign w:val="center"/>
          </w:tcPr>
          <w:p w14:paraId="243BDB4B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876" w:type="pct"/>
            <w:vAlign w:val="center"/>
          </w:tcPr>
          <w:p w14:paraId="27588378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3266" w:type="pct"/>
            <w:vAlign w:val="center"/>
          </w:tcPr>
          <w:p w14:paraId="09B8676B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14:paraId="3FDAD155" w14:textId="77777777" w:rsidTr="007F67CB">
        <w:trPr>
          <w:cantSplit/>
        </w:trPr>
        <w:tc>
          <w:tcPr>
            <w:tcW w:w="858" w:type="pct"/>
            <w:vAlign w:val="center"/>
          </w:tcPr>
          <w:p w14:paraId="5512EC5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876" w:type="pct"/>
            <w:vAlign w:val="center"/>
          </w:tcPr>
          <w:p w14:paraId="5202142F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3266" w:type="pct"/>
            <w:vAlign w:val="center"/>
          </w:tcPr>
          <w:p w14:paraId="34CD379A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14:paraId="10ADE74E" w14:textId="77777777" w:rsidTr="007F67CB">
        <w:trPr>
          <w:cantSplit/>
        </w:trPr>
        <w:tc>
          <w:tcPr>
            <w:tcW w:w="858" w:type="pct"/>
            <w:vAlign w:val="center"/>
          </w:tcPr>
          <w:p w14:paraId="489D812C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876" w:type="pct"/>
            <w:vAlign w:val="center"/>
          </w:tcPr>
          <w:p w14:paraId="5D713FE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3266" w:type="pct"/>
            <w:vAlign w:val="center"/>
          </w:tcPr>
          <w:p w14:paraId="5CADC00F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14:paraId="466CCC1D" w14:textId="77777777" w:rsidTr="007F67CB">
        <w:trPr>
          <w:cantSplit/>
        </w:trPr>
        <w:tc>
          <w:tcPr>
            <w:tcW w:w="858" w:type="pct"/>
            <w:vAlign w:val="center"/>
          </w:tcPr>
          <w:p w14:paraId="7A8F455E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876" w:type="pct"/>
            <w:vAlign w:val="center"/>
          </w:tcPr>
          <w:p w14:paraId="65652387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3266" w:type="pct"/>
            <w:vAlign w:val="center"/>
          </w:tcPr>
          <w:p w14:paraId="7410DFF6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14:paraId="6DE5588F" w14:textId="77777777" w:rsidTr="007F67CB">
        <w:trPr>
          <w:cantSplit/>
        </w:trPr>
        <w:tc>
          <w:tcPr>
            <w:tcW w:w="858" w:type="pct"/>
            <w:vAlign w:val="center"/>
          </w:tcPr>
          <w:p w14:paraId="56DF562A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876" w:type="pct"/>
            <w:vAlign w:val="center"/>
          </w:tcPr>
          <w:p w14:paraId="50F97D19" w14:textId="77777777"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3266" w:type="pct"/>
            <w:vAlign w:val="center"/>
          </w:tcPr>
          <w:p w14:paraId="0E40FAE2" w14:textId="77777777"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14:paraId="0AD99997" w14:textId="77777777" w:rsidR="00A44BB2" w:rsidRDefault="00A44BB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14:paraId="58E5ECED" w14:textId="77777777" w:rsidR="00A44BB2" w:rsidRDefault="00A44BB2" w:rsidP="00BD0412">
      <w:pPr>
        <w:rPr>
          <w:rFonts w:eastAsia="Batang" w:cs="Times New Roman"/>
          <w:sz w:val="17"/>
          <w:lang w:eastAsia="en-US"/>
        </w:rPr>
      </w:pPr>
    </w:p>
    <w:p w14:paraId="07BF2D59" w14:textId="77777777" w:rsidR="00A44BB2" w:rsidRDefault="00A44BB2" w:rsidP="00BD0412">
      <w:pPr>
        <w:rPr>
          <w:rFonts w:eastAsia="Batang" w:cs="Times New Roman"/>
          <w:sz w:val="17"/>
          <w:lang w:eastAsia="en-US"/>
        </w:rPr>
      </w:pPr>
    </w:p>
    <w:p w14:paraId="4C3B5C5D" w14:textId="77777777" w:rsidR="00A44BB2" w:rsidRDefault="00A44BB2" w:rsidP="00BD0412">
      <w:pPr>
        <w:rPr>
          <w:rFonts w:eastAsia="Batang" w:cs="Times New Roman"/>
          <w:sz w:val="17"/>
          <w:lang w:eastAsia="en-US"/>
        </w:rPr>
      </w:pPr>
    </w:p>
    <w:p w14:paraId="1C533BFF" w14:textId="77777777" w:rsidR="00A44BB2" w:rsidRDefault="00A44BB2" w:rsidP="00BD0412">
      <w:pPr>
        <w:rPr>
          <w:rFonts w:eastAsia="Batang" w:cs="Times New Roman"/>
          <w:sz w:val="17"/>
          <w:lang w:eastAsia="en-US"/>
        </w:rPr>
      </w:pPr>
    </w:p>
    <w:p w14:paraId="403161CE" w14:textId="77777777" w:rsidR="00A44BB2" w:rsidRDefault="00A44BB2" w:rsidP="00BD0412">
      <w:pPr>
        <w:rPr>
          <w:rFonts w:eastAsia="Batang" w:cs="Times New Roman"/>
          <w:sz w:val="17"/>
          <w:lang w:eastAsia="en-US"/>
        </w:rPr>
      </w:pPr>
    </w:p>
    <w:p w14:paraId="7567A0BD" w14:textId="5A7441AC" w:rsidR="00A44BB2" w:rsidRPr="00A44BB2" w:rsidRDefault="00A44BB2" w:rsidP="00A44BB2">
      <w:pPr>
        <w:widowControl w:val="0"/>
        <w:kinsoku w:val="0"/>
        <w:ind w:left="5534"/>
        <w:rPr>
          <w:sz w:val="17"/>
          <w:szCs w:val="17"/>
          <w:lang w:val="fr-FR"/>
        </w:rPr>
      </w:pPr>
      <w:r w:rsidRPr="00A44BB2">
        <w:rPr>
          <w:color w:val="000000"/>
          <w:sz w:val="17"/>
          <w:szCs w:val="17"/>
          <w:lang w:val="fr-FR"/>
        </w:rPr>
        <w:t>L'annexe IV (Norme ST.26 - Annexe IV) suit]</w:t>
      </w:r>
    </w:p>
    <w:p w14:paraId="238E6D78" w14:textId="77777777" w:rsidR="00A44BB2" w:rsidRPr="00A44BB2" w:rsidRDefault="00A44BB2" w:rsidP="00B85A06">
      <w:pPr>
        <w:rPr>
          <w:sz w:val="17"/>
          <w:szCs w:val="17"/>
          <w:lang w:val="fr-FR"/>
        </w:rPr>
      </w:pPr>
    </w:p>
    <w:sectPr w:rsidR="00A44BB2" w:rsidRPr="00A44BB2" w:rsidSect="002A78F5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E834D" w14:textId="77777777" w:rsidR="00741B25" w:rsidRDefault="00741B25">
      <w:r>
        <w:separator/>
      </w:r>
    </w:p>
  </w:endnote>
  <w:endnote w:type="continuationSeparator" w:id="0">
    <w:p w14:paraId="7E337E7C" w14:textId="77777777" w:rsidR="00741B25" w:rsidRDefault="00741B25" w:rsidP="003B38C1">
      <w:r>
        <w:separator/>
      </w:r>
    </w:p>
    <w:p w14:paraId="18885D6D" w14:textId="77777777" w:rsidR="00741B25" w:rsidRPr="003B38C1" w:rsidRDefault="00741B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FC70F5" w14:textId="77777777" w:rsidR="00741B25" w:rsidRPr="003B38C1" w:rsidRDefault="00741B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29263" w14:textId="77777777" w:rsidR="00871F9F" w:rsidRDefault="00871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279B0" w14:textId="77777777" w:rsidR="00871F9F" w:rsidRDefault="00871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0ECFE" w14:textId="77777777" w:rsidR="00871F9F" w:rsidRDefault="0087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5FB8" w14:textId="77777777" w:rsidR="00741B25" w:rsidRDefault="00741B25">
      <w:r>
        <w:separator/>
      </w:r>
    </w:p>
  </w:footnote>
  <w:footnote w:type="continuationSeparator" w:id="0">
    <w:p w14:paraId="3CB3768F" w14:textId="77777777" w:rsidR="00741B25" w:rsidRDefault="00741B25" w:rsidP="008B60B2">
      <w:r>
        <w:separator/>
      </w:r>
    </w:p>
    <w:p w14:paraId="4BD82CD5" w14:textId="77777777" w:rsidR="00741B25" w:rsidRPr="00ED77FB" w:rsidRDefault="00741B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8013C33" w14:textId="77777777" w:rsidR="00741B25" w:rsidRPr="00ED77FB" w:rsidRDefault="00741B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FD175" w14:textId="77777777" w:rsidR="00871F9F" w:rsidRDefault="00871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95AF" w14:textId="15AB24CD" w:rsidR="00EC4E49" w:rsidRDefault="00EF6750" w:rsidP="00477D6B">
    <w:pPr>
      <w:jc w:val="right"/>
    </w:pPr>
    <w:r>
      <w:t>CWS/</w:t>
    </w:r>
    <w:r w:rsidR="00D83F3F">
      <w:t>6/16</w:t>
    </w:r>
  </w:p>
  <w:p w14:paraId="6A210F2C" w14:textId="59792DFD" w:rsidR="00EC4E49" w:rsidRDefault="00A65D37" w:rsidP="00477D6B">
    <w:pPr>
      <w:jc w:val="right"/>
    </w:pPr>
    <w:r>
      <w:t>Annex</w:t>
    </w:r>
    <w:r w:rsidR="00871F9F">
      <w:t> </w:t>
    </w:r>
    <w:r w:rsidR="00D83F3F">
      <w:t>IV, page</w:t>
    </w:r>
    <w:r w:rsidR="00871F9F">
      <w:t> </w:t>
    </w:r>
    <w:r w:rsidR="00D83F3F">
      <w:t>3</w:t>
    </w:r>
  </w:p>
  <w:p w14:paraId="114FF875" w14:textId="77777777" w:rsidR="00EC4E49" w:rsidRDefault="00EC4E49" w:rsidP="00477D6B">
    <w:pPr>
      <w:jc w:val="right"/>
    </w:pPr>
  </w:p>
  <w:p w14:paraId="43FB6271" w14:textId="77777777" w:rsidR="00BB74B8" w:rsidRDefault="00BB74B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A0D8" w14:textId="5D36853E" w:rsidR="00BB74B8" w:rsidRPr="001C4700" w:rsidRDefault="00EF6750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</w:t>
    </w:r>
    <w:r w:rsidR="00F146D4" w:rsidRPr="001C4700">
      <w:rPr>
        <w:sz w:val="17"/>
        <w:szCs w:val="17"/>
      </w:rPr>
      <w:t>6</w:t>
    </w:r>
    <w:r w:rsidR="00BB74B8" w:rsidRPr="001C4700">
      <w:rPr>
        <w:sz w:val="17"/>
        <w:szCs w:val="17"/>
      </w:rPr>
      <w:t>/</w:t>
    </w:r>
    <w:r w:rsidR="00D83F3F" w:rsidRPr="001C4700">
      <w:rPr>
        <w:sz w:val="17"/>
        <w:szCs w:val="17"/>
      </w:rPr>
      <w:t>16</w:t>
    </w:r>
  </w:p>
  <w:p w14:paraId="437039E8" w14:textId="18E57BCC" w:rsidR="00BB74B8" w:rsidRPr="001C4700" w:rsidRDefault="00BB74B8" w:rsidP="00BB74B8">
    <w:pPr>
      <w:jc w:val="right"/>
      <w:rPr>
        <w:sz w:val="17"/>
        <w:szCs w:val="17"/>
      </w:rPr>
    </w:pPr>
    <w:r w:rsidRPr="001C4700">
      <w:rPr>
        <w:sz w:val="17"/>
        <w:szCs w:val="17"/>
      </w:rPr>
      <w:t>ANNEX</w:t>
    </w:r>
    <w:r w:rsidR="00A44BB2">
      <w:rPr>
        <w:sz w:val="17"/>
        <w:szCs w:val="17"/>
      </w:rPr>
      <w:t>E</w:t>
    </w:r>
    <w:r w:rsidR="00030674">
      <w:rPr>
        <w:sz w:val="17"/>
        <w:szCs w:val="17"/>
      </w:rPr>
      <w:t xml:space="preserve"> V</w:t>
    </w:r>
  </w:p>
  <w:p w14:paraId="436A5944" w14:textId="77777777" w:rsidR="00BB74B8" w:rsidRPr="001C4700" w:rsidRDefault="00BB74B8" w:rsidP="00BB74B8">
    <w:pPr>
      <w:jc w:val="right"/>
      <w:rPr>
        <w:sz w:val="17"/>
        <w:szCs w:val="17"/>
      </w:rPr>
    </w:pPr>
  </w:p>
  <w:p w14:paraId="64752AC8" w14:textId="77777777" w:rsidR="00C351A6" w:rsidRPr="001C4700" w:rsidRDefault="00C351A6" w:rsidP="00BB74B8">
    <w:pPr>
      <w:jc w:val="right"/>
      <w:rPr>
        <w:sz w:val="17"/>
        <w:szCs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1D7E" w14:textId="77777777" w:rsidR="00B36D56" w:rsidRDefault="00B36D56" w:rsidP="00477D6B">
    <w:pPr>
      <w:jc w:val="right"/>
    </w:pPr>
    <w:r>
      <w:t>CWS/6/16</w:t>
    </w:r>
  </w:p>
  <w:p w14:paraId="52F13E18" w14:textId="33B37DA6" w:rsidR="00B36D56" w:rsidRDefault="00B36D56" w:rsidP="00477D6B">
    <w:pPr>
      <w:jc w:val="right"/>
    </w:pPr>
    <w:r>
      <w:t>ANNEX V</w:t>
    </w:r>
  </w:p>
  <w:p w14:paraId="0BE7F7F6" w14:textId="77777777" w:rsidR="00B36D56" w:rsidRDefault="00B36D56" w:rsidP="00477D6B">
    <w:pPr>
      <w:jc w:val="right"/>
    </w:pPr>
  </w:p>
  <w:p w14:paraId="5D2058A7" w14:textId="77777777" w:rsidR="00B36D56" w:rsidRDefault="00B36D56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7D0" w14:textId="77777777" w:rsidR="00B36D56" w:rsidRPr="001C4700" w:rsidRDefault="00B36D56" w:rsidP="009567DC">
    <w:pPr>
      <w:jc w:val="right"/>
      <w:rPr>
        <w:sz w:val="17"/>
        <w:szCs w:val="17"/>
      </w:rPr>
    </w:pPr>
    <w:r w:rsidRPr="001C4700">
      <w:rPr>
        <w:sz w:val="17"/>
        <w:szCs w:val="17"/>
      </w:rPr>
      <w:t>CWS/6/16</w:t>
    </w:r>
  </w:p>
  <w:p w14:paraId="4BA1E992" w14:textId="1D9ACC9F" w:rsidR="00B36D56" w:rsidRPr="001C4700" w:rsidRDefault="00030674" w:rsidP="00BB74B8">
    <w:pPr>
      <w:jc w:val="right"/>
      <w:rPr>
        <w:sz w:val="17"/>
        <w:szCs w:val="17"/>
      </w:rPr>
    </w:pPr>
    <w:r w:rsidRPr="00B75718">
      <w:rPr>
        <w:sz w:val="17"/>
        <w:szCs w:val="17"/>
        <w:lang w:val="fr-FR"/>
      </w:rPr>
      <w:t>Annex</w:t>
    </w:r>
    <w:r w:rsidR="007C6D7D" w:rsidRPr="00B75718">
      <w:rPr>
        <w:sz w:val="17"/>
        <w:szCs w:val="17"/>
        <w:lang w:val="fr-FR"/>
      </w:rPr>
      <w:t>e</w:t>
    </w:r>
    <w:r>
      <w:rPr>
        <w:sz w:val="17"/>
        <w:szCs w:val="17"/>
      </w:rPr>
      <w:t xml:space="preserve"> </w:t>
    </w:r>
    <w:r w:rsidR="00B36D56" w:rsidRPr="001C4700">
      <w:rPr>
        <w:sz w:val="17"/>
        <w:szCs w:val="17"/>
      </w:rPr>
      <w:t>V, page 2</w:t>
    </w:r>
  </w:p>
  <w:p w14:paraId="1D8A50F8" w14:textId="77777777" w:rsidR="00B36D56" w:rsidRPr="001C4700" w:rsidRDefault="00B36D56" w:rsidP="00BB74B8">
    <w:pPr>
      <w:jc w:val="right"/>
      <w:rPr>
        <w:sz w:val="17"/>
        <w:szCs w:val="17"/>
      </w:rPr>
    </w:pPr>
  </w:p>
  <w:p w14:paraId="3D4CB6B6" w14:textId="77777777" w:rsidR="00B36D56" w:rsidRPr="001C4700" w:rsidRDefault="00B36D56" w:rsidP="00BB74B8">
    <w:pPr>
      <w:jc w:val="right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comment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CW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BD0412"/>
    <w:rsid w:val="00013267"/>
    <w:rsid w:val="00030674"/>
    <w:rsid w:val="00043CAA"/>
    <w:rsid w:val="00075432"/>
    <w:rsid w:val="00076D20"/>
    <w:rsid w:val="000968ED"/>
    <w:rsid w:val="000B75E0"/>
    <w:rsid w:val="000F5D73"/>
    <w:rsid w:val="000F5E56"/>
    <w:rsid w:val="001362EE"/>
    <w:rsid w:val="001832A6"/>
    <w:rsid w:val="001B65D8"/>
    <w:rsid w:val="001C4700"/>
    <w:rsid w:val="001D7C51"/>
    <w:rsid w:val="001E6F99"/>
    <w:rsid w:val="00206FA3"/>
    <w:rsid w:val="00211D92"/>
    <w:rsid w:val="00230B35"/>
    <w:rsid w:val="00230D89"/>
    <w:rsid w:val="00236658"/>
    <w:rsid w:val="002634C4"/>
    <w:rsid w:val="00265047"/>
    <w:rsid w:val="002928D3"/>
    <w:rsid w:val="002A78F5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B35C5"/>
    <w:rsid w:val="00502E0D"/>
    <w:rsid w:val="0053057A"/>
    <w:rsid w:val="00542C48"/>
    <w:rsid w:val="00560A29"/>
    <w:rsid w:val="005934E7"/>
    <w:rsid w:val="0059443D"/>
    <w:rsid w:val="00605827"/>
    <w:rsid w:val="006118E9"/>
    <w:rsid w:val="006227ED"/>
    <w:rsid w:val="00626BB9"/>
    <w:rsid w:val="006441C8"/>
    <w:rsid w:val="00646050"/>
    <w:rsid w:val="00646BEE"/>
    <w:rsid w:val="006713CA"/>
    <w:rsid w:val="00676C5C"/>
    <w:rsid w:val="006918EF"/>
    <w:rsid w:val="006B195B"/>
    <w:rsid w:val="006D647D"/>
    <w:rsid w:val="006E6A4B"/>
    <w:rsid w:val="007058FB"/>
    <w:rsid w:val="00741B25"/>
    <w:rsid w:val="007A22A2"/>
    <w:rsid w:val="007B6A58"/>
    <w:rsid w:val="007C6D7D"/>
    <w:rsid w:val="007D1613"/>
    <w:rsid w:val="007D5C56"/>
    <w:rsid w:val="007F67CB"/>
    <w:rsid w:val="008000CE"/>
    <w:rsid w:val="00871F9F"/>
    <w:rsid w:val="00893D77"/>
    <w:rsid w:val="008B2CC1"/>
    <w:rsid w:val="008B60B2"/>
    <w:rsid w:val="0090731E"/>
    <w:rsid w:val="00911B05"/>
    <w:rsid w:val="00916EE2"/>
    <w:rsid w:val="009567DC"/>
    <w:rsid w:val="00966A22"/>
    <w:rsid w:val="0096722F"/>
    <w:rsid w:val="00980843"/>
    <w:rsid w:val="00992F7B"/>
    <w:rsid w:val="009942EA"/>
    <w:rsid w:val="009E2791"/>
    <w:rsid w:val="009E3F6F"/>
    <w:rsid w:val="009F499F"/>
    <w:rsid w:val="00A106FC"/>
    <w:rsid w:val="00A42DAF"/>
    <w:rsid w:val="00A44BB2"/>
    <w:rsid w:val="00A4583E"/>
    <w:rsid w:val="00A45BD8"/>
    <w:rsid w:val="00A613E4"/>
    <w:rsid w:val="00A631FE"/>
    <w:rsid w:val="00A65D37"/>
    <w:rsid w:val="00A85B8E"/>
    <w:rsid w:val="00AB4E65"/>
    <w:rsid w:val="00AC205C"/>
    <w:rsid w:val="00B05A69"/>
    <w:rsid w:val="00B07B53"/>
    <w:rsid w:val="00B123E4"/>
    <w:rsid w:val="00B36D56"/>
    <w:rsid w:val="00B45EC1"/>
    <w:rsid w:val="00B62974"/>
    <w:rsid w:val="00B75718"/>
    <w:rsid w:val="00B77275"/>
    <w:rsid w:val="00B836FE"/>
    <w:rsid w:val="00B85A06"/>
    <w:rsid w:val="00B9734B"/>
    <w:rsid w:val="00BB03CF"/>
    <w:rsid w:val="00BB74B8"/>
    <w:rsid w:val="00BD0412"/>
    <w:rsid w:val="00BF5144"/>
    <w:rsid w:val="00C0233E"/>
    <w:rsid w:val="00C11BFE"/>
    <w:rsid w:val="00C351A6"/>
    <w:rsid w:val="00C42467"/>
    <w:rsid w:val="00C44558"/>
    <w:rsid w:val="00C94629"/>
    <w:rsid w:val="00C952B7"/>
    <w:rsid w:val="00CA1E75"/>
    <w:rsid w:val="00CC7824"/>
    <w:rsid w:val="00CD28E0"/>
    <w:rsid w:val="00D312F4"/>
    <w:rsid w:val="00D45252"/>
    <w:rsid w:val="00D71B4D"/>
    <w:rsid w:val="00D83F3F"/>
    <w:rsid w:val="00D90384"/>
    <w:rsid w:val="00D93D55"/>
    <w:rsid w:val="00DB7F5B"/>
    <w:rsid w:val="00DE0E5A"/>
    <w:rsid w:val="00E2300C"/>
    <w:rsid w:val="00E335FE"/>
    <w:rsid w:val="00E5021F"/>
    <w:rsid w:val="00E50D6C"/>
    <w:rsid w:val="00EA19F8"/>
    <w:rsid w:val="00EB4626"/>
    <w:rsid w:val="00EC4E49"/>
    <w:rsid w:val="00EC75F7"/>
    <w:rsid w:val="00ED77FB"/>
    <w:rsid w:val="00EE79F8"/>
    <w:rsid w:val="00EF6750"/>
    <w:rsid w:val="00F021A6"/>
    <w:rsid w:val="00F146D4"/>
    <w:rsid w:val="00F24C01"/>
    <w:rsid w:val="00F66152"/>
    <w:rsid w:val="00F82A21"/>
    <w:rsid w:val="00F928B1"/>
    <w:rsid w:val="00FD202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C78A043"/>
  <w15:docId w15:val="{4869FE8C-DF89-4413-8B99-20376788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146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146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46D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146D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Annex IV (in French)</vt:lpstr>
    </vt:vector>
  </TitlesOfParts>
  <Company>OMPI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Annex IV (in French)</dc:title>
  <dc:subject>SOUS-ENSEMBLE DE CARACTÈRES PROVENANT DU TABLEAU DE CODES DES CARACTÈRES LATINS DE BASE DE LA NORME UNICODE</dc:subject>
  <dc:creator>OMPI</dc:creator>
  <cp:keywords>CWS</cp:keywords>
  <cp:lastModifiedBy>DRAKE Sophie</cp:lastModifiedBy>
  <cp:revision>16</cp:revision>
  <cp:lastPrinted>2018-09-05T14:51:00Z</cp:lastPrinted>
  <dcterms:created xsi:type="dcterms:W3CDTF">2018-09-24T12:12:00Z</dcterms:created>
  <dcterms:modified xsi:type="dcterms:W3CDTF">2018-10-09T07:59:00Z</dcterms:modified>
  <cp:category>CWS (in French)</cp:category>
</cp:coreProperties>
</file>