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17A5F" w:rsidRPr="008B2CC1" w:rsidTr="00E1335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7A5F" w:rsidRPr="008B2CC1" w:rsidRDefault="00617A5F" w:rsidP="00E1335D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7A5F" w:rsidRPr="008B2CC1" w:rsidRDefault="00617A5F" w:rsidP="00E1335D">
            <w:r>
              <w:rPr>
                <w:noProof/>
                <w:lang w:eastAsia="en-US"/>
              </w:rPr>
              <w:drawing>
                <wp:inline distT="0" distB="0" distL="0" distR="0" wp14:anchorId="69A363FE" wp14:editId="3C3FF6F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7A5F" w:rsidRPr="008B2CC1" w:rsidRDefault="00617A5F" w:rsidP="00E1335D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17A5F" w:rsidRPr="001832A6" w:rsidTr="00E1335D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17A5F" w:rsidRPr="0090731E" w:rsidRDefault="00617A5F" w:rsidP="00E1335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CWS/6/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12</w:t>
            </w:r>
          </w:p>
        </w:tc>
      </w:tr>
      <w:tr w:rsidR="00617A5F" w:rsidRPr="001832A6" w:rsidTr="00E1335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17A5F" w:rsidRPr="0090731E" w:rsidRDefault="00617A5F" w:rsidP="00E133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6B51CB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617A5F" w:rsidRPr="001832A6" w:rsidTr="00E1335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17A5F" w:rsidRPr="0090731E" w:rsidRDefault="00617A5F" w:rsidP="00E1335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6B51CB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</w:t>
            </w:r>
            <w:r w:rsidR="009C248F">
              <w:rPr>
                <w:rFonts w:ascii="Arial Black" w:hAnsi="Arial Black"/>
                <w:caps/>
                <w:sz w:val="15"/>
              </w:rPr>
              <w:t>2 septembre 20</w:t>
            </w:r>
            <w:r>
              <w:rPr>
                <w:rFonts w:ascii="Arial Black" w:hAnsi="Arial Black"/>
                <w:caps/>
                <w:sz w:val="15"/>
              </w:rPr>
              <w:t>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BC6D4F" w:rsidRDefault="00617A5F" w:rsidP="00617A5F">
      <w:pPr>
        <w:spacing w:before="1200" w:after="600"/>
        <w:rPr>
          <w:b/>
          <w:sz w:val="28"/>
          <w:szCs w:val="28"/>
          <w:lang w:val="fr-FR"/>
        </w:rPr>
      </w:pPr>
      <w:r w:rsidRPr="009C248F">
        <w:rPr>
          <w:b/>
          <w:sz w:val="28"/>
          <w:szCs w:val="28"/>
          <w:lang w:val="fr-FR"/>
        </w:rPr>
        <w:t>Comité des normes de l</w:t>
      </w:r>
      <w:r w:rsidR="006B51CB">
        <w:rPr>
          <w:b/>
          <w:sz w:val="28"/>
          <w:szCs w:val="28"/>
          <w:lang w:val="fr-FR"/>
        </w:rPr>
        <w:t>’</w:t>
      </w:r>
      <w:r w:rsidRPr="009C248F">
        <w:rPr>
          <w:b/>
          <w:sz w:val="28"/>
          <w:szCs w:val="28"/>
          <w:lang w:val="fr-FR"/>
        </w:rPr>
        <w:t>OMPI (CWS)</w:t>
      </w:r>
    </w:p>
    <w:p w:rsidR="00BC6D4F" w:rsidRDefault="00617A5F" w:rsidP="00617A5F">
      <w:pPr>
        <w:rPr>
          <w:b/>
          <w:sz w:val="24"/>
          <w:szCs w:val="24"/>
          <w:lang w:val="fr-FR"/>
        </w:rPr>
      </w:pPr>
      <w:r w:rsidRPr="009C248F">
        <w:rPr>
          <w:b/>
          <w:sz w:val="24"/>
          <w:szCs w:val="24"/>
          <w:lang w:val="fr-FR"/>
        </w:rPr>
        <w:t>Six</w:t>
      </w:r>
      <w:r w:rsidR="006B51CB">
        <w:rPr>
          <w:b/>
          <w:sz w:val="24"/>
          <w:szCs w:val="24"/>
          <w:lang w:val="fr-FR"/>
        </w:rPr>
        <w:t>ième session</w:t>
      </w:r>
    </w:p>
    <w:p w:rsidR="00BC6D4F" w:rsidRDefault="00617A5F" w:rsidP="00617A5F">
      <w:pPr>
        <w:rPr>
          <w:b/>
          <w:sz w:val="24"/>
          <w:szCs w:val="24"/>
          <w:lang w:val="fr-FR"/>
        </w:rPr>
      </w:pPr>
      <w:r w:rsidRPr="009C248F">
        <w:rPr>
          <w:b/>
          <w:sz w:val="24"/>
          <w:szCs w:val="24"/>
          <w:lang w:val="fr-FR"/>
        </w:rPr>
        <w:t>Genève, 15 – 1</w:t>
      </w:r>
      <w:r w:rsidR="009C248F" w:rsidRPr="009C248F">
        <w:rPr>
          <w:b/>
          <w:sz w:val="24"/>
          <w:szCs w:val="24"/>
          <w:lang w:val="fr-FR"/>
        </w:rPr>
        <w:t>9</w:t>
      </w:r>
      <w:r w:rsidR="009C248F">
        <w:rPr>
          <w:b/>
          <w:sz w:val="24"/>
          <w:szCs w:val="24"/>
          <w:lang w:val="fr-FR"/>
        </w:rPr>
        <w:t> </w:t>
      </w:r>
      <w:r w:rsidR="009C248F" w:rsidRPr="009C248F">
        <w:rPr>
          <w:b/>
          <w:sz w:val="24"/>
          <w:szCs w:val="24"/>
          <w:lang w:val="fr-FR"/>
        </w:rPr>
        <w:t>octobre</w:t>
      </w:r>
      <w:r w:rsidR="009C248F">
        <w:rPr>
          <w:b/>
          <w:sz w:val="24"/>
          <w:szCs w:val="24"/>
          <w:lang w:val="fr-FR"/>
        </w:rPr>
        <w:t> </w:t>
      </w:r>
      <w:r w:rsidR="009C248F" w:rsidRPr="009C248F">
        <w:rPr>
          <w:b/>
          <w:sz w:val="24"/>
          <w:szCs w:val="24"/>
          <w:lang w:val="fr-FR"/>
        </w:rPr>
        <w:t>20</w:t>
      </w:r>
      <w:r w:rsidRPr="009C248F">
        <w:rPr>
          <w:b/>
          <w:sz w:val="24"/>
          <w:szCs w:val="24"/>
          <w:lang w:val="fr-FR"/>
        </w:rPr>
        <w:t>18</w:t>
      </w:r>
    </w:p>
    <w:p w:rsidR="00BC6D4F" w:rsidRPr="00507267" w:rsidRDefault="00507267" w:rsidP="00507267">
      <w:pPr>
        <w:spacing w:before="720" w:after="360"/>
        <w:rPr>
          <w:sz w:val="24"/>
          <w:szCs w:val="24"/>
          <w:lang w:val="fr-FR"/>
        </w:rPr>
      </w:pPr>
      <w:bookmarkStart w:id="4" w:name="_GoBack"/>
      <w:r w:rsidRPr="00507267">
        <w:rPr>
          <w:sz w:val="24"/>
          <w:szCs w:val="24"/>
          <w:lang w:val="fr-FR"/>
        </w:rPr>
        <w:t>RÉVISION DE LA NORME ST.27 DE L’OMPI</w:t>
      </w:r>
    </w:p>
    <w:p w:rsidR="00BC6D4F" w:rsidRDefault="00716EBF" w:rsidP="00617A5F">
      <w:pPr>
        <w:spacing w:after="960"/>
        <w:rPr>
          <w:i/>
          <w:lang w:val="fr-FR"/>
        </w:rPr>
      </w:pPr>
      <w:bookmarkStart w:id="5" w:name="Prepared"/>
      <w:bookmarkEnd w:id="5"/>
      <w:bookmarkEnd w:id="4"/>
      <w:r w:rsidRPr="00614C1F">
        <w:rPr>
          <w:i/>
          <w:lang w:val="fr-FR"/>
        </w:rPr>
        <w:t xml:space="preserve">Document </w:t>
      </w:r>
      <w:r w:rsidR="00614C1F" w:rsidRPr="00614C1F">
        <w:rPr>
          <w:i/>
          <w:lang w:val="fr-FR"/>
        </w:rPr>
        <w:t xml:space="preserve">établi par le </w:t>
      </w:r>
      <w:r w:rsidRPr="00614C1F">
        <w:rPr>
          <w:i/>
          <w:lang w:val="fr-FR"/>
        </w:rPr>
        <w:t xml:space="preserve">Bureau </w:t>
      </w:r>
      <w:r w:rsidR="00614C1F" w:rsidRPr="00614C1F">
        <w:rPr>
          <w:i/>
          <w:lang w:val="fr-FR"/>
        </w:rPr>
        <w:t>international</w:t>
      </w:r>
    </w:p>
    <w:p w:rsidR="00BC6D4F" w:rsidRPr="008C583E" w:rsidRDefault="008C583E" w:rsidP="008C583E">
      <w:pPr>
        <w:pStyle w:val="Heading2"/>
      </w:pPr>
      <w:r w:rsidRPr="008C583E">
        <w:t>Introduction</w:t>
      </w:r>
    </w:p>
    <w:p w:rsidR="00BC6D4F" w:rsidRDefault="00614C1F" w:rsidP="00BC6D4F">
      <w:pPr>
        <w:pStyle w:val="ONUMFS"/>
        <w:rPr>
          <w:lang w:val="fr-FR"/>
        </w:rPr>
      </w:pPr>
      <w:r>
        <w:rPr>
          <w:lang w:val="fr-FR"/>
        </w:rPr>
        <w:t>À sa cinqu</w:t>
      </w:r>
      <w:r w:rsidR="006B51CB">
        <w:rPr>
          <w:lang w:val="fr-FR"/>
        </w:rPr>
        <w:t>ième session</w:t>
      </w:r>
      <w:r w:rsidR="00716EBF" w:rsidRPr="00614C1F">
        <w:rPr>
          <w:lang w:val="fr-FR"/>
        </w:rPr>
        <w:t xml:space="preserve"> </w:t>
      </w:r>
      <w:r>
        <w:rPr>
          <w:lang w:val="fr-FR"/>
        </w:rPr>
        <w:t>tenue du 29 mai au 2 juin </w:t>
      </w:r>
      <w:r w:rsidR="00716EBF" w:rsidRPr="00614C1F">
        <w:rPr>
          <w:lang w:val="fr-FR"/>
        </w:rPr>
        <w:t xml:space="preserve">2017, </w:t>
      </w:r>
      <w:r>
        <w:rPr>
          <w:lang w:val="fr-FR"/>
        </w:rPr>
        <w:t>le Comité des normes de l</w:t>
      </w:r>
      <w:r w:rsidR="006B51CB">
        <w:rPr>
          <w:lang w:val="fr-FR"/>
        </w:rPr>
        <w:t>’</w:t>
      </w:r>
      <w:r>
        <w:rPr>
          <w:lang w:val="fr-FR"/>
        </w:rPr>
        <w:t xml:space="preserve">OMPI </w:t>
      </w:r>
      <w:r w:rsidR="00716EBF" w:rsidRPr="00614C1F">
        <w:rPr>
          <w:lang w:val="fr-FR"/>
        </w:rPr>
        <w:t xml:space="preserve">(CWS) </w:t>
      </w:r>
      <w:r>
        <w:rPr>
          <w:lang w:val="fr-FR"/>
        </w:rPr>
        <w:t xml:space="preserve">a </w:t>
      </w:r>
      <w:r w:rsidR="00716EBF" w:rsidRPr="00614C1F">
        <w:rPr>
          <w:lang w:val="fr-FR"/>
        </w:rPr>
        <w:t>adopt</w:t>
      </w:r>
      <w:r>
        <w:rPr>
          <w:lang w:val="fr-FR"/>
        </w:rPr>
        <w:t>é la norme S</w:t>
      </w:r>
      <w:r w:rsidR="00716EBF" w:rsidRPr="00614C1F">
        <w:rPr>
          <w:lang w:val="fr-FR"/>
        </w:rPr>
        <w:t xml:space="preserve">T.27 </w:t>
      </w:r>
      <w:r>
        <w:rPr>
          <w:lang w:val="fr-FR"/>
        </w:rPr>
        <w:t>de l</w:t>
      </w:r>
      <w:r w:rsidR="006B51CB">
        <w:rPr>
          <w:lang w:val="fr-FR"/>
        </w:rPr>
        <w:t>’</w:t>
      </w:r>
      <w:r>
        <w:rPr>
          <w:lang w:val="fr-FR"/>
        </w:rPr>
        <w:t xml:space="preserve">OMPI </w:t>
      </w:r>
      <w:r w:rsidR="008A170C">
        <w:rPr>
          <w:lang w:val="fr-FR"/>
        </w:rPr>
        <w:t xml:space="preserve">intitulée </w:t>
      </w:r>
      <w:r w:rsidR="00716EBF" w:rsidRPr="00614C1F">
        <w:rPr>
          <w:lang w:val="fr-FR"/>
        </w:rPr>
        <w:t>“Recomm</w:t>
      </w:r>
      <w:r w:rsidR="00140CCF">
        <w:rPr>
          <w:lang w:val="fr-FR"/>
        </w:rPr>
        <w:t>a</w:t>
      </w:r>
      <w:r w:rsidR="00716EBF" w:rsidRPr="00614C1F">
        <w:rPr>
          <w:lang w:val="fr-FR"/>
        </w:rPr>
        <w:t xml:space="preserve">ndation </w:t>
      </w:r>
      <w:r w:rsidR="008A170C">
        <w:rPr>
          <w:lang w:val="fr-FR"/>
        </w:rPr>
        <w:t>pour l</w:t>
      </w:r>
      <w:r w:rsidR="006B51CB">
        <w:rPr>
          <w:lang w:val="fr-FR"/>
        </w:rPr>
        <w:t>’</w:t>
      </w:r>
      <w:r w:rsidR="008A170C">
        <w:rPr>
          <w:lang w:val="fr-FR"/>
        </w:rPr>
        <w:t>é</w:t>
      </w:r>
      <w:r w:rsidR="00716EBF" w:rsidRPr="00614C1F">
        <w:rPr>
          <w:lang w:val="fr-FR"/>
        </w:rPr>
        <w:t xml:space="preserve">change </w:t>
      </w:r>
      <w:r w:rsidR="008A170C">
        <w:rPr>
          <w:lang w:val="fr-FR"/>
        </w:rPr>
        <w:t>de données sur la situation juridique des brevets</w:t>
      </w:r>
      <w:r w:rsidR="00716EBF" w:rsidRPr="00614C1F">
        <w:rPr>
          <w:lang w:val="fr-FR"/>
        </w:rPr>
        <w:t xml:space="preserve">”. </w:t>
      </w:r>
      <w:r w:rsidR="009C248F" w:rsidRPr="00614C1F">
        <w:rPr>
          <w:lang w:val="fr-FR"/>
        </w:rPr>
        <w:t xml:space="preserve"> </w:t>
      </w:r>
      <w:r w:rsidR="009C248F">
        <w:rPr>
          <w:lang w:val="fr-FR"/>
        </w:rPr>
        <w:t>Le </w:t>
      </w:r>
      <w:r w:rsidR="009C248F" w:rsidRPr="00614C1F">
        <w:rPr>
          <w:lang w:val="fr-FR"/>
        </w:rPr>
        <w:t>CWS</w:t>
      </w:r>
      <w:r w:rsidR="00716EBF" w:rsidRPr="00614C1F">
        <w:rPr>
          <w:lang w:val="fr-FR"/>
        </w:rPr>
        <w:t xml:space="preserve"> a</w:t>
      </w:r>
      <w:r w:rsidR="008A170C">
        <w:rPr>
          <w:lang w:val="fr-FR"/>
        </w:rPr>
        <w:t xml:space="preserve"> également approuvé </w:t>
      </w:r>
      <w:r w:rsidR="00181AAC">
        <w:rPr>
          <w:lang w:val="fr-FR"/>
        </w:rPr>
        <w:t>l</w:t>
      </w:r>
      <w:r w:rsidR="006B51CB">
        <w:rPr>
          <w:lang w:val="fr-FR"/>
        </w:rPr>
        <w:t>’</w:t>
      </w:r>
      <w:r w:rsidR="00181AAC">
        <w:rPr>
          <w:lang w:val="fr-FR"/>
        </w:rPr>
        <w:t>avertissement</w:t>
      </w:r>
      <w:r w:rsidR="008A170C">
        <w:rPr>
          <w:lang w:val="fr-FR"/>
        </w:rPr>
        <w:t xml:space="preserve"> ci</w:t>
      </w:r>
      <w:r w:rsidR="00314F7A">
        <w:rPr>
          <w:lang w:val="fr-FR"/>
        </w:rPr>
        <w:noBreakHyphen/>
      </w:r>
      <w:r w:rsidR="008A170C">
        <w:rPr>
          <w:lang w:val="fr-FR"/>
        </w:rPr>
        <w:t xml:space="preserve">après à </w:t>
      </w:r>
      <w:r w:rsidR="00947A64">
        <w:rPr>
          <w:lang w:val="fr-FR"/>
        </w:rPr>
        <w:t>inclure</w:t>
      </w:r>
      <w:r w:rsidR="008A170C">
        <w:rPr>
          <w:lang w:val="fr-FR"/>
        </w:rPr>
        <w:t xml:space="preserve"> dans la norme </w:t>
      </w:r>
      <w:r w:rsidR="00716EBF" w:rsidRPr="00614C1F">
        <w:rPr>
          <w:lang w:val="fr-FR"/>
        </w:rPr>
        <w:t>ST.27</w:t>
      </w:r>
      <w:r w:rsidR="006B51CB">
        <w:rPr>
          <w:lang w:val="fr-FR"/>
        </w:rPr>
        <w:t> :</w:t>
      </w:r>
      <w:r w:rsidR="00716EBF" w:rsidRPr="00614C1F">
        <w:rPr>
          <w:lang w:val="fr-FR"/>
        </w:rPr>
        <w:t xml:space="preserve"> “</w:t>
      </w:r>
      <w:r w:rsidR="00E44253" w:rsidRPr="00E44253">
        <w:rPr>
          <w:lang w:val="fr-FR"/>
        </w:rPr>
        <w:t>Les événements détaillés figurant dans la présente norme sont provisoires et seront réexaminés et évalués par les offices de propriété industrielle sur une ann</w:t>
      </w:r>
      <w:r w:rsidR="00FC315A" w:rsidRPr="00E44253">
        <w:rPr>
          <w:lang w:val="fr-FR"/>
        </w:rPr>
        <w:t>ée</w:t>
      </w:r>
      <w:r w:rsidR="00FC315A">
        <w:rPr>
          <w:lang w:val="fr-FR"/>
        </w:rPr>
        <w:t xml:space="preserve">.  </w:t>
      </w:r>
      <w:r w:rsidR="00FC315A" w:rsidRPr="00E44253">
        <w:rPr>
          <w:lang w:val="fr-FR"/>
        </w:rPr>
        <w:t>Su</w:t>
      </w:r>
      <w:r w:rsidR="00E44253" w:rsidRPr="00E44253">
        <w:rPr>
          <w:lang w:val="fr-FR"/>
        </w:rPr>
        <w:t>r la base du résultat de ce réexamen et de cette évaluation, une proposition finale quant aux événements détaillés à inclure dans la présente norme sera soumise</w:t>
      </w:r>
      <w:r w:rsidR="009C248F" w:rsidRPr="00E44253">
        <w:rPr>
          <w:lang w:val="fr-FR"/>
        </w:rPr>
        <w:t xml:space="preserve"> au</w:t>
      </w:r>
      <w:r w:rsidR="009C248F">
        <w:rPr>
          <w:lang w:val="fr-FR"/>
        </w:rPr>
        <w:t> </w:t>
      </w:r>
      <w:r w:rsidR="009C248F" w:rsidRPr="00E44253">
        <w:rPr>
          <w:lang w:val="fr-FR"/>
        </w:rPr>
        <w:t>CWS</w:t>
      </w:r>
      <w:r w:rsidR="00E44253" w:rsidRPr="00E44253">
        <w:rPr>
          <w:lang w:val="fr-FR"/>
        </w:rPr>
        <w:t xml:space="preserve"> pour approbation à sa six</w:t>
      </w:r>
      <w:r w:rsidR="006B51CB">
        <w:rPr>
          <w:lang w:val="fr-FR"/>
        </w:rPr>
        <w:t>ième sessi</w:t>
      </w:r>
      <w:r w:rsidR="00FC315A">
        <w:rPr>
          <w:lang w:val="fr-FR"/>
        </w:rPr>
        <w:t xml:space="preserve">on.  </w:t>
      </w:r>
      <w:r w:rsidR="00FC315A" w:rsidRPr="00E44253">
        <w:rPr>
          <w:lang w:val="fr-FR"/>
        </w:rPr>
        <w:t>Le</w:t>
      </w:r>
      <w:r w:rsidR="00E44253" w:rsidRPr="00E44253">
        <w:rPr>
          <w:lang w:val="fr-FR"/>
        </w:rPr>
        <w:t>s offices de propriété industrielle peuvent s</w:t>
      </w:r>
      <w:r w:rsidR="006B51CB">
        <w:rPr>
          <w:lang w:val="fr-FR"/>
        </w:rPr>
        <w:t>’</w:t>
      </w:r>
      <w:r w:rsidR="00E44253" w:rsidRPr="00E44253">
        <w:rPr>
          <w:lang w:val="fr-FR"/>
        </w:rPr>
        <w:t>ils le souhaitent échanger des données sur la situation juridique sur la base des catégories et des événements principaux uniquement</w:t>
      </w:r>
      <w:r w:rsidR="00716EBF" w:rsidRPr="00614C1F">
        <w:rPr>
          <w:lang w:val="fr-FR"/>
        </w:rPr>
        <w:t>”</w:t>
      </w:r>
      <w:r w:rsidR="00A33C17" w:rsidRPr="00614C1F">
        <w:rPr>
          <w:lang w:val="fr-FR"/>
        </w:rPr>
        <w:t xml:space="preserve"> </w:t>
      </w:r>
      <w:r w:rsidR="00716EBF" w:rsidRPr="00614C1F">
        <w:rPr>
          <w:lang w:val="fr-FR"/>
        </w:rPr>
        <w:t>(</w:t>
      </w:r>
      <w:r w:rsidR="00E44253">
        <w:rPr>
          <w:lang w:val="fr-FR"/>
        </w:rPr>
        <w:t xml:space="preserve">voir les </w:t>
      </w:r>
      <w:r w:rsidR="009C248F" w:rsidRPr="00614C1F">
        <w:rPr>
          <w:lang w:val="fr-FR"/>
        </w:rPr>
        <w:t>paragraph</w:t>
      </w:r>
      <w:r w:rsidR="009C248F">
        <w:rPr>
          <w:lang w:val="fr-FR"/>
        </w:rPr>
        <w:t>e</w:t>
      </w:r>
      <w:r w:rsidR="009C248F" w:rsidRPr="00614C1F">
        <w:rPr>
          <w:lang w:val="fr-FR"/>
        </w:rPr>
        <w:t>s</w:t>
      </w:r>
      <w:r w:rsidR="009C248F">
        <w:rPr>
          <w:lang w:val="fr-FR"/>
        </w:rPr>
        <w:t> </w:t>
      </w:r>
      <w:r w:rsidR="009C248F" w:rsidRPr="00614C1F">
        <w:rPr>
          <w:lang w:val="fr-FR"/>
        </w:rPr>
        <w:t>5</w:t>
      </w:r>
      <w:r w:rsidR="00716EBF" w:rsidRPr="00614C1F">
        <w:rPr>
          <w:lang w:val="fr-FR"/>
        </w:rPr>
        <w:t xml:space="preserve">0 </w:t>
      </w:r>
      <w:r w:rsidR="00E44253">
        <w:rPr>
          <w:lang w:val="fr-FR"/>
        </w:rPr>
        <w:t xml:space="preserve">et </w:t>
      </w:r>
      <w:r w:rsidR="00716EBF" w:rsidRPr="00614C1F">
        <w:rPr>
          <w:lang w:val="fr-FR"/>
        </w:rPr>
        <w:t xml:space="preserve">51 </w:t>
      </w:r>
      <w:r w:rsidR="00E44253">
        <w:rPr>
          <w:lang w:val="fr-FR"/>
        </w:rPr>
        <w:t xml:space="preserve">du </w:t>
      </w:r>
      <w:r w:rsidR="006B51CB" w:rsidRPr="00614C1F">
        <w:rPr>
          <w:lang w:val="fr-FR"/>
        </w:rPr>
        <w:t>document</w:t>
      </w:r>
      <w:r w:rsidR="00625351">
        <w:rPr>
          <w:lang w:val="fr-FR"/>
        </w:rPr>
        <w:t> </w:t>
      </w:r>
      <w:r w:rsidR="006B51CB" w:rsidRPr="00614C1F">
        <w:rPr>
          <w:lang w:val="fr-FR"/>
        </w:rPr>
        <w:t>CW</w:t>
      </w:r>
      <w:r w:rsidR="00716EBF" w:rsidRPr="00614C1F">
        <w:rPr>
          <w:lang w:val="fr-FR"/>
        </w:rPr>
        <w:t>S/5/22.)</w:t>
      </w:r>
    </w:p>
    <w:p w:rsidR="00BC6D4F" w:rsidRDefault="00E44253" w:rsidP="00BC6D4F">
      <w:pPr>
        <w:pStyle w:val="ONUMFS"/>
        <w:rPr>
          <w:lang w:val="fr-FR"/>
        </w:rPr>
      </w:pPr>
      <w:r>
        <w:rPr>
          <w:lang w:val="fr-FR"/>
        </w:rPr>
        <w:t xml:space="preserve">Le </w:t>
      </w:r>
      <w:r w:rsidR="00716EBF" w:rsidRPr="00614C1F">
        <w:rPr>
          <w:lang w:val="fr-FR"/>
        </w:rPr>
        <w:t xml:space="preserve">CWS </w:t>
      </w:r>
      <w:r>
        <w:rPr>
          <w:lang w:val="fr-FR"/>
        </w:rPr>
        <w:t>a révisé la description de la tâche n° 47 comme suit</w:t>
      </w:r>
      <w:r w:rsidR="006B51CB">
        <w:rPr>
          <w:lang w:val="fr-FR"/>
        </w:rPr>
        <w:t> :</w:t>
      </w:r>
      <w:r>
        <w:rPr>
          <w:lang w:val="fr-FR"/>
        </w:rPr>
        <w:t xml:space="preserve"> </w:t>
      </w:r>
      <w:r w:rsidR="00716EBF" w:rsidRPr="00614C1F">
        <w:rPr>
          <w:lang w:val="fr-FR"/>
        </w:rPr>
        <w:t>“</w:t>
      </w:r>
      <w:r w:rsidRPr="00E44253">
        <w:rPr>
          <w:lang w:val="fr-FR"/>
        </w:rPr>
        <w:t>Élaborer une proposition finale concernant les événements détaillés ainsi qu</w:t>
      </w:r>
      <w:r w:rsidR="006B51CB">
        <w:rPr>
          <w:lang w:val="fr-FR"/>
        </w:rPr>
        <w:t>’</w:t>
      </w:r>
      <w:r w:rsidRPr="00E44253">
        <w:rPr>
          <w:lang w:val="fr-FR"/>
        </w:rPr>
        <w:t>un document d</w:t>
      </w:r>
      <w:r w:rsidR="006B51CB">
        <w:rPr>
          <w:lang w:val="fr-FR"/>
        </w:rPr>
        <w:t>’</w:t>
      </w:r>
      <w:r w:rsidRPr="00E44253">
        <w:rPr>
          <w:lang w:val="fr-FR"/>
        </w:rPr>
        <w:t xml:space="preserve">orientation pour les données sur la situation juridique des brevets; </w:t>
      </w:r>
      <w:r w:rsidR="00C5028D">
        <w:rPr>
          <w:lang w:val="fr-FR"/>
        </w:rPr>
        <w:t xml:space="preserve"> </w:t>
      </w:r>
      <w:r w:rsidRPr="00E44253">
        <w:rPr>
          <w:lang w:val="fr-FR"/>
        </w:rPr>
        <w:t>élaborer une recommandation relative à l</w:t>
      </w:r>
      <w:r w:rsidR="006B51CB">
        <w:rPr>
          <w:lang w:val="fr-FR"/>
        </w:rPr>
        <w:t>’</w:t>
      </w:r>
      <w:r w:rsidRPr="00E44253">
        <w:rPr>
          <w:lang w:val="fr-FR"/>
        </w:rPr>
        <w:t>échange de données sur la situation juridique des marques et des dessins et modèles industriels par les offices de propriété industrielle</w:t>
      </w:r>
      <w:r w:rsidR="00716EBF" w:rsidRPr="00614C1F">
        <w:rPr>
          <w:lang w:val="fr-FR"/>
        </w:rPr>
        <w:t>” (</w:t>
      </w:r>
      <w:r>
        <w:rPr>
          <w:lang w:val="fr-FR"/>
        </w:rPr>
        <w:t xml:space="preserve">voir le </w:t>
      </w:r>
      <w:r w:rsidR="00716EBF" w:rsidRPr="00614C1F">
        <w:rPr>
          <w:lang w:val="fr-FR"/>
        </w:rPr>
        <w:t>paragraph</w:t>
      </w:r>
      <w:r>
        <w:rPr>
          <w:lang w:val="fr-FR"/>
        </w:rPr>
        <w:t>e </w:t>
      </w:r>
      <w:r w:rsidR="00716EBF" w:rsidRPr="00614C1F">
        <w:rPr>
          <w:lang w:val="fr-FR"/>
        </w:rPr>
        <w:t xml:space="preserve">55 </w:t>
      </w:r>
      <w:r>
        <w:rPr>
          <w:lang w:val="fr-FR"/>
        </w:rPr>
        <w:t xml:space="preserve">du </w:t>
      </w:r>
      <w:r w:rsidR="006B51CB">
        <w:rPr>
          <w:lang w:val="fr-FR"/>
        </w:rPr>
        <w:t>document</w:t>
      </w:r>
      <w:r w:rsidR="00625351">
        <w:rPr>
          <w:lang w:val="fr-FR"/>
        </w:rPr>
        <w:t> </w:t>
      </w:r>
      <w:r w:rsidR="006B51CB" w:rsidRPr="00614C1F">
        <w:rPr>
          <w:lang w:val="fr-FR"/>
        </w:rPr>
        <w:t>CW</w:t>
      </w:r>
      <w:r w:rsidR="00716EBF" w:rsidRPr="00614C1F">
        <w:rPr>
          <w:lang w:val="fr-FR"/>
        </w:rPr>
        <w:t>S/5/22).</w:t>
      </w:r>
    </w:p>
    <w:p w:rsidR="00BC6D4F" w:rsidRPr="008C583E" w:rsidRDefault="008C583E" w:rsidP="00EF71B9">
      <w:pPr>
        <w:pStyle w:val="Heading2"/>
        <w:keepLines/>
      </w:pPr>
      <w:r w:rsidRPr="008C583E">
        <w:t xml:space="preserve">Proposition de </w:t>
      </w:r>
      <w:r w:rsidRPr="008C583E">
        <w:rPr>
          <w:lang w:val="fr-FR"/>
        </w:rPr>
        <w:t>révision</w:t>
      </w:r>
      <w:r w:rsidRPr="008C583E">
        <w:t xml:space="preserve"> de la </w:t>
      </w:r>
      <w:r w:rsidRPr="008C583E">
        <w:rPr>
          <w:lang w:val="fr-FR"/>
        </w:rPr>
        <w:t>norme </w:t>
      </w:r>
      <w:r w:rsidRPr="008C583E">
        <w:t>ST.27</w:t>
      </w:r>
    </w:p>
    <w:p w:rsidR="008C583E" w:rsidRDefault="00E44253" w:rsidP="00EF71B9">
      <w:pPr>
        <w:pStyle w:val="ONUMFS"/>
        <w:keepLines/>
        <w:rPr>
          <w:lang w:val="fr-FR" w:eastAsia="ko-KR"/>
        </w:rPr>
      </w:pPr>
      <w:r w:rsidRPr="00BC6D4F">
        <w:rPr>
          <w:lang w:val="fr-FR"/>
        </w:rPr>
        <w:t xml:space="preserve">Dans le </w:t>
      </w:r>
      <w:r w:rsidR="00947A64" w:rsidRPr="00BC6D4F">
        <w:rPr>
          <w:lang w:val="fr-FR"/>
        </w:rPr>
        <w:t>cadre de la tâche n° 47, l</w:t>
      </w:r>
      <w:r w:rsidR="006B51CB">
        <w:rPr>
          <w:lang w:val="fr-FR"/>
        </w:rPr>
        <w:t>’</w:t>
      </w:r>
      <w:r w:rsidR="00947A64" w:rsidRPr="00BC6D4F">
        <w:rPr>
          <w:lang w:val="fr-FR"/>
        </w:rPr>
        <w:t>Équipe d</w:t>
      </w:r>
      <w:r w:rsidR="006B51CB">
        <w:rPr>
          <w:lang w:val="fr-FR"/>
        </w:rPr>
        <w:t>’</w:t>
      </w:r>
      <w:r w:rsidR="00947A64" w:rsidRPr="00BC6D4F">
        <w:rPr>
          <w:lang w:val="fr-FR"/>
        </w:rPr>
        <w:t>experts chargée de la situation juridique a établi une proposition relative à la révision de la norme ST.27, eu égard en</w:t>
      </w:r>
      <w:r w:rsidR="00716EBF" w:rsidRPr="00BC6D4F">
        <w:rPr>
          <w:lang w:val="fr-FR"/>
        </w:rPr>
        <w:t xml:space="preserve"> </w:t>
      </w:r>
      <w:r w:rsidR="00947A64" w:rsidRPr="00BC6D4F">
        <w:rPr>
          <w:lang w:val="fr-FR"/>
        </w:rPr>
        <w:t>particulier à la mise à jour</w:t>
      </w:r>
      <w:r w:rsidR="00716EBF" w:rsidRPr="00BC6D4F">
        <w:rPr>
          <w:lang w:val="fr-FR"/>
        </w:rPr>
        <w:t xml:space="preserve"> </w:t>
      </w:r>
      <w:r w:rsidR="00947A64" w:rsidRPr="00BC6D4F">
        <w:rPr>
          <w:lang w:val="fr-FR"/>
        </w:rPr>
        <w:t xml:space="preserve">de la </w:t>
      </w:r>
      <w:r w:rsidR="00716EBF" w:rsidRPr="00BC6D4F">
        <w:rPr>
          <w:lang w:val="fr-FR"/>
        </w:rPr>
        <w:t>list</w:t>
      </w:r>
      <w:r w:rsidR="00947A64" w:rsidRPr="00BC6D4F">
        <w:rPr>
          <w:lang w:val="fr-FR"/>
        </w:rPr>
        <w:t>e</w:t>
      </w:r>
      <w:r w:rsidR="0025643E" w:rsidRPr="00BC6D4F">
        <w:rPr>
          <w:lang w:val="fr-FR"/>
        </w:rPr>
        <w:t xml:space="preserve"> des événements détaillés et à l</w:t>
      </w:r>
      <w:r w:rsidR="006B51CB">
        <w:rPr>
          <w:lang w:val="fr-FR"/>
        </w:rPr>
        <w:t>’</w:t>
      </w:r>
      <w:r w:rsidR="0025643E" w:rsidRPr="00BC6D4F">
        <w:rPr>
          <w:lang w:val="fr-FR"/>
        </w:rPr>
        <w:t>adjonction d</w:t>
      </w:r>
      <w:r w:rsidR="006B51CB">
        <w:rPr>
          <w:lang w:val="fr-FR"/>
        </w:rPr>
        <w:t>’</w:t>
      </w:r>
      <w:r w:rsidR="0025643E" w:rsidRPr="00BC6D4F">
        <w:rPr>
          <w:lang w:val="fr-FR"/>
        </w:rPr>
        <w:t>une nouvelle annexe </w:t>
      </w:r>
      <w:r w:rsidR="00716EBF" w:rsidRPr="00BC6D4F">
        <w:rPr>
          <w:lang w:val="fr-FR"/>
        </w:rPr>
        <w:t xml:space="preserve">V </w:t>
      </w:r>
      <w:r w:rsidR="0025643E" w:rsidRPr="00BC6D4F">
        <w:rPr>
          <w:lang w:val="fr-FR"/>
        </w:rPr>
        <w:t>intitulée “</w:t>
      </w:r>
      <w:r w:rsidR="00716EBF" w:rsidRPr="00BC6D4F">
        <w:rPr>
          <w:lang w:val="fr-FR"/>
        </w:rPr>
        <w:t>Document</w:t>
      </w:r>
      <w:r w:rsidR="0025643E" w:rsidRPr="00BC6D4F">
        <w:rPr>
          <w:lang w:val="fr-FR"/>
        </w:rPr>
        <w:t xml:space="preserve"> d</w:t>
      </w:r>
      <w:r w:rsidR="006B51CB">
        <w:rPr>
          <w:lang w:val="fr-FR"/>
        </w:rPr>
        <w:t>’</w:t>
      </w:r>
      <w:r w:rsidR="0025643E" w:rsidRPr="00BC6D4F">
        <w:rPr>
          <w:lang w:val="fr-FR"/>
        </w:rPr>
        <w:t>orientation”</w:t>
      </w:r>
      <w:r w:rsidR="00716EBF" w:rsidRPr="00BC6D4F">
        <w:rPr>
          <w:lang w:val="fr-FR"/>
        </w:rPr>
        <w:t>.</w:t>
      </w:r>
    </w:p>
    <w:p w:rsidR="00BC6D4F" w:rsidRPr="00BC6D4F" w:rsidRDefault="0025643E" w:rsidP="008C583E">
      <w:pPr>
        <w:pStyle w:val="Heading3"/>
        <w:rPr>
          <w:lang w:val="fr-FR" w:eastAsia="ko-KR"/>
        </w:rPr>
      </w:pPr>
      <w:r w:rsidRPr="00BC6D4F">
        <w:rPr>
          <w:lang w:val="fr-FR" w:eastAsia="ko-KR"/>
        </w:rPr>
        <w:lastRenderedPageBreak/>
        <w:t xml:space="preserve">Résumé </w:t>
      </w:r>
      <w:r w:rsidR="00B80826" w:rsidRPr="00BC6D4F">
        <w:rPr>
          <w:lang w:val="fr-FR" w:eastAsia="ko-KR"/>
        </w:rPr>
        <w:t>des modifications qu</w:t>
      </w:r>
      <w:r w:rsidR="006B51CB">
        <w:rPr>
          <w:lang w:val="fr-FR" w:eastAsia="ko-KR"/>
        </w:rPr>
        <w:t>’</w:t>
      </w:r>
      <w:r w:rsidR="00B80826" w:rsidRPr="00BC6D4F">
        <w:rPr>
          <w:lang w:val="fr-FR" w:eastAsia="ko-KR"/>
        </w:rPr>
        <w:t>il est proposé d</w:t>
      </w:r>
      <w:r w:rsidR="006B51CB">
        <w:rPr>
          <w:lang w:val="fr-FR" w:eastAsia="ko-KR"/>
        </w:rPr>
        <w:t>’</w:t>
      </w:r>
      <w:r w:rsidR="00B80826" w:rsidRPr="00BC6D4F">
        <w:rPr>
          <w:lang w:val="fr-FR" w:eastAsia="ko-KR"/>
        </w:rPr>
        <w:t>apporter à la norme </w:t>
      </w:r>
      <w:r w:rsidR="00716EBF" w:rsidRPr="00BC6D4F">
        <w:rPr>
          <w:lang w:val="fr-FR" w:eastAsia="ko-KR"/>
        </w:rPr>
        <w:t>ST.27</w:t>
      </w:r>
    </w:p>
    <w:p w:rsidR="00BC6D4F" w:rsidRDefault="00B80826" w:rsidP="00BC6D4F">
      <w:pPr>
        <w:pStyle w:val="ONUMFS"/>
        <w:rPr>
          <w:lang w:val="fr-FR"/>
        </w:rPr>
      </w:pPr>
      <w:r>
        <w:rPr>
          <w:lang w:val="fr-FR"/>
        </w:rPr>
        <w:t>Les propositions de modification de la norme </w:t>
      </w:r>
      <w:r w:rsidR="00716EBF" w:rsidRPr="00614C1F">
        <w:rPr>
          <w:lang w:val="fr-FR"/>
        </w:rPr>
        <w:t xml:space="preserve">ST.27 </w:t>
      </w:r>
      <w:r>
        <w:rPr>
          <w:lang w:val="fr-FR"/>
        </w:rPr>
        <w:t>de l</w:t>
      </w:r>
      <w:r w:rsidR="006B51CB">
        <w:rPr>
          <w:lang w:val="fr-FR"/>
        </w:rPr>
        <w:t>’</w:t>
      </w:r>
      <w:r>
        <w:rPr>
          <w:lang w:val="fr-FR"/>
        </w:rPr>
        <w:t>OMPI concernent l</w:t>
      </w:r>
      <w:r w:rsidR="006B51CB">
        <w:rPr>
          <w:lang w:val="fr-FR"/>
        </w:rPr>
        <w:t>’</w:t>
      </w:r>
      <w:r>
        <w:rPr>
          <w:lang w:val="fr-FR"/>
        </w:rPr>
        <w:t>actualisation du schéma général de traitement des brevets et</w:t>
      </w:r>
      <w:r w:rsidR="009C248F">
        <w:rPr>
          <w:lang w:val="fr-FR"/>
        </w:rPr>
        <w:t xml:space="preserve"> des CCP</w:t>
      </w:r>
      <w:r>
        <w:rPr>
          <w:lang w:val="fr-FR"/>
        </w:rPr>
        <w:t xml:space="preserve"> et les corrections et précisions </w:t>
      </w:r>
      <w:r w:rsidR="00AC4385">
        <w:rPr>
          <w:lang w:val="fr-FR"/>
        </w:rPr>
        <w:t>proposé</w:t>
      </w:r>
      <w:r w:rsidR="00181AAC">
        <w:rPr>
          <w:lang w:val="fr-FR"/>
        </w:rPr>
        <w:t>e</w:t>
      </w:r>
      <w:r w:rsidR="00AC4385">
        <w:rPr>
          <w:lang w:val="fr-FR"/>
        </w:rPr>
        <w:t>s dans la partie principale de la norme </w:t>
      </w:r>
      <w:r w:rsidR="00716EBF" w:rsidRPr="00614C1F">
        <w:rPr>
          <w:lang w:val="fr-FR"/>
        </w:rPr>
        <w:t xml:space="preserve">ST.27; </w:t>
      </w:r>
      <w:r w:rsidR="00AC4385">
        <w:rPr>
          <w:lang w:val="fr-FR"/>
        </w:rPr>
        <w:t xml:space="preserve"> les changements apportés aux événements principaux et aux événements détaillés, </w:t>
      </w:r>
      <w:r w:rsidR="006B51CB">
        <w:rPr>
          <w:lang w:val="fr-FR"/>
        </w:rPr>
        <w:t>y compris</w:t>
      </w:r>
      <w:r w:rsidR="00AC4385">
        <w:rPr>
          <w:lang w:val="fr-FR"/>
        </w:rPr>
        <w:t xml:space="preserve"> la liste des événements et leur intitulé ou description </w:t>
      </w:r>
      <w:r w:rsidR="00C5491A">
        <w:rPr>
          <w:lang w:val="fr-FR"/>
        </w:rPr>
        <w:t>figurant</w:t>
      </w:r>
      <w:r w:rsidR="00AC4385">
        <w:rPr>
          <w:lang w:val="fr-FR"/>
        </w:rPr>
        <w:t xml:space="preserve"> à l</w:t>
      </w:r>
      <w:r w:rsidR="006B51CB">
        <w:rPr>
          <w:lang w:val="fr-FR"/>
        </w:rPr>
        <w:t>’</w:t>
      </w:r>
      <w:r w:rsidR="00AC4385">
        <w:rPr>
          <w:lang w:val="fr-FR"/>
        </w:rPr>
        <w:t>annexe I de la norme </w:t>
      </w:r>
      <w:r w:rsidR="00716EBF" w:rsidRPr="00614C1F">
        <w:rPr>
          <w:lang w:val="fr-FR"/>
        </w:rPr>
        <w:t xml:space="preserve">ST.27; </w:t>
      </w:r>
      <w:r w:rsidR="00AC4385">
        <w:rPr>
          <w:lang w:val="fr-FR"/>
        </w:rPr>
        <w:t xml:space="preserve"> </w:t>
      </w:r>
      <w:r w:rsidR="007440FA">
        <w:rPr>
          <w:lang w:val="fr-FR"/>
        </w:rPr>
        <w:t>ainsi que la modification de l</w:t>
      </w:r>
      <w:r w:rsidR="006B51CB">
        <w:rPr>
          <w:lang w:val="fr-FR"/>
        </w:rPr>
        <w:t>’</w:t>
      </w:r>
      <w:r w:rsidR="007440FA">
        <w:rPr>
          <w:lang w:val="fr-FR"/>
        </w:rPr>
        <w:t>annexe </w:t>
      </w:r>
      <w:r w:rsidR="00716EBF" w:rsidRPr="00614C1F">
        <w:rPr>
          <w:lang w:val="fr-FR"/>
        </w:rPr>
        <w:t xml:space="preserve">II </w:t>
      </w:r>
      <w:r w:rsidR="007440FA">
        <w:rPr>
          <w:lang w:val="fr-FR"/>
        </w:rPr>
        <w:t>de la norme </w:t>
      </w:r>
      <w:r w:rsidR="00716EBF" w:rsidRPr="00614C1F">
        <w:rPr>
          <w:lang w:val="fr-FR"/>
        </w:rPr>
        <w:t>ST.27</w:t>
      </w:r>
      <w:r w:rsidR="007440FA">
        <w:rPr>
          <w:lang w:val="fr-FR"/>
        </w:rPr>
        <w:t xml:space="preserve"> intitulée “Données supplémentaires relatives aux événements”</w:t>
      </w:r>
      <w:r w:rsidR="00716EBF" w:rsidRPr="00614C1F">
        <w:rPr>
          <w:lang w:val="fr-FR"/>
        </w:rPr>
        <w:t>.</w:t>
      </w:r>
      <w:r w:rsidR="007102BF" w:rsidRPr="00614C1F">
        <w:rPr>
          <w:lang w:val="fr-FR"/>
        </w:rPr>
        <w:t xml:space="preserve">  </w:t>
      </w:r>
      <w:r w:rsidR="007440FA">
        <w:rPr>
          <w:lang w:val="fr-FR"/>
        </w:rPr>
        <w:t xml:space="preserve">Les </w:t>
      </w:r>
      <w:r w:rsidR="00922B50">
        <w:rPr>
          <w:lang w:val="fr-FR"/>
        </w:rPr>
        <w:t>modifications qu</w:t>
      </w:r>
      <w:r w:rsidR="006B51CB">
        <w:rPr>
          <w:lang w:val="fr-FR"/>
        </w:rPr>
        <w:t>’</w:t>
      </w:r>
      <w:r w:rsidR="00922B50">
        <w:rPr>
          <w:lang w:val="fr-FR"/>
        </w:rPr>
        <w:t>il est proposé d</w:t>
      </w:r>
      <w:r w:rsidR="006B51CB">
        <w:rPr>
          <w:lang w:val="fr-FR"/>
        </w:rPr>
        <w:t>’</w:t>
      </w:r>
      <w:r w:rsidR="00922B50">
        <w:rPr>
          <w:lang w:val="fr-FR"/>
        </w:rPr>
        <w:t>apporter à la norme ST.</w:t>
      </w:r>
      <w:r w:rsidR="007102BF" w:rsidRPr="00614C1F">
        <w:rPr>
          <w:lang w:val="fr-FR"/>
        </w:rPr>
        <w:t xml:space="preserve">27 </w:t>
      </w:r>
      <w:r w:rsidR="00922B50">
        <w:rPr>
          <w:lang w:val="fr-FR"/>
        </w:rPr>
        <w:t>figurent à l</w:t>
      </w:r>
      <w:r w:rsidR="006B51CB">
        <w:rPr>
          <w:lang w:val="fr-FR"/>
        </w:rPr>
        <w:t>’</w:t>
      </w:r>
      <w:r w:rsidR="00922B50">
        <w:rPr>
          <w:lang w:val="fr-FR"/>
        </w:rPr>
        <w:t xml:space="preserve">annexe I du présent </w:t>
      </w:r>
      <w:r w:rsidR="007102BF" w:rsidRPr="00614C1F">
        <w:rPr>
          <w:lang w:val="fr-FR"/>
        </w:rPr>
        <w:t>document.</w:t>
      </w:r>
    </w:p>
    <w:p w:rsidR="00BC6D4F" w:rsidRDefault="00922B50" w:rsidP="00BC6D4F">
      <w:pPr>
        <w:pStyle w:val="ONUMFS"/>
        <w:rPr>
          <w:lang w:val="fr-FR"/>
        </w:rPr>
      </w:pPr>
      <w:r>
        <w:rPr>
          <w:lang w:val="fr-FR"/>
        </w:rPr>
        <w:t>Compte tenu des informations concernant le réexamen et l</w:t>
      </w:r>
      <w:r w:rsidR="006B51CB">
        <w:rPr>
          <w:lang w:val="fr-FR"/>
        </w:rPr>
        <w:t>’</w:t>
      </w:r>
      <w:r>
        <w:rPr>
          <w:lang w:val="fr-FR"/>
        </w:rPr>
        <w:t xml:space="preserve">évaluation des événements </w:t>
      </w:r>
      <w:r w:rsidR="00C05446">
        <w:rPr>
          <w:lang w:val="fr-FR"/>
        </w:rPr>
        <w:t xml:space="preserve">détaillés </w:t>
      </w:r>
      <w:r w:rsidR="003329A0">
        <w:rPr>
          <w:lang w:val="fr-FR"/>
        </w:rPr>
        <w:t xml:space="preserve">fournies </w:t>
      </w:r>
      <w:r>
        <w:rPr>
          <w:lang w:val="fr-FR"/>
        </w:rPr>
        <w:t>par les offices de propriété industrielle</w:t>
      </w:r>
      <w:r w:rsidR="003329A0">
        <w:rPr>
          <w:lang w:val="fr-FR"/>
        </w:rPr>
        <w:t>, il a été proposé d</w:t>
      </w:r>
      <w:r w:rsidR="006B51CB">
        <w:rPr>
          <w:lang w:val="fr-FR"/>
        </w:rPr>
        <w:t>’</w:t>
      </w:r>
      <w:r w:rsidR="003329A0">
        <w:rPr>
          <w:lang w:val="fr-FR"/>
        </w:rPr>
        <w:t>apporter certaines modifications</w:t>
      </w:r>
      <w:r>
        <w:rPr>
          <w:lang w:val="fr-FR"/>
        </w:rPr>
        <w:t xml:space="preserve"> </w:t>
      </w:r>
      <w:r w:rsidR="003329A0">
        <w:rPr>
          <w:lang w:val="fr-FR"/>
        </w:rPr>
        <w:t>à la liste des événemen</w:t>
      </w:r>
      <w:r w:rsidR="00FC315A">
        <w:rPr>
          <w:lang w:val="fr-FR"/>
        </w:rPr>
        <w:t>ts.  Ce</w:t>
      </w:r>
      <w:r w:rsidR="00A438A9">
        <w:rPr>
          <w:lang w:val="fr-FR"/>
        </w:rPr>
        <w:t>s modifications concernent notamment l</w:t>
      </w:r>
      <w:r w:rsidR="006B51CB">
        <w:rPr>
          <w:lang w:val="fr-FR"/>
        </w:rPr>
        <w:t>’</w:t>
      </w:r>
      <w:r w:rsidR="00A438A9">
        <w:rPr>
          <w:lang w:val="fr-FR"/>
        </w:rPr>
        <w:t>adjonction de nouveaux événements détaillés, ainsi que la modification d</w:t>
      </w:r>
      <w:r w:rsidR="00C5491A">
        <w:rPr>
          <w:lang w:val="fr-FR"/>
        </w:rPr>
        <w:t>u titre et de la</w:t>
      </w:r>
      <w:r w:rsidR="00A438A9">
        <w:rPr>
          <w:lang w:val="fr-FR"/>
        </w:rPr>
        <w:t xml:space="preserve"> description des événements existan</w:t>
      </w:r>
      <w:r w:rsidR="00FC315A">
        <w:rPr>
          <w:lang w:val="fr-FR"/>
        </w:rPr>
        <w:t>ts.  Pa</w:t>
      </w:r>
      <w:r w:rsidR="00C5491A">
        <w:rPr>
          <w:lang w:val="fr-FR"/>
        </w:rPr>
        <w:t>r exe</w:t>
      </w:r>
      <w:r w:rsidR="00716EBF" w:rsidRPr="00614C1F">
        <w:rPr>
          <w:lang w:val="fr-FR"/>
        </w:rPr>
        <w:t xml:space="preserve">mple, </w:t>
      </w:r>
      <w:r w:rsidR="00C5491A">
        <w:rPr>
          <w:lang w:val="fr-FR"/>
        </w:rPr>
        <w:t>la descrip</w:t>
      </w:r>
      <w:r w:rsidR="00716EBF" w:rsidRPr="00614C1F">
        <w:rPr>
          <w:lang w:val="fr-FR"/>
        </w:rPr>
        <w:t xml:space="preserve">tion </w:t>
      </w:r>
      <w:r w:rsidR="00C5491A">
        <w:rPr>
          <w:lang w:val="fr-FR"/>
        </w:rPr>
        <w:t xml:space="preserve">de la </w:t>
      </w:r>
      <w:r w:rsidR="00716EBF" w:rsidRPr="00614C1F">
        <w:rPr>
          <w:lang w:val="fr-FR"/>
        </w:rPr>
        <w:t>cat</w:t>
      </w:r>
      <w:r w:rsidR="00C5491A">
        <w:rPr>
          <w:lang w:val="fr-FR"/>
        </w:rPr>
        <w:t>é</w:t>
      </w:r>
      <w:r w:rsidR="00716EBF" w:rsidRPr="00614C1F">
        <w:rPr>
          <w:lang w:val="fr-FR"/>
        </w:rPr>
        <w:t>gor</w:t>
      </w:r>
      <w:r w:rsidR="00C5491A">
        <w:rPr>
          <w:lang w:val="fr-FR"/>
        </w:rPr>
        <w:t>ie</w:t>
      </w:r>
      <w:r w:rsidR="00716EBF" w:rsidRPr="00614C1F">
        <w:rPr>
          <w:lang w:val="fr-FR"/>
        </w:rPr>
        <w:t xml:space="preserve"> M.</w:t>
      </w:r>
      <w:r w:rsidR="00C5028D">
        <w:rPr>
          <w:lang w:val="fr-FR"/>
        </w:rPr>
        <w:t> </w:t>
      </w:r>
      <w:r w:rsidR="00C5491A">
        <w:rPr>
          <w:lang w:val="fr-FR"/>
        </w:rPr>
        <w:t>Maintien du droit de propriété industrielle et de l</w:t>
      </w:r>
      <w:r w:rsidR="006B51CB">
        <w:rPr>
          <w:lang w:val="fr-FR"/>
        </w:rPr>
        <w:t>’</w:t>
      </w:r>
      <w:r w:rsidR="00C5491A">
        <w:rPr>
          <w:lang w:val="fr-FR"/>
        </w:rPr>
        <w:t xml:space="preserve">événement principal </w:t>
      </w:r>
      <w:r w:rsidR="004D79E4" w:rsidRPr="00614C1F">
        <w:rPr>
          <w:lang w:val="fr-FR"/>
        </w:rPr>
        <w:t>“</w:t>
      </w:r>
      <w:r w:rsidR="00716EBF" w:rsidRPr="00614C1F">
        <w:rPr>
          <w:lang w:val="fr-FR"/>
        </w:rPr>
        <w:t xml:space="preserve">M10.  </w:t>
      </w:r>
      <w:r w:rsidR="00C5491A">
        <w:rPr>
          <w:lang w:val="fr-FR"/>
        </w:rPr>
        <w:t>Droit de propriété industrielle maintenu</w:t>
      </w:r>
      <w:r w:rsidR="004D79E4" w:rsidRPr="00614C1F">
        <w:rPr>
          <w:lang w:val="fr-FR"/>
        </w:rPr>
        <w:t>”</w:t>
      </w:r>
      <w:r w:rsidR="00716EBF" w:rsidRPr="00614C1F">
        <w:rPr>
          <w:lang w:val="fr-FR"/>
        </w:rPr>
        <w:t xml:space="preserve"> </w:t>
      </w:r>
      <w:r w:rsidR="00C5491A">
        <w:rPr>
          <w:lang w:val="fr-FR"/>
        </w:rPr>
        <w:t>a été actualisée de manière à couvrir expressément les renouvellements totaux ou partie</w:t>
      </w:r>
      <w:r w:rsidR="00FC315A">
        <w:rPr>
          <w:lang w:val="fr-FR"/>
        </w:rPr>
        <w:t>ls.  De</w:t>
      </w:r>
      <w:r w:rsidR="00C5491A">
        <w:rPr>
          <w:lang w:val="fr-FR"/>
        </w:rPr>
        <w:t xml:space="preserve">s événements détaillés supplémentaires ont été ajoutés, par exemple </w:t>
      </w:r>
      <w:r w:rsidR="004D79E4" w:rsidRPr="00614C1F">
        <w:rPr>
          <w:lang w:val="fr-FR"/>
        </w:rPr>
        <w:t>“</w:t>
      </w:r>
      <w:r w:rsidR="00DB789B">
        <w:rPr>
          <w:lang w:val="fr-FR"/>
        </w:rPr>
        <w:t>M15.  Droit de propriété intellectuelle maintenu dans son intégralité ou sous une forme modifiée à la suite d</w:t>
      </w:r>
      <w:r w:rsidR="006B51CB">
        <w:rPr>
          <w:lang w:val="fr-FR"/>
        </w:rPr>
        <w:t>’</w:t>
      </w:r>
      <w:r w:rsidR="00DB789B">
        <w:rPr>
          <w:lang w:val="fr-FR"/>
        </w:rPr>
        <w:t xml:space="preserve">un renouvellement total ou </w:t>
      </w:r>
      <w:r w:rsidR="00716EBF" w:rsidRPr="00614C1F">
        <w:rPr>
          <w:lang w:val="fr-FR"/>
        </w:rPr>
        <w:t>parti</w:t>
      </w:r>
      <w:r w:rsidR="00DB789B">
        <w:rPr>
          <w:lang w:val="fr-FR"/>
        </w:rPr>
        <w:t>e</w:t>
      </w:r>
      <w:r w:rsidR="00716EBF" w:rsidRPr="00614C1F">
        <w:rPr>
          <w:lang w:val="fr-FR"/>
        </w:rPr>
        <w:t>l</w:t>
      </w:r>
      <w:r w:rsidR="004D79E4" w:rsidRPr="00614C1F">
        <w:rPr>
          <w:lang w:val="fr-FR"/>
        </w:rPr>
        <w:t>”</w:t>
      </w:r>
      <w:r w:rsidR="00716EBF" w:rsidRPr="00614C1F">
        <w:rPr>
          <w:lang w:val="fr-FR"/>
        </w:rPr>
        <w:t xml:space="preserve">, </w:t>
      </w:r>
      <w:r w:rsidR="00DB789B">
        <w:rPr>
          <w:lang w:val="fr-FR"/>
        </w:rPr>
        <w:t xml:space="preserve">et </w:t>
      </w:r>
      <w:r w:rsidR="004D79E4" w:rsidRPr="00614C1F">
        <w:rPr>
          <w:lang w:val="fr-FR"/>
        </w:rPr>
        <w:t>“</w:t>
      </w:r>
      <w:r w:rsidR="00716EBF" w:rsidRPr="00614C1F">
        <w:rPr>
          <w:lang w:val="fr-FR"/>
        </w:rPr>
        <w:t xml:space="preserve">U14.  </w:t>
      </w:r>
      <w:r w:rsidR="00DB789B">
        <w:rPr>
          <w:lang w:val="fr-FR"/>
        </w:rPr>
        <w:t>Taxe de dé</w:t>
      </w:r>
      <w:r w:rsidR="00716EBF" w:rsidRPr="00614C1F">
        <w:rPr>
          <w:lang w:val="fr-FR"/>
        </w:rPr>
        <w:t xml:space="preserve">signation </w:t>
      </w:r>
      <w:r w:rsidR="00DB789B">
        <w:rPr>
          <w:lang w:val="fr-FR"/>
        </w:rPr>
        <w:t>non acquittée</w:t>
      </w:r>
      <w:r w:rsidR="004D79E4" w:rsidRPr="00614C1F">
        <w:rPr>
          <w:lang w:val="fr-FR"/>
        </w:rPr>
        <w:t>”</w:t>
      </w:r>
      <w:r w:rsidR="00DB789B">
        <w:rPr>
          <w:lang w:val="fr-FR"/>
        </w:rPr>
        <w:t>, en vue de décrire les pratiques des offices en matière de traitement qui n</w:t>
      </w:r>
      <w:r w:rsidR="006B51CB">
        <w:rPr>
          <w:lang w:val="fr-FR"/>
        </w:rPr>
        <w:t>’</w:t>
      </w:r>
      <w:r w:rsidR="00DB789B">
        <w:rPr>
          <w:lang w:val="fr-FR"/>
        </w:rPr>
        <w:t>avaient pas été prises en considération dans les événements existan</w:t>
      </w:r>
      <w:r w:rsidR="00FC315A">
        <w:rPr>
          <w:lang w:val="fr-FR"/>
        </w:rPr>
        <w:t>ts.  En</w:t>
      </w:r>
      <w:r w:rsidR="00DB789B">
        <w:rPr>
          <w:lang w:val="fr-FR"/>
        </w:rPr>
        <w:t>fin</w:t>
      </w:r>
      <w:r w:rsidR="00B83FF0">
        <w:rPr>
          <w:lang w:val="fr-FR"/>
        </w:rPr>
        <w:t>, dans un souci de clarté,</w:t>
      </w:r>
      <w:r w:rsidR="00DB789B">
        <w:rPr>
          <w:lang w:val="fr-FR"/>
        </w:rPr>
        <w:t xml:space="preserve"> des </w:t>
      </w:r>
      <w:r w:rsidR="00716EBF" w:rsidRPr="00614C1F">
        <w:rPr>
          <w:lang w:val="fr-FR"/>
        </w:rPr>
        <w:t xml:space="preserve">modifications </w:t>
      </w:r>
      <w:r w:rsidR="00DB789B">
        <w:rPr>
          <w:lang w:val="fr-FR"/>
        </w:rPr>
        <w:t>ont été apportées à l</w:t>
      </w:r>
      <w:r w:rsidR="006B51CB">
        <w:rPr>
          <w:lang w:val="fr-FR"/>
        </w:rPr>
        <w:t>’</w:t>
      </w:r>
      <w:r w:rsidR="00DB789B">
        <w:rPr>
          <w:lang w:val="fr-FR"/>
        </w:rPr>
        <w:t>intitulé ou à la description de certains</w:t>
      </w:r>
      <w:r w:rsidR="00B83FF0">
        <w:rPr>
          <w:lang w:val="fr-FR"/>
        </w:rPr>
        <w:t xml:space="preserve"> événements détaillés existants</w:t>
      </w:r>
      <w:r w:rsidR="006B51CB">
        <w:rPr>
          <w:lang w:val="fr-FR"/>
        </w:rPr>
        <w:t> :</w:t>
      </w:r>
      <w:r w:rsidR="00716EBF" w:rsidRPr="00614C1F">
        <w:rPr>
          <w:lang w:val="fr-FR"/>
        </w:rPr>
        <w:t xml:space="preserve"> </w:t>
      </w:r>
      <w:r w:rsidR="00B83FF0">
        <w:rPr>
          <w:lang w:val="fr-FR"/>
        </w:rPr>
        <w:t>par exemple, la description de “</w:t>
      </w:r>
      <w:r w:rsidR="00716EBF" w:rsidRPr="00614C1F">
        <w:rPr>
          <w:lang w:val="fr-FR"/>
        </w:rPr>
        <w:t xml:space="preserve">D14.  </w:t>
      </w:r>
      <w:r w:rsidR="00B83FF0">
        <w:rPr>
          <w:lang w:val="fr-FR"/>
        </w:rPr>
        <w:t>Rapport de recherche publié”</w:t>
      </w:r>
      <w:r w:rsidR="00716EBF" w:rsidRPr="00614C1F">
        <w:rPr>
          <w:lang w:val="fr-FR"/>
        </w:rPr>
        <w:t xml:space="preserve"> a</w:t>
      </w:r>
      <w:r w:rsidR="00B83FF0">
        <w:rPr>
          <w:lang w:val="fr-FR"/>
        </w:rPr>
        <w:t xml:space="preserve"> été modifiée de manière à établir une distinction claire entre </w:t>
      </w:r>
      <w:r w:rsidR="00716EBF" w:rsidRPr="00614C1F">
        <w:rPr>
          <w:lang w:val="fr-FR"/>
        </w:rPr>
        <w:t>“</w:t>
      </w:r>
      <w:r w:rsidR="00B83FF0">
        <w:rPr>
          <w:lang w:val="fr-FR"/>
        </w:rPr>
        <w:t>diffusion</w:t>
      </w:r>
      <w:r w:rsidR="00716EBF" w:rsidRPr="00614C1F">
        <w:rPr>
          <w:lang w:val="fr-FR"/>
        </w:rPr>
        <w:t xml:space="preserve">” </w:t>
      </w:r>
      <w:r w:rsidR="00B83FF0">
        <w:rPr>
          <w:lang w:val="fr-FR"/>
        </w:rPr>
        <w:t xml:space="preserve">et </w:t>
      </w:r>
      <w:r w:rsidR="00716EBF" w:rsidRPr="00614C1F">
        <w:rPr>
          <w:lang w:val="fr-FR"/>
        </w:rPr>
        <w:t>“publication” (</w:t>
      </w:r>
      <w:r w:rsidR="00B83FF0">
        <w:rPr>
          <w:lang w:val="fr-FR"/>
        </w:rPr>
        <w:t xml:space="preserve">la diffusion </w:t>
      </w:r>
      <w:r w:rsidR="004C6E4B">
        <w:rPr>
          <w:lang w:val="fr-FR"/>
        </w:rPr>
        <w:t xml:space="preserve">concerne </w:t>
      </w:r>
      <w:r w:rsidR="00B83FF0">
        <w:rPr>
          <w:lang w:val="fr-FR"/>
        </w:rPr>
        <w:t xml:space="preserve">une </w:t>
      </w:r>
      <w:r w:rsidR="00716EBF" w:rsidRPr="00614C1F">
        <w:rPr>
          <w:lang w:val="fr-FR"/>
        </w:rPr>
        <w:t xml:space="preserve">communication </w:t>
      </w:r>
      <w:r w:rsidR="004C6E4B">
        <w:rPr>
          <w:lang w:val="fr-FR"/>
        </w:rPr>
        <w:t xml:space="preserve">destinée au déposant, tandis que la </w:t>
      </w:r>
      <w:r w:rsidR="00716EBF" w:rsidRPr="00614C1F">
        <w:rPr>
          <w:lang w:val="fr-FR"/>
        </w:rPr>
        <w:t xml:space="preserve">publication </w:t>
      </w:r>
      <w:r w:rsidR="004C6E4B">
        <w:rPr>
          <w:lang w:val="fr-FR"/>
        </w:rPr>
        <w:t>se rapporte à une communication</w:t>
      </w:r>
      <w:r w:rsidR="00716EBF" w:rsidRPr="00614C1F">
        <w:rPr>
          <w:lang w:val="fr-FR"/>
        </w:rPr>
        <w:t xml:space="preserve"> publi</w:t>
      </w:r>
      <w:r w:rsidR="004C6E4B">
        <w:rPr>
          <w:lang w:val="fr-FR"/>
        </w:rPr>
        <w:t>que</w:t>
      </w:r>
      <w:r w:rsidR="00716EBF" w:rsidRPr="00614C1F">
        <w:rPr>
          <w:lang w:val="fr-FR"/>
        </w:rPr>
        <w:t>).</w:t>
      </w:r>
    </w:p>
    <w:p w:rsidR="00BC6D4F" w:rsidRDefault="004C6E4B" w:rsidP="00BC6D4F">
      <w:pPr>
        <w:pStyle w:val="ONUMFS"/>
        <w:rPr>
          <w:lang w:val="fr-FR"/>
        </w:rPr>
      </w:pPr>
      <w:r>
        <w:rPr>
          <w:lang w:val="fr-FR"/>
        </w:rPr>
        <w:t xml:space="preserve">Le </w:t>
      </w:r>
      <w:r w:rsidRPr="004C6E4B">
        <w:rPr>
          <w:lang w:val="fr-FR"/>
        </w:rPr>
        <w:t>schéma général de traitement des brevets et</w:t>
      </w:r>
      <w:r w:rsidR="009C248F" w:rsidRPr="004C6E4B">
        <w:rPr>
          <w:lang w:val="fr-FR"/>
        </w:rPr>
        <w:t xml:space="preserve"> des</w:t>
      </w:r>
      <w:r w:rsidR="009C248F">
        <w:rPr>
          <w:lang w:val="fr-FR"/>
        </w:rPr>
        <w:t> </w:t>
      </w:r>
      <w:r w:rsidR="009C248F" w:rsidRPr="004C6E4B">
        <w:rPr>
          <w:lang w:val="fr-FR"/>
        </w:rPr>
        <w:t>CCP</w:t>
      </w:r>
      <w:r w:rsidRPr="004C6E4B">
        <w:rPr>
          <w:lang w:val="fr-FR"/>
        </w:rPr>
        <w:t xml:space="preserve"> </w:t>
      </w:r>
      <w:r>
        <w:rPr>
          <w:lang w:val="fr-FR"/>
        </w:rPr>
        <w:t>a également été actualisé</w:t>
      </w:r>
      <w:r w:rsidR="00716EBF" w:rsidRPr="00614C1F">
        <w:rPr>
          <w:lang w:val="fr-FR"/>
        </w:rPr>
        <w:t xml:space="preserve"> </w:t>
      </w:r>
      <w:r w:rsidR="006F1210">
        <w:rPr>
          <w:lang w:val="fr-FR"/>
        </w:rPr>
        <w:t>avec l</w:t>
      </w:r>
      <w:r w:rsidR="006B51CB">
        <w:rPr>
          <w:lang w:val="fr-FR"/>
        </w:rPr>
        <w:t>’</w:t>
      </w:r>
      <w:r w:rsidR="006F1210">
        <w:rPr>
          <w:lang w:val="fr-FR"/>
        </w:rPr>
        <w:t>adjonction d</w:t>
      </w:r>
      <w:r w:rsidR="006B51CB">
        <w:rPr>
          <w:lang w:val="fr-FR"/>
        </w:rPr>
        <w:t>’</w:t>
      </w:r>
      <w:r>
        <w:rPr>
          <w:lang w:val="fr-FR"/>
        </w:rPr>
        <w:t>une flèche récursive à l</w:t>
      </w:r>
      <w:r w:rsidR="006B51CB">
        <w:rPr>
          <w:lang w:val="fr-FR"/>
        </w:rPr>
        <w:t>’</w:t>
      </w:r>
      <w:r>
        <w:rPr>
          <w:lang w:val="fr-FR"/>
        </w:rPr>
        <w:t xml:space="preserve">étape “Délivrance”, correspondant </w:t>
      </w:r>
      <w:r w:rsidR="008C07D2">
        <w:rPr>
          <w:lang w:val="fr-FR"/>
        </w:rPr>
        <w:t>à l</w:t>
      </w:r>
      <w:r w:rsidR="006B51CB">
        <w:rPr>
          <w:lang w:val="fr-FR"/>
        </w:rPr>
        <w:t>’</w:t>
      </w:r>
      <w:r w:rsidR="008C07D2">
        <w:rPr>
          <w:lang w:val="fr-FR"/>
        </w:rPr>
        <w:t>événement principal</w:t>
      </w:r>
      <w:r w:rsidR="00B000EA">
        <w:rPr>
          <w:lang w:val="fr-FR"/>
        </w:rPr>
        <w:t> </w:t>
      </w:r>
      <w:r w:rsidR="008C07D2" w:rsidRPr="008C07D2">
        <w:rPr>
          <w:lang w:val="fr-FR"/>
        </w:rPr>
        <w:t>“M10.  Droit de propriété industrielle maintenu”</w:t>
      </w:r>
      <w:r w:rsidR="00716EBF" w:rsidRPr="00614C1F">
        <w:rPr>
          <w:lang w:val="fr-FR"/>
        </w:rPr>
        <w:t xml:space="preserve">, </w:t>
      </w:r>
      <w:r w:rsidR="008C07D2">
        <w:rPr>
          <w:lang w:val="fr-FR"/>
        </w:rPr>
        <w:t xml:space="preserve">afin de </w:t>
      </w:r>
      <w:r w:rsidR="006F1210">
        <w:rPr>
          <w:lang w:val="fr-FR"/>
        </w:rPr>
        <w:t>tenir compte du cas</w:t>
      </w:r>
      <w:r w:rsidR="008C07D2">
        <w:rPr>
          <w:lang w:val="fr-FR"/>
        </w:rPr>
        <w:t xml:space="preserve"> dans lequel un droit de propriété intellectuelle est maintenu</w:t>
      </w:r>
      <w:r w:rsidR="006F1210">
        <w:rPr>
          <w:lang w:val="fr-FR"/>
        </w:rPr>
        <w:t>, par exemple à la suite</w:t>
      </w:r>
      <w:r w:rsidR="008C07D2">
        <w:rPr>
          <w:lang w:val="fr-FR"/>
        </w:rPr>
        <w:t xml:space="preserve"> du paiement d</w:t>
      </w:r>
      <w:r w:rsidR="006B51CB">
        <w:rPr>
          <w:lang w:val="fr-FR"/>
        </w:rPr>
        <w:t>’</w:t>
      </w:r>
      <w:r w:rsidR="008C07D2">
        <w:rPr>
          <w:lang w:val="fr-FR"/>
        </w:rPr>
        <w:t>une taxe de maintien en vigueur annuelle.</w:t>
      </w:r>
    </w:p>
    <w:p w:rsidR="00BC6D4F" w:rsidRDefault="008C07D2" w:rsidP="00BC6D4F">
      <w:pPr>
        <w:pStyle w:val="ONUMFS"/>
        <w:rPr>
          <w:lang w:val="fr-FR"/>
        </w:rPr>
      </w:pPr>
      <w:r>
        <w:rPr>
          <w:lang w:val="fr-FR"/>
        </w:rPr>
        <w:t>En ce qui concerne les données supplémentaires relatives aux événements faisant l</w:t>
      </w:r>
      <w:r w:rsidR="006B51CB">
        <w:rPr>
          <w:lang w:val="fr-FR"/>
        </w:rPr>
        <w:t>’</w:t>
      </w:r>
      <w:r>
        <w:rPr>
          <w:lang w:val="fr-FR"/>
        </w:rPr>
        <w:t>objet de l</w:t>
      </w:r>
      <w:r w:rsidR="006B51CB">
        <w:rPr>
          <w:lang w:val="fr-FR"/>
        </w:rPr>
        <w:t>’</w:t>
      </w:r>
      <w:r>
        <w:rPr>
          <w:lang w:val="fr-FR"/>
        </w:rPr>
        <w:t>annexe II de la norme </w:t>
      </w:r>
      <w:r w:rsidR="007102BF" w:rsidRPr="00614C1F">
        <w:rPr>
          <w:lang w:val="fr-FR"/>
        </w:rPr>
        <w:t xml:space="preserve">ST.27, </w:t>
      </w:r>
      <w:r>
        <w:rPr>
          <w:lang w:val="fr-FR"/>
        </w:rPr>
        <w:t xml:space="preserve">des </w:t>
      </w:r>
      <w:r w:rsidR="00716EBF" w:rsidRPr="00614C1F">
        <w:rPr>
          <w:lang w:val="fr-FR"/>
        </w:rPr>
        <w:t xml:space="preserve">modifications </w:t>
      </w:r>
      <w:r>
        <w:rPr>
          <w:lang w:val="fr-FR"/>
        </w:rPr>
        <w:t>ont été apportées aux données supplémentaires pour certaines catégories</w:t>
      </w:r>
      <w:r w:rsidR="00716EBF" w:rsidRPr="00614C1F">
        <w:rPr>
          <w:lang w:val="fr-FR"/>
        </w:rPr>
        <w:t>.</w:t>
      </w:r>
    </w:p>
    <w:p w:rsidR="00BC6D4F" w:rsidRDefault="0062220B" w:rsidP="00BC6D4F">
      <w:pPr>
        <w:pStyle w:val="ONUMFS"/>
        <w:rPr>
          <w:lang w:val="fr-FR"/>
        </w:rPr>
      </w:pPr>
      <w:r>
        <w:rPr>
          <w:lang w:val="fr-FR"/>
        </w:rPr>
        <w:t>Même si l</w:t>
      </w:r>
      <w:r w:rsidR="006B51CB">
        <w:rPr>
          <w:lang w:val="fr-FR"/>
        </w:rPr>
        <w:t>’</w:t>
      </w:r>
      <w:r>
        <w:rPr>
          <w:lang w:val="fr-FR"/>
        </w:rPr>
        <w:t>équipe d</w:t>
      </w:r>
      <w:r w:rsidR="006B51CB">
        <w:rPr>
          <w:lang w:val="fr-FR"/>
        </w:rPr>
        <w:t>’</w:t>
      </w:r>
      <w:r>
        <w:rPr>
          <w:lang w:val="fr-FR"/>
        </w:rPr>
        <w:t>experts propose d</w:t>
      </w:r>
      <w:r w:rsidR="006B51CB">
        <w:rPr>
          <w:lang w:val="fr-FR"/>
        </w:rPr>
        <w:t>’</w:t>
      </w:r>
      <w:r>
        <w:rPr>
          <w:lang w:val="fr-FR"/>
        </w:rPr>
        <w:t>apporter des modifications à la liste des événements définis à l</w:t>
      </w:r>
      <w:r w:rsidR="006B51CB">
        <w:rPr>
          <w:lang w:val="fr-FR"/>
        </w:rPr>
        <w:t>’</w:t>
      </w:r>
      <w:r>
        <w:rPr>
          <w:lang w:val="fr-FR"/>
        </w:rPr>
        <w:t>annexe I de la norme ST.27, il considère que les événements détaillés figurant à l</w:t>
      </w:r>
      <w:r w:rsidR="006B51CB">
        <w:rPr>
          <w:lang w:val="fr-FR"/>
        </w:rPr>
        <w:t>’</w:t>
      </w:r>
      <w:r>
        <w:rPr>
          <w:lang w:val="fr-FR"/>
        </w:rPr>
        <w:t>annexe I devraient être réexaminés et évalués de façon plus approfondie compte tenu de la complexité</w:t>
      </w:r>
      <w:r w:rsidR="00305D47">
        <w:rPr>
          <w:lang w:val="fr-FR"/>
        </w:rPr>
        <w:t xml:space="preserve"> découlant de la diversité des pratiques des offices de propriété industrielle</w:t>
      </w:r>
      <w:r w:rsidR="00F84EC6" w:rsidRPr="00614C1F">
        <w:rPr>
          <w:lang w:val="fr-FR"/>
        </w:rPr>
        <w:t xml:space="preserve">; </w:t>
      </w:r>
      <w:r w:rsidR="00305D47">
        <w:rPr>
          <w:lang w:val="fr-FR"/>
        </w:rPr>
        <w:t xml:space="preserve"> par exemple, le niveau de détail des événements détaillés, en particulier dans la catégorie S – I</w:t>
      </w:r>
      <w:r w:rsidR="00716EBF" w:rsidRPr="00614C1F">
        <w:rPr>
          <w:lang w:val="fr-FR"/>
        </w:rPr>
        <w:t>nformation</w:t>
      </w:r>
      <w:r w:rsidR="00305D47">
        <w:rPr>
          <w:lang w:val="fr-FR"/>
        </w:rPr>
        <w:t>s concernant les licenc</w:t>
      </w:r>
      <w:r w:rsidR="00FC315A">
        <w:rPr>
          <w:lang w:val="fr-FR"/>
        </w:rPr>
        <w:t>es.  En</w:t>
      </w:r>
      <w:r w:rsidR="008A3249">
        <w:rPr>
          <w:lang w:val="fr-FR"/>
        </w:rPr>
        <w:t xml:space="preserve"> conséquence, l</w:t>
      </w:r>
      <w:r w:rsidR="006B51CB">
        <w:rPr>
          <w:lang w:val="fr-FR"/>
        </w:rPr>
        <w:t>’</w:t>
      </w:r>
      <w:r w:rsidR="008A3249">
        <w:rPr>
          <w:lang w:val="fr-FR"/>
        </w:rPr>
        <w:t>équipe d</w:t>
      </w:r>
      <w:r w:rsidR="006B51CB">
        <w:rPr>
          <w:lang w:val="fr-FR"/>
        </w:rPr>
        <w:t>’</w:t>
      </w:r>
      <w:r w:rsidR="008A3249">
        <w:rPr>
          <w:lang w:val="fr-FR"/>
        </w:rPr>
        <w:t>experts souhaite bénéficier d</w:t>
      </w:r>
      <w:r w:rsidR="006B51CB">
        <w:rPr>
          <w:lang w:val="fr-FR"/>
        </w:rPr>
        <w:t>’</w:t>
      </w:r>
      <w:r w:rsidR="008A3249">
        <w:rPr>
          <w:lang w:val="fr-FR"/>
        </w:rPr>
        <w:t>un délai supplémentaire pour établir une liste définitive des événements détaillés et d</w:t>
      </w:r>
      <w:r w:rsidR="008E4771">
        <w:rPr>
          <w:lang w:val="fr-FR"/>
        </w:rPr>
        <w:t>emande également</w:t>
      </w:r>
      <w:r w:rsidR="009C248F">
        <w:rPr>
          <w:lang w:val="fr-FR"/>
        </w:rPr>
        <w:t xml:space="preserve"> au CWS</w:t>
      </w:r>
      <w:r w:rsidR="008E4771">
        <w:rPr>
          <w:lang w:val="fr-FR"/>
        </w:rPr>
        <w:t xml:space="preserve"> d</w:t>
      </w:r>
      <w:r w:rsidR="006B51CB">
        <w:rPr>
          <w:lang w:val="fr-FR"/>
        </w:rPr>
        <w:t>’</w:t>
      </w:r>
      <w:r w:rsidR="008E4771">
        <w:rPr>
          <w:lang w:val="fr-FR"/>
        </w:rPr>
        <w:t xml:space="preserve">encourager les offices de propriété industrielle à participer aux </w:t>
      </w:r>
      <w:r w:rsidR="00C171A2">
        <w:rPr>
          <w:lang w:val="fr-FR"/>
        </w:rPr>
        <w:t>discussions</w:t>
      </w:r>
      <w:r w:rsidR="00716EBF" w:rsidRPr="00614C1F">
        <w:rPr>
          <w:lang w:val="fr-FR"/>
        </w:rPr>
        <w:t>.</w:t>
      </w:r>
    </w:p>
    <w:p w:rsidR="00BC6D4F" w:rsidRDefault="00716EBF" w:rsidP="00716EBF">
      <w:pPr>
        <w:pStyle w:val="Heading3"/>
        <w:rPr>
          <w:lang w:val="fr-FR" w:eastAsia="ko-KR"/>
        </w:rPr>
      </w:pPr>
      <w:r w:rsidRPr="00614C1F">
        <w:rPr>
          <w:lang w:val="fr-FR" w:eastAsia="ko-KR"/>
        </w:rPr>
        <w:t>N</w:t>
      </w:r>
      <w:r w:rsidR="0029100C">
        <w:rPr>
          <w:lang w:val="fr-FR" w:eastAsia="ko-KR"/>
        </w:rPr>
        <w:t xml:space="preserve">ouvelle </w:t>
      </w:r>
      <w:r w:rsidR="009C248F">
        <w:rPr>
          <w:lang w:val="fr-FR" w:eastAsia="ko-KR"/>
        </w:rPr>
        <w:t>a</w:t>
      </w:r>
      <w:r w:rsidR="009C248F" w:rsidRPr="00614C1F">
        <w:rPr>
          <w:lang w:val="fr-FR" w:eastAsia="ko-KR"/>
        </w:rPr>
        <w:t>nnex</w:t>
      </w:r>
      <w:r w:rsidR="009C248F">
        <w:rPr>
          <w:lang w:val="fr-FR" w:eastAsia="ko-KR"/>
        </w:rPr>
        <w:t>e </w:t>
      </w:r>
      <w:r w:rsidR="009C248F" w:rsidRPr="00614C1F">
        <w:rPr>
          <w:lang w:val="fr-FR" w:eastAsia="ko-KR"/>
        </w:rPr>
        <w:t>V</w:t>
      </w:r>
      <w:r w:rsidR="006B51CB">
        <w:rPr>
          <w:lang w:val="fr-FR" w:eastAsia="ko-KR"/>
        </w:rPr>
        <w:t> :</w:t>
      </w:r>
      <w:r w:rsidRPr="00614C1F">
        <w:rPr>
          <w:lang w:val="fr-FR" w:eastAsia="ko-KR"/>
        </w:rPr>
        <w:t xml:space="preserve"> Document</w:t>
      </w:r>
      <w:r w:rsidR="0029100C">
        <w:rPr>
          <w:lang w:val="fr-FR" w:eastAsia="ko-KR"/>
        </w:rPr>
        <w:t xml:space="preserve"> d</w:t>
      </w:r>
      <w:r w:rsidR="006B51CB">
        <w:rPr>
          <w:lang w:val="fr-FR" w:eastAsia="ko-KR"/>
        </w:rPr>
        <w:t>’</w:t>
      </w:r>
      <w:r w:rsidR="0029100C">
        <w:rPr>
          <w:lang w:val="fr-FR" w:eastAsia="ko-KR"/>
        </w:rPr>
        <w:t>orientation</w:t>
      </w:r>
    </w:p>
    <w:p w:rsidR="00BC6D4F" w:rsidRDefault="0029100C" w:rsidP="00BC6D4F">
      <w:pPr>
        <w:pStyle w:val="ONUMFS"/>
        <w:rPr>
          <w:lang w:val="fr-FR"/>
        </w:rPr>
      </w:pPr>
      <w:r>
        <w:rPr>
          <w:lang w:val="fr-FR"/>
        </w:rPr>
        <w:t>L</w:t>
      </w:r>
      <w:r w:rsidR="006B51CB">
        <w:rPr>
          <w:lang w:val="fr-FR"/>
        </w:rPr>
        <w:t>’</w:t>
      </w:r>
      <w:r>
        <w:rPr>
          <w:lang w:val="fr-FR"/>
        </w:rPr>
        <w:t>équipe d</w:t>
      </w:r>
      <w:r w:rsidR="006B51CB">
        <w:rPr>
          <w:lang w:val="fr-FR"/>
        </w:rPr>
        <w:t>’</w:t>
      </w:r>
      <w:r>
        <w:rPr>
          <w:lang w:val="fr-FR"/>
        </w:rPr>
        <w:t>experts a présenté une proposition relative à l</w:t>
      </w:r>
      <w:r w:rsidR="006B51CB">
        <w:rPr>
          <w:lang w:val="fr-FR"/>
        </w:rPr>
        <w:t>’</w:t>
      </w:r>
      <w:r>
        <w:rPr>
          <w:lang w:val="fr-FR"/>
        </w:rPr>
        <w:t>élaboration d</w:t>
      </w:r>
      <w:r w:rsidR="006B51CB">
        <w:rPr>
          <w:lang w:val="fr-FR"/>
        </w:rPr>
        <w:t>’</w:t>
      </w:r>
      <w:r>
        <w:rPr>
          <w:lang w:val="fr-FR"/>
        </w:rPr>
        <w:t xml:space="preserve">un </w:t>
      </w:r>
      <w:r w:rsidR="0028258C">
        <w:rPr>
          <w:lang w:val="fr-FR"/>
        </w:rPr>
        <w:t>d</w:t>
      </w:r>
      <w:r>
        <w:rPr>
          <w:lang w:val="fr-FR"/>
        </w:rPr>
        <w:t>ocument d</w:t>
      </w:r>
      <w:r w:rsidR="006B51CB">
        <w:rPr>
          <w:lang w:val="fr-FR"/>
        </w:rPr>
        <w:t>’</w:t>
      </w:r>
      <w:r>
        <w:rPr>
          <w:lang w:val="fr-FR"/>
        </w:rPr>
        <w:t>orientation qui ferait l</w:t>
      </w:r>
      <w:r w:rsidR="006B51CB">
        <w:rPr>
          <w:lang w:val="fr-FR"/>
        </w:rPr>
        <w:t>’</w:t>
      </w:r>
      <w:r>
        <w:rPr>
          <w:lang w:val="fr-FR"/>
        </w:rPr>
        <w:t>objet de l</w:t>
      </w:r>
      <w:r w:rsidR="006B51CB">
        <w:rPr>
          <w:lang w:val="fr-FR"/>
        </w:rPr>
        <w:t>’</w:t>
      </w:r>
      <w:r>
        <w:rPr>
          <w:lang w:val="fr-FR"/>
        </w:rPr>
        <w:t>annexe V de la norme ST.27 de l</w:t>
      </w:r>
      <w:r w:rsidR="006B51CB">
        <w:rPr>
          <w:lang w:val="fr-FR"/>
        </w:rPr>
        <w:t>’</w:t>
      </w:r>
      <w:r>
        <w:rPr>
          <w:lang w:val="fr-FR"/>
        </w:rPr>
        <w:t>O</w:t>
      </w:r>
      <w:r w:rsidR="00FC315A">
        <w:rPr>
          <w:lang w:val="fr-FR"/>
        </w:rPr>
        <w:t>MPI.  La</w:t>
      </w:r>
      <w:r w:rsidR="0028258C">
        <w:rPr>
          <w:lang w:val="fr-FR"/>
        </w:rPr>
        <w:t xml:space="preserve"> nouvelle annexe V </w:t>
      </w:r>
      <w:r w:rsidR="00C171A2">
        <w:rPr>
          <w:lang w:val="fr-FR"/>
        </w:rPr>
        <w:t>qu</w:t>
      </w:r>
      <w:r w:rsidR="006B51CB">
        <w:rPr>
          <w:lang w:val="fr-FR"/>
        </w:rPr>
        <w:t>’</w:t>
      </w:r>
      <w:r w:rsidR="00C171A2">
        <w:rPr>
          <w:lang w:val="fr-FR"/>
        </w:rPr>
        <w:t>il est proposé d</w:t>
      </w:r>
      <w:r w:rsidR="006B51CB">
        <w:rPr>
          <w:lang w:val="fr-FR"/>
        </w:rPr>
        <w:t>’</w:t>
      </w:r>
      <w:r w:rsidR="00C171A2">
        <w:rPr>
          <w:lang w:val="fr-FR"/>
        </w:rPr>
        <w:t>ajouter à la norme </w:t>
      </w:r>
      <w:r w:rsidR="007102BF" w:rsidRPr="00614C1F">
        <w:rPr>
          <w:lang w:val="fr-FR"/>
        </w:rPr>
        <w:t xml:space="preserve">ST.27 </w:t>
      </w:r>
      <w:r w:rsidR="00C171A2">
        <w:rPr>
          <w:lang w:val="fr-FR"/>
        </w:rPr>
        <w:t>fait l</w:t>
      </w:r>
      <w:r w:rsidR="006B51CB">
        <w:rPr>
          <w:lang w:val="fr-FR"/>
        </w:rPr>
        <w:t>’</w:t>
      </w:r>
      <w:r w:rsidR="00C171A2">
        <w:rPr>
          <w:lang w:val="fr-FR"/>
        </w:rPr>
        <w:t>objet de l</w:t>
      </w:r>
      <w:r w:rsidR="006B51CB">
        <w:rPr>
          <w:lang w:val="fr-FR"/>
        </w:rPr>
        <w:t>’</w:t>
      </w:r>
      <w:r w:rsidR="00C171A2">
        <w:rPr>
          <w:lang w:val="fr-FR"/>
        </w:rPr>
        <w:t>annexe </w:t>
      </w:r>
      <w:r w:rsidR="007102BF" w:rsidRPr="00614C1F">
        <w:rPr>
          <w:lang w:val="fr-FR"/>
        </w:rPr>
        <w:t xml:space="preserve">I </w:t>
      </w:r>
      <w:r w:rsidR="00C171A2">
        <w:rPr>
          <w:lang w:val="fr-FR"/>
        </w:rPr>
        <w:t>du présent docu</w:t>
      </w:r>
      <w:r w:rsidR="007102BF" w:rsidRPr="00614C1F">
        <w:rPr>
          <w:lang w:val="fr-FR"/>
        </w:rPr>
        <w:t>ment.</w:t>
      </w:r>
    </w:p>
    <w:p w:rsidR="00BC6D4F" w:rsidRDefault="00C171A2" w:rsidP="00BC6D4F">
      <w:pPr>
        <w:pStyle w:val="ONUMFS"/>
        <w:rPr>
          <w:lang w:val="fr-FR"/>
        </w:rPr>
      </w:pPr>
      <w:r>
        <w:rPr>
          <w:lang w:val="fr-FR"/>
        </w:rPr>
        <w:lastRenderedPageBreak/>
        <w:t>Le document d</w:t>
      </w:r>
      <w:r w:rsidR="006B51CB">
        <w:rPr>
          <w:lang w:val="fr-FR"/>
        </w:rPr>
        <w:t>’</w:t>
      </w:r>
      <w:r>
        <w:rPr>
          <w:lang w:val="fr-FR"/>
        </w:rPr>
        <w:t>orientation proposé contient des exemples d</w:t>
      </w:r>
      <w:r w:rsidR="006B51CB">
        <w:rPr>
          <w:lang w:val="fr-FR"/>
        </w:rPr>
        <w:t>’</w:t>
      </w:r>
      <w:r>
        <w:rPr>
          <w:lang w:val="fr-FR"/>
        </w:rPr>
        <w:t>éventuels historiques d</w:t>
      </w:r>
      <w:r w:rsidR="006B51CB">
        <w:rPr>
          <w:lang w:val="fr-FR"/>
        </w:rPr>
        <w:t>’</w:t>
      </w:r>
      <w:r>
        <w:rPr>
          <w:lang w:val="fr-FR"/>
        </w:rPr>
        <w:t xml:space="preserve">événements sur la base </w:t>
      </w:r>
      <w:r w:rsidR="00766522">
        <w:rPr>
          <w:lang w:val="fr-FR"/>
        </w:rPr>
        <w:t xml:space="preserve">des </w:t>
      </w:r>
      <w:r w:rsidR="00716EBF" w:rsidRPr="00614C1F">
        <w:rPr>
          <w:lang w:val="fr-FR"/>
        </w:rPr>
        <w:t xml:space="preserve">tables </w:t>
      </w:r>
      <w:r w:rsidR="00766522">
        <w:rPr>
          <w:lang w:val="fr-FR"/>
        </w:rPr>
        <w:t>de correspondance fournies par les offices des membres de l</w:t>
      </w:r>
      <w:r w:rsidR="006B51CB">
        <w:rPr>
          <w:lang w:val="fr-FR"/>
        </w:rPr>
        <w:t>’</w:t>
      </w:r>
      <w:r w:rsidR="00766522">
        <w:rPr>
          <w:lang w:val="fr-FR"/>
        </w:rPr>
        <w:t>équipe d</w:t>
      </w:r>
      <w:r w:rsidR="006B51CB">
        <w:rPr>
          <w:lang w:val="fr-FR"/>
        </w:rPr>
        <w:t>’</w:t>
      </w:r>
      <w:r w:rsidR="00766522">
        <w:rPr>
          <w:lang w:val="fr-FR"/>
        </w:rPr>
        <w:t xml:space="preserve">experts, de façon à donner aux offices de propriété industrielle des orientations </w:t>
      </w:r>
      <w:r w:rsidR="00FD517C">
        <w:rPr>
          <w:lang w:val="fr-FR"/>
        </w:rPr>
        <w:t>quant à</w:t>
      </w:r>
      <w:r w:rsidR="00766522">
        <w:rPr>
          <w:lang w:val="fr-FR"/>
        </w:rPr>
        <w:t xml:space="preserve"> la manière </w:t>
      </w:r>
      <w:r w:rsidR="00FD517C">
        <w:rPr>
          <w:lang w:val="fr-FR"/>
        </w:rPr>
        <w:t>de faire correspondre leurs événements nationaux ou régionaux</w:t>
      </w:r>
      <w:r w:rsidR="00716EBF" w:rsidRPr="00614C1F">
        <w:rPr>
          <w:lang w:val="fr-FR"/>
        </w:rPr>
        <w:t xml:space="preserve"> </w:t>
      </w:r>
      <w:r w:rsidR="00FD517C">
        <w:rPr>
          <w:lang w:val="fr-FR"/>
        </w:rPr>
        <w:t>aux événements standard et d</w:t>
      </w:r>
      <w:r w:rsidR="006B51CB">
        <w:rPr>
          <w:lang w:val="fr-FR"/>
        </w:rPr>
        <w:t>’</w:t>
      </w:r>
      <w:r w:rsidR="00FD517C">
        <w:rPr>
          <w:lang w:val="fr-FR"/>
        </w:rPr>
        <w:t>utiliser les événements standard pour décrire les différentes pratiques en matière de traitement</w:t>
      </w:r>
      <w:r w:rsidR="00716EBF" w:rsidRPr="00614C1F">
        <w:rPr>
          <w:lang w:val="fr-FR"/>
        </w:rPr>
        <w:t>.</w:t>
      </w:r>
    </w:p>
    <w:p w:rsidR="00BC6D4F" w:rsidRDefault="00FD517C" w:rsidP="00BC6D4F">
      <w:pPr>
        <w:pStyle w:val="ONUMFS"/>
        <w:rPr>
          <w:lang w:val="fr-FR"/>
        </w:rPr>
      </w:pPr>
      <w:r>
        <w:rPr>
          <w:lang w:val="fr-FR"/>
        </w:rPr>
        <w:t>Si le document d</w:t>
      </w:r>
      <w:r w:rsidR="006B51CB">
        <w:rPr>
          <w:lang w:val="fr-FR"/>
        </w:rPr>
        <w:t>’</w:t>
      </w:r>
      <w:r>
        <w:rPr>
          <w:lang w:val="fr-FR"/>
        </w:rPr>
        <w:t>orientation serait utile</w:t>
      </w:r>
      <w:r w:rsidR="0095258E">
        <w:rPr>
          <w:lang w:val="fr-FR"/>
        </w:rPr>
        <w:t xml:space="preserve"> en tant que tel pour permettre aux offices de propriété industrielle de </w:t>
      </w:r>
      <w:r w:rsidR="0095258E" w:rsidRPr="0095258E">
        <w:rPr>
          <w:lang w:val="fr-FR"/>
        </w:rPr>
        <w:t>faire correspondre leurs événements aux événements standard</w:t>
      </w:r>
      <w:r w:rsidR="00716EBF" w:rsidRPr="00614C1F">
        <w:rPr>
          <w:lang w:val="fr-FR"/>
        </w:rPr>
        <w:t xml:space="preserve">, </w:t>
      </w:r>
      <w:r w:rsidR="0095258E">
        <w:rPr>
          <w:lang w:val="fr-FR"/>
        </w:rPr>
        <w:t>l</w:t>
      </w:r>
      <w:r w:rsidR="006B51CB">
        <w:rPr>
          <w:lang w:val="fr-FR"/>
        </w:rPr>
        <w:t>’</w:t>
      </w:r>
      <w:r w:rsidR="0095258E">
        <w:rPr>
          <w:lang w:val="fr-FR"/>
        </w:rPr>
        <w:t>équipe d</w:t>
      </w:r>
      <w:r w:rsidR="006B51CB">
        <w:rPr>
          <w:lang w:val="fr-FR"/>
        </w:rPr>
        <w:t>’</w:t>
      </w:r>
      <w:r w:rsidR="0095258E">
        <w:rPr>
          <w:lang w:val="fr-FR"/>
        </w:rPr>
        <w:t>experts considère qu</w:t>
      </w:r>
      <w:r w:rsidR="006B51CB">
        <w:rPr>
          <w:lang w:val="fr-FR"/>
        </w:rPr>
        <w:t>’</w:t>
      </w:r>
      <w:r w:rsidR="0095258E">
        <w:rPr>
          <w:lang w:val="fr-FR"/>
        </w:rPr>
        <w:t>il serait possible de l</w:t>
      </w:r>
      <w:r w:rsidR="006B51CB">
        <w:rPr>
          <w:lang w:val="fr-FR"/>
        </w:rPr>
        <w:t>’</w:t>
      </w:r>
      <w:r w:rsidR="0095258E">
        <w:rPr>
          <w:lang w:val="fr-FR"/>
        </w:rPr>
        <w:t>améliorer, notamment afin d</w:t>
      </w:r>
      <w:r w:rsidR="006B51CB">
        <w:rPr>
          <w:lang w:val="fr-FR"/>
        </w:rPr>
        <w:t>’</w:t>
      </w:r>
      <w:r w:rsidR="0095258E">
        <w:rPr>
          <w:lang w:val="fr-FR"/>
        </w:rPr>
        <w:t xml:space="preserve">en renforcer la lisibilité en lui donnant une forme plus structurée </w:t>
      </w:r>
      <w:r w:rsidR="005B2CF0">
        <w:rPr>
          <w:lang w:val="fr-FR"/>
        </w:rPr>
        <w:t xml:space="preserve">reposant sur </w:t>
      </w:r>
      <w:r w:rsidR="00DA031C">
        <w:rPr>
          <w:lang w:val="fr-FR"/>
        </w:rPr>
        <w:t>un scénario de cycle de v</w:t>
      </w:r>
      <w:r w:rsidR="00716EBF" w:rsidRPr="00614C1F">
        <w:rPr>
          <w:lang w:val="fr-FR"/>
        </w:rPr>
        <w:t>ie</w:t>
      </w:r>
      <w:r w:rsidR="00DA031C">
        <w:rPr>
          <w:lang w:val="fr-FR"/>
        </w:rPr>
        <w:t xml:space="preserve"> et </w:t>
      </w:r>
      <w:r w:rsidR="005B2CF0">
        <w:rPr>
          <w:lang w:val="fr-FR"/>
        </w:rPr>
        <w:t xml:space="preserve">sur </w:t>
      </w:r>
      <w:r w:rsidR="00DA031C">
        <w:rPr>
          <w:lang w:val="fr-FR"/>
        </w:rPr>
        <w:t>son caractère exhaustif grâce à des exemples fournis par les divers offices de propriété industriel</w:t>
      </w:r>
      <w:r w:rsidR="00FC315A">
        <w:rPr>
          <w:lang w:val="fr-FR"/>
        </w:rPr>
        <w:t>le.  Il</w:t>
      </w:r>
      <w:r w:rsidR="00DA031C">
        <w:rPr>
          <w:lang w:val="fr-FR"/>
        </w:rPr>
        <w:t xml:space="preserve"> est par conséquent suggéré que le document d</w:t>
      </w:r>
      <w:r w:rsidR="006B51CB">
        <w:rPr>
          <w:lang w:val="fr-FR"/>
        </w:rPr>
        <w:t>’</w:t>
      </w:r>
      <w:r w:rsidR="00DA031C">
        <w:rPr>
          <w:lang w:val="fr-FR"/>
        </w:rPr>
        <w:t>orientation proposé soit considéré comme provisoire</w:t>
      </w:r>
      <w:r w:rsidR="00964C14" w:rsidRPr="00614C1F">
        <w:rPr>
          <w:lang w:val="fr-FR"/>
        </w:rPr>
        <w:t>.</w:t>
      </w:r>
    </w:p>
    <w:p w:rsidR="00BC6D4F" w:rsidRDefault="00DA031C" w:rsidP="003778F1">
      <w:pPr>
        <w:pStyle w:val="Heading3"/>
        <w:rPr>
          <w:lang w:val="fr-FR" w:eastAsia="ko-KR"/>
        </w:rPr>
      </w:pPr>
      <w:r>
        <w:rPr>
          <w:lang w:val="fr-FR" w:eastAsia="ko-KR"/>
        </w:rPr>
        <w:t xml:space="preserve">Modification </w:t>
      </w:r>
      <w:r w:rsidR="007834EE">
        <w:rPr>
          <w:lang w:val="fr-FR" w:eastAsia="ko-KR"/>
        </w:rPr>
        <w:t>de l</w:t>
      </w:r>
      <w:r w:rsidR="006B51CB">
        <w:rPr>
          <w:lang w:val="fr-FR" w:eastAsia="ko-KR"/>
        </w:rPr>
        <w:t>’</w:t>
      </w:r>
      <w:r w:rsidR="007834EE">
        <w:rPr>
          <w:lang w:val="fr-FR" w:eastAsia="ko-KR"/>
        </w:rPr>
        <w:t>avertissement du Bureau international</w:t>
      </w:r>
    </w:p>
    <w:p w:rsidR="00BC6D4F" w:rsidRDefault="007834EE" w:rsidP="00BC6D4F">
      <w:pPr>
        <w:pStyle w:val="ONUMFS"/>
        <w:rPr>
          <w:lang w:val="fr-FR"/>
        </w:rPr>
      </w:pPr>
      <w:r>
        <w:rPr>
          <w:lang w:val="fr-FR"/>
        </w:rPr>
        <w:t>Au regard des travaux à réaliser en ce qui concerne la liste des événements détaillés et le document d</w:t>
      </w:r>
      <w:r w:rsidR="006B51CB">
        <w:rPr>
          <w:lang w:val="fr-FR"/>
        </w:rPr>
        <w:t>’</w:t>
      </w:r>
      <w:r>
        <w:rPr>
          <w:lang w:val="fr-FR"/>
        </w:rPr>
        <w:t>orientation mentionnés</w:t>
      </w:r>
      <w:r w:rsidRPr="00614C1F">
        <w:rPr>
          <w:lang w:val="fr-FR"/>
        </w:rPr>
        <w:t xml:space="preserve"> </w:t>
      </w:r>
      <w:r>
        <w:rPr>
          <w:lang w:val="fr-FR"/>
        </w:rPr>
        <w:t>plus haut, le Bureau international propose de modifier l</w:t>
      </w:r>
      <w:r w:rsidR="006B51CB">
        <w:rPr>
          <w:lang w:val="fr-FR"/>
        </w:rPr>
        <w:t>’</w:t>
      </w:r>
      <w:r>
        <w:rPr>
          <w:lang w:val="fr-FR"/>
        </w:rPr>
        <w:t xml:space="preserve">avertissement figurant </w:t>
      </w:r>
      <w:r w:rsidR="00181AAC">
        <w:rPr>
          <w:lang w:val="fr-FR"/>
        </w:rPr>
        <w:t>sur la page de couverture</w:t>
      </w:r>
      <w:r>
        <w:rPr>
          <w:lang w:val="fr-FR"/>
        </w:rPr>
        <w:t xml:space="preserve"> de la norme </w:t>
      </w:r>
      <w:r w:rsidR="00491075" w:rsidRPr="00614C1F">
        <w:rPr>
          <w:lang w:val="fr-FR"/>
        </w:rPr>
        <w:t xml:space="preserve">ST.27, </w:t>
      </w:r>
      <w:r>
        <w:rPr>
          <w:lang w:val="fr-FR"/>
        </w:rPr>
        <w:t>qui serait ainsi libellé</w:t>
      </w:r>
      <w:r w:rsidR="006B51CB">
        <w:rPr>
          <w:lang w:val="fr-FR"/>
        </w:rPr>
        <w:t> :</w:t>
      </w:r>
    </w:p>
    <w:p w:rsidR="00BC6D4F" w:rsidRDefault="002C4C74" w:rsidP="00CA455B">
      <w:pPr>
        <w:pStyle w:val="ONUME"/>
        <w:numPr>
          <w:ilvl w:val="0"/>
          <w:numId w:val="0"/>
        </w:numPr>
        <w:ind w:left="284"/>
        <w:rPr>
          <w:lang w:val="fr-FR"/>
        </w:rPr>
      </w:pPr>
      <w:r w:rsidRPr="00614C1F">
        <w:rPr>
          <w:lang w:val="fr-FR"/>
        </w:rPr>
        <w:t>“</w:t>
      </w:r>
      <w:r w:rsidR="007834EE">
        <w:rPr>
          <w:lang w:val="fr-FR"/>
        </w:rPr>
        <w:t>Avertissement du Bureau international</w:t>
      </w:r>
    </w:p>
    <w:p w:rsidR="00BC6D4F" w:rsidRDefault="007834EE" w:rsidP="00CA455B">
      <w:pPr>
        <w:pStyle w:val="ONUME"/>
        <w:numPr>
          <w:ilvl w:val="0"/>
          <w:numId w:val="0"/>
        </w:numPr>
        <w:ind w:left="284"/>
        <w:rPr>
          <w:lang w:val="fr-FR"/>
        </w:rPr>
      </w:pPr>
      <w:r>
        <w:rPr>
          <w:lang w:val="fr-FR"/>
        </w:rPr>
        <w:t>Les événements détaillés figurant à l</w:t>
      </w:r>
      <w:r w:rsidR="006B51CB">
        <w:rPr>
          <w:lang w:val="fr-FR"/>
        </w:rPr>
        <w:t>’</w:t>
      </w:r>
      <w:r>
        <w:rPr>
          <w:lang w:val="fr-FR"/>
        </w:rPr>
        <w:t>annexe I de la présente norme ont été réexaminés et évalués par les offices de propriété industrielle sur une année après leur adoption provisoire par</w:t>
      </w:r>
      <w:r w:rsidR="009C248F">
        <w:rPr>
          <w:lang w:val="fr-FR"/>
        </w:rPr>
        <w:t xml:space="preserve"> le CWS</w:t>
      </w:r>
      <w:r>
        <w:rPr>
          <w:lang w:val="fr-FR"/>
        </w:rPr>
        <w:t xml:space="preserve"> à sa cinqu</w:t>
      </w:r>
      <w:r w:rsidR="006B51CB">
        <w:rPr>
          <w:lang w:val="fr-FR"/>
        </w:rPr>
        <w:t>ième sessi</w:t>
      </w:r>
      <w:r w:rsidR="00FC315A">
        <w:rPr>
          <w:lang w:val="fr-FR"/>
        </w:rPr>
        <w:t>on.  Su</w:t>
      </w:r>
      <w:r>
        <w:rPr>
          <w:lang w:val="fr-FR"/>
        </w:rPr>
        <w:t xml:space="preserve">r la base du résultat de ce réexamen et de cette évaluation, </w:t>
      </w:r>
      <w:r w:rsidR="001A3FF3">
        <w:rPr>
          <w:lang w:val="fr-FR"/>
        </w:rPr>
        <w:t>les événements détaillés provisoires ont été révis</w:t>
      </w:r>
      <w:r w:rsidR="00FC315A">
        <w:rPr>
          <w:lang w:val="fr-FR"/>
        </w:rPr>
        <w:t>és.  Co</w:t>
      </w:r>
      <w:r w:rsidR="001A3FF3">
        <w:rPr>
          <w:lang w:val="fr-FR"/>
        </w:rPr>
        <w:t xml:space="preserve">mpte tenu de la </w:t>
      </w:r>
      <w:r w:rsidR="001A3FF3" w:rsidRPr="001A3FF3">
        <w:rPr>
          <w:lang w:val="fr-FR"/>
        </w:rPr>
        <w:t>complexité découlant de la diversité des pratiques des offices de propriété industrielle</w:t>
      </w:r>
      <w:r w:rsidR="002C4C74" w:rsidRPr="00614C1F">
        <w:rPr>
          <w:lang w:val="fr-FR"/>
        </w:rPr>
        <w:t xml:space="preserve">, </w:t>
      </w:r>
      <w:r w:rsidR="001A3FF3">
        <w:rPr>
          <w:lang w:val="fr-FR"/>
        </w:rPr>
        <w:t xml:space="preserve">une évaluation plus approfondie est nécessaire </w:t>
      </w:r>
      <w:r w:rsidR="005B2CF0">
        <w:rPr>
          <w:lang w:val="fr-FR"/>
        </w:rPr>
        <w:t>pour établir une proposition finale quant aux événements détaillés, qui sera soumise</w:t>
      </w:r>
      <w:r w:rsidR="009C248F">
        <w:rPr>
          <w:lang w:val="fr-FR"/>
        </w:rPr>
        <w:t xml:space="preserve"> au CWS</w:t>
      </w:r>
      <w:r w:rsidR="005B2CF0">
        <w:rPr>
          <w:lang w:val="fr-FR"/>
        </w:rPr>
        <w:t xml:space="preserve"> pour approbation à sa sept</w:t>
      </w:r>
      <w:r w:rsidR="006B51CB">
        <w:rPr>
          <w:lang w:val="fr-FR"/>
        </w:rPr>
        <w:t>ième sessi</w:t>
      </w:r>
      <w:r w:rsidR="00FC315A">
        <w:rPr>
          <w:lang w:val="fr-FR"/>
        </w:rPr>
        <w:t xml:space="preserve">on.  </w:t>
      </w:r>
      <w:r w:rsidR="00FC315A" w:rsidRPr="005B2CF0">
        <w:rPr>
          <w:lang w:val="fr-FR"/>
        </w:rPr>
        <w:t>Le</w:t>
      </w:r>
      <w:r w:rsidR="005B2CF0" w:rsidRPr="005B2CF0">
        <w:rPr>
          <w:lang w:val="fr-FR"/>
        </w:rPr>
        <w:t>s offices de propriété industrielle peuvent s</w:t>
      </w:r>
      <w:r w:rsidR="006B51CB">
        <w:rPr>
          <w:lang w:val="fr-FR"/>
        </w:rPr>
        <w:t>’</w:t>
      </w:r>
      <w:r w:rsidR="005B2CF0" w:rsidRPr="005B2CF0">
        <w:rPr>
          <w:lang w:val="fr-FR"/>
        </w:rPr>
        <w:t>ils le souhaitent échanger des données sur la situation juridique sur la base des catégories et des événements principaux uniquement</w:t>
      </w:r>
      <w:r w:rsidR="002C4C74" w:rsidRPr="00614C1F">
        <w:rPr>
          <w:lang w:val="fr-FR"/>
        </w:rPr>
        <w:t>.</w:t>
      </w:r>
    </w:p>
    <w:p w:rsidR="00BC6D4F" w:rsidRDefault="005B2CF0" w:rsidP="003778F1">
      <w:pPr>
        <w:pStyle w:val="ONUME"/>
        <w:numPr>
          <w:ilvl w:val="0"/>
          <w:numId w:val="0"/>
        </w:numPr>
        <w:ind w:left="284"/>
        <w:rPr>
          <w:rFonts w:eastAsia="Batang"/>
          <w:lang w:val="fr-FR" w:eastAsia="ko-KR"/>
        </w:rPr>
      </w:pPr>
      <w:r>
        <w:rPr>
          <w:lang w:val="fr-FR"/>
        </w:rPr>
        <w:t>Le document d</w:t>
      </w:r>
      <w:r w:rsidR="006B51CB">
        <w:rPr>
          <w:lang w:val="fr-FR"/>
        </w:rPr>
        <w:t>’</w:t>
      </w:r>
      <w:r>
        <w:rPr>
          <w:lang w:val="fr-FR"/>
        </w:rPr>
        <w:t>orientation, qui fait l</w:t>
      </w:r>
      <w:r w:rsidR="006B51CB">
        <w:rPr>
          <w:lang w:val="fr-FR"/>
        </w:rPr>
        <w:t>’</w:t>
      </w:r>
      <w:r>
        <w:rPr>
          <w:lang w:val="fr-FR"/>
        </w:rPr>
        <w:t>objet de l</w:t>
      </w:r>
      <w:r w:rsidR="006B51CB">
        <w:rPr>
          <w:lang w:val="fr-FR"/>
        </w:rPr>
        <w:t>’</w:t>
      </w:r>
      <w:r>
        <w:rPr>
          <w:lang w:val="fr-FR"/>
        </w:rPr>
        <w:t>annexe V de la présente norme, est provisoire et sera réexaminé et évalué par les offices de propriété industrielle et par l</w:t>
      </w:r>
      <w:r w:rsidR="006B51CB">
        <w:rPr>
          <w:lang w:val="fr-FR"/>
        </w:rPr>
        <w:t>’</w:t>
      </w:r>
      <w:r>
        <w:rPr>
          <w:lang w:val="fr-FR"/>
        </w:rPr>
        <w:t>Équipe d</w:t>
      </w:r>
      <w:r w:rsidR="006B51CB">
        <w:rPr>
          <w:lang w:val="fr-FR"/>
        </w:rPr>
        <w:t>’</w:t>
      </w:r>
      <w:r>
        <w:rPr>
          <w:lang w:val="fr-FR"/>
        </w:rPr>
        <w:t xml:space="preserve">experts sur la situation juridique La proposition </w:t>
      </w:r>
      <w:r w:rsidR="00491075" w:rsidRPr="00614C1F">
        <w:rPr>
          <w:lang w:val="fr-FR"/>
        </w:rPr>
        <w:t>final</w:t>
      </w:r>
      <w:r>
        <w:rPr>
          <w:lang w:val="fr-FR"/>
        </w:rPr>
        <w:t>e</w:t>
      </w:r>
      <w:r w:rsidR="00491075" w:rsidRPr="00614C1F">
        <w:rPr>
          <w:lang w:val="fr-FR"/>
        </w:rPr>
        <w:t xml:space="preserve"> </w:t>
      </w:r>
      <w:r>
        <w:rPr>
          <w:lang w:val="fr-FR"/>
        </w:rPr>
        <w:t>sera soumise</w:t>
      </w:r>
      <w:r w:rsidR="009C248F">
        <w:rPr>
          <w:lang w:val="fr-FR"/>
        </w:rPr>
        <w:t xml:space="preserve"> au CWS</w:t>
      </w:r>
      <w:r>
        <w:rPr>
          <w:lang w:val="fr-FR"/>
        </w:rPr>
        <w:t xml:space="preserve"> pour examen et adoption à sa sept</w:t>
      </w:r>
      <w:r w:rsidR="006B51CB">
        <w:rPr>
          <w:lang w:val="fr-FR"/>
        </w:rPr>
        <w:t>ième session</w:t>
      </w:r>
      <w:r w:rsidR="00491075" w:rsidRPr="00614C1F">
        <w:rPr>
          <w:lang w:val="fr-FR"/>
        </w:rPr>
        <w:t>”</w:t>
      </w:r>
      <w:r>
        <w:rPr>
          <w:lang w:val="fr-FR"/>
        </w:rPr>
        <w:t>.</w:t>
      </w:r>
    </w:p>
    <w:p w:rsidR="00BC6D4F" w:rsidRPr="00BC6D4F" w:rsidRDefault="005B2CF0" w:rsidP="00BC6D4F">
      <w:pPr>
        <w:pStyle w:val="ONUMFS"/>
        <w:ind w:left="5533"/>
        <w:rPr>
          <w:i/>
          <w:lang w:val="fr-FR"/>
        </w:rPr>
      </w:pPr>
      <w:r w:rsidRPr="00BC6D4F">
        <w:rPr>
          <w:i/>
          <w:lang w:val="fr-FR"/>
        </w:rPr>
        <w:t>Le CWS est invité</w:t>
      </w:r>
    </w:p>
    <w:p w:rsidR="00BC6D4F" w:rsidRDefault="0025704A" w:rsidP="0025704A">
      <w:pPr>
        <w:pStyle w:val="BodyText"/>
        <w:tabs>
          <w:tab w:val="left" w:pos="6096"/>
          <w:tab w:val="left" w:pos="6600"/>
        </w:tabs>
        <w:ind w:left="5529"/>
        <w:rPr>
          <w:i/>
          <w:lang w:val="fr-FR"/>
        </w:rPr>
      </w:pPr>
      <w:r w:rsidRPr="00614C1F">
        <w:rPr>
          <w:lang w:val="fr-FR"/>
        </w:rPr>
        <w:tab/>
      </w:r>
      <w:r w:rsidR="00716EBF" w:rsidRPr="00614C1F">
        <w:rPr>
          <w:i/>
          <w:lang w:val="fr-FR"/>
        </w:rPr>
        <w:t>a)</w:t>
      </w:r>
      <w:r w:rsidRPr="00614C1F">
        <w:rPr>
          <w:i/>
          <w:lang w:val="fr-FR"/>
        </w:rPr>
        <w:tab/>
      </w:r>
      <w:r w:rsidR="005B2CF0">
        <w:rPr>
          <w:i/>
          <w:lang w:val="fr-FR"/>
        </w:rPr>
        <w:t xml:space="preserve">à prendre </w:t>
      </w:r>
      <w:r w:rsidR="00716EBF" w:rsidRPr="00614C1F">
        <w:rPr>
          <w:i/>
          <w:lang w:val="fr-FR"/>
        </w:rPr>
        <w:t xml:space="preserve">note </w:t>
      </w:r>
      <w:r w:rsidR="005B2CF0">
        <w:rPr>
          <w:i/>
          <w:lang w:val="fr-FR"/>
        </w:rPr>
        <w:t xml:space="preserve">du contenu du présent </w:t>
      </w:r>
      <w:r w:rsidR="00E74596">
        <w:rPr>
          <w:i/>
          <w:lang w:val="fr-FR"/>
        </w:rPr>
        <w:t>document,</w:t>
      </w:r>
    </w:p>
    <w:p w:rsidR="00BC6D4F" w:rsidRDefault="0025704A" w:rsidP="00035A68">
      <w:pPr>
        <w:pStyle w:val="BodyText"/>
        <w:tabs>
          <w:tab w:val="left" w:pos="6096"/>
          <w:tab w:val="left" w:pos="6600"/>
        </w:tabs>
        <w:ind w:left="5528"/>
        <w:rPr>
          <w:i/>
          <w:lang w:val="fr-FR"/>
        </w:rPr>
      </w:pPr>
      <w:r w:rsidRPr="00614C1F">
        <w:rPr>
          <w:i/>
          <w:lang w:val="fr-FR"/>
        </w:rPr>
        <w:tab/>
      </w:r>
      <w:r w:rsidR="00964C14" w:rsidRPr="00614C1F">
        <w:rPr>
          <w:i/>
          <w:lang w:val="fr-FR"/>
        </w:rPr>
        <w:t>b</w:t>
      </w:r>
      <w:r w:rsidR="00716EBF" w:rsidRPr="00614C1F">
        <w:rPr>
          <w:i/>
          <w:lang w:val="fr-FR"/>
        </w:rPr>
        <w:t>)</w:t>
      </w:r>
      <w:r w:rsidRPr="00614C1F">
        <w:rPr>
          <w:i/>
          <w:lang w:val="fr-FR"/>
        </w:rPr>
        <w:tab/>
      </w:r>
      <w:r w:rsidR="005B2CF0">
        <w:rPr>
          <w:i/>
          <w:lang w:val="fr-FR"/>
        </w:rPr>
        <w:t xml:space="preserve">à examiner et à approuver les modifications </w:t>
      </w:r>
      <w:r w:rsidR="00B96781">
        <w:rPr>
          <w:i/>
          <w:lang w:val="fr-FR"/>
        </w:rPr>
        <w:t xml:space="preserve">apportées </w:t>
      </w:r>
      <w:r w:rsidR="00181AAC">
        <w:rPr>
          <w:i/>
          <w:lang w:val="fr-FR"/>
        </w:rPr>
        <w:t xml:space="preserve">à la partie principale </w:t>
      </w:r>
      <w:r w:rsidR="00B96781">
        <w:rPr>
          <w:i/>
          <w:lang w:val="fr-FR"/>
        </w:rPr>
        <w:t xml:space="preserve">et aux </w:t>
      </w:r>
      <w:r w:rsidR="009C248F">
        <w:rPr>
          <w:i/>
          <w:lang w:val="fr-FR"/>
        </w:rPr>
        <w:t>annexes </w:t>
      </w:r>
      <w:r w:rsidR="009C248F" w:rsidRPr="00614C1F">
        <w:rPr>
          <w:i/>
          <w:lang w:val="fr-FR"/>
        </w:rPr>
        <w:t>I</w:t>
      </w:r>
      <w:r w:rsidR="00716EBF" w:rsidRPr="00614C1F">
        <w:rPr>
          <w:i/>
          <w:lang w:val="fr-FR"/>
        </w:rPr>
        <w:t xml:space="preserve"> </w:t>
      </w:r>
      <w:r w:rsidR="00B96781">
        <w:rPr>
          <w:i/>
          <w:lang w:val="fr-FR"/>
        </w:rPr>
        <w:t xml:space="preserve">à </w:t>
      </w:r>
      <w:r w:rsidR="00716EBF" w:rsidRPr="00614C1F">
        <w:rPr>
          <w:i/>
          <w:lang w:val="fr-FR"/>
        </w:rPr>
        <w:t>IV</w:t>
      </w:r>
      <w:r w:rsidR="00491075" w:rsidRPr="00614C1F">
        <w:rPr>
          <w:i/>
          <w:lang w:val="fr-FR"/>
        </w:rPr>
        <w:t xml:space="preserve"> </w:t>
      </w:r>
      <w:r w:rsidR="00B96781">
        <w:rPr>
          <w:i/>
          <w:lang w:val="fr-FR"/>
        </w:rPr>
        <w:t>de la norme </w:t>
      </w:r>
      <w:r w:rsidR="00491075" w:rsidRPr="00614C1F">
        <w:rPr>
          <w:i/>
          <w:lang w:val="fr-FR"/>
        </w:rPr>
        <w:t>ST.27</w:t>
      </w:r>
      <w:r w:rsidR="00B96781">
        <w:rPr>
          <w:i/>
          <w:lang w:val="fr-FR"/>
        </w:rPr>
        <w:t xml:space="preserve"> de l</w:t>
      </w:r>
      <w:r w:rsidR="006B51CB">
        <w:rPr>
          <w:i/>
          <w:lang w:val="fr-FR"/>
        </w:rPr>
        <w:t>’</w:t>
      </w:r>
      <w:r w:rsidR="00B96781">
        <w:rPr>
          <w:i/>
          <w:lang w:val="fr-FR"/>
        </w:rPr>
        <w:t>OMPI</w:t>
      </w:r>
      <w:r w:rsidR="00716EBF" w:rsidRPr="00614C1F">
        <w:rPr>
          <w:i/>
          <w:lang w:val="fr-FR"/>
        </w:rPr>
        <w:t xml:space="preserve">, </w:t>
      </w:r>
      <w:r w:rsidR="00181AAC">
        <w:rPr>
          <w:i/>
          <w:lang w:val="fr-FR"/>
        </w:rPr>
        <w:t>figurant</w:t>
      </w:r>
      <w:r w:rsidR="00B96781">
        <w:rPr>
          <w:i/>
          <w:lang w:val="fr-FR"/>
        </w:rPr>
        <w:t xml:space="preserve"> à l</w:t>
      </w:r>
      <w:r w:rsidR="006B51CB">
        <w:rPr>
          <w:i/>
          <w:lang w:val="fr-FR"/>
        </w:rPr>
        <w:t>’</w:t>
      </w:r>
      <w:r w:rsidR="00B96781">
        <w:rPr>
          <w:i/>
          <w:lang w:val="fr-FR"/>
        </w:rPr>
        <w:t xml:space="preserve">annexe I du présent </w:t>
      </w:r>
      <w:r w:rsidR="00E74596">
        <w:rPr>
          <w:i/>
          <w:lang w:val="fr-FR"/>
        </w:rPr>
        <w:t>document,</w:t>
      </w:r>
    </w:p>
    <w:p w:rsidR="00BC6D4F" w:rsidRDefault="0025704A" w:rsidP="00BC6D4F">
      <w:pPr>
        <w:pStyle w:val="BodyText"/>
        <w:keepLines/>
        <w:tabs>
          <w:tab w:val="left" w:pos="6096"/>
          <w:tab w:val="left" w:pos="6600"/>
        </w:tabs>
        <w:ind w:left="5529"/>
        <w:rPr>
          <w:i/>
          <w:lang w:val="fr-FR"/>
        </w:rPr>
      </w:pPr>
      <w:r w:rsidRPr="00614C1F">
        <w:rPr>
          <w:i/>
          <w:lang w:val="fr-FR"/>
        </w:rPr>
        <w:tab/>
      </w:r>
      <w:r w:rsidR="00964C14" w:rsidRPr="00614C1F">
        <w:rPr>
          <w:i/>
          <w:lang w:val="fr-FR"/>
        </w:rPr>
        <w:t>c</w:t>
      </w:r>
      <w:r w:rsidR="00716EBF" w:rsidRPr="00614C1F">
        <w:rPr>
          <w:i/>
          <w:lang w:val="fr-FR"/>
        </w:rPr>
        <w:t>)</w:t>
      </w:r>
      <w:r w:rsidRPr="00614C1F">
        <w:rPr>
          <w:i/>
          <w:lang w:val="fr-FR"/>
        </w:rPr>
        <w:tab/>
      </w:r>
      <w:r w:rsidR="00B96781">
        <w:rPr>
          <w:i/>
          <w:lang w:val="fr-FR"/>
        </w:rPr>
        <w:t>à examiner et à approuver la proposition de nouvelle annexe V provisoire de la norme </w:t>
      </w:r>
      <w:r w:rsidR="00716EBF" w:rsidRPr="00614C1F">
        <w:rPr>
          <w:i/>
          <w:lang w:val="fr-FR"/>
        </w:rPr>
        <w:t>ST.27</w:t>
      </w:r>
      <w:r w:rsidR="00491075" w:rsidRPr="00614C1F">
        <w:rPr>
          <w:i/>
          <w:lang w:val="fr-FR"/>
        </w:rPr>
        <w:t>,</w:t>
      </w:r>
      <w:r w:rsidR="00716EBF" w:rsidRPr="00614C1F">
        <w:rPr>
          <w:i/>
          <w:lang w:val="fr-FR"/>
        </w:rPr>
        <w:t xml:space="preserve"> </w:t>
      </w:r>
      <w:r w:rsidR="00B96781">
        <w:rPr>
          <w:i/>
          <w:lang w:val="fr-FR"/>
        </w:rPr>
        <w:t>faisant l</w:t>
      </w:r>
      <w:r w:rsidR="006B51CB">
        <w:rPr>
          <w:i/>
          <w:lang w:val="fr-FR"/>
        </w:rPr>
        <w:t>’</w:t>
      </w:r>
      <w:r w:rsidR="00B96781">
        <w:rPr>
          <w:i/>
          <w:lang w:val="fr-FR"/>
        </w:rPr>
        <w:t>objet des pa</w:t>
      </w:r>
      <w:r w:rsidR="00EB075B" w:rsidRPr="00614C1F">
        <w:rPr>
          <w:i/>
          <w:lang w:val="fr-FR"/>
        </w:rPr>
        <w:t>ragraph</w:t>
      </w:r>
      <w:r w:rsidR="00B96781">
        <w:rPr>
          <w:i/>
          <w:lang w:val="fr-FR"/>
        </w:rPr>
        <w:t>e</w:t>
      </w:r>
      <w:r w:rsidR="00EB075B" w:rsidRPr="00614C1F">
        <w:rPr>
          <w:i/>
          <w:lang w:val="fr-FR"/>
        </w:rPr>
        <w:t>s</w:t>
      </w:r>
      <w:r w:rsidR="00B96781">
        <w:rPr>
          <w:i/>
          <w:lang w:val="fr-FR"/>
        </w:rPr>
        <w:t> </w:t>
      </w:r>
      <w:r w:rsidR="00EB075B" w:rsidRPr="00614C1F">
        <w:rPr>
          <w:i/>
          <w:lang w:val="fr-FR"/>
        </w:rPr>
        <w:t xml:space="preserve">9 </w:t>
      </w:r>
      <w:r w:rsidR="00B96781">
        <w:rPr>
          <w:i/>
          <w:lang w:val="fr-FR"/>
        </w:rPr>
        <w:t xml:space="preserve">à </w:t>
      </w:r>
      <w:r w:rsidR="00EB075B" w:rsidRPr="00614C1F">
        <w:rPr>
          <w:i/>
          <w:lang w:val="fr-FR"/>
        </w:rPr>
        <w:t>11</w:t>
      </w:r>
      <w:r w:rsidR="00964C14" w:rsidRPr="00614C1F">
        <w:rPr>
          <w:i/>
          <w:lang w:val="fr-FR"/>
        </w:rPr>
        <w:t xml:space="preserve"> </w:t>
      </w:r>
      <w:r w:rsidR="00B96781">
        <w:rPr>
          <w:i/>
          <w:lang w:val="fr-FR"/>
        </w:rPr>
        <w:t>ci</w:t>
      </w:r>
      <w:r w:rsidR="00314F7A">
        <w:rPr>
          <w:i/>
          <w:lang w:val="fr-FR"/>
        </w:rPr>
        <w:noBreakHyphen/>
      </w:r>
      <w:r w:rsidR="00B96781">
        <w:rPr>
          <w:i/>
          <w:lang w:val="fr-FR"/>
        </w:rPr>
        <w:t>dessus et reproduite à l</w:t>
      </w:r>
      <w:r w:rsidR="006B51CB">
        <w:rPr>
          <w:i/>
          <w:lang w:val="fr-FR"/>
        </w:rPr>
        <w:t>’</w:t>
      </w:r>
      <w:r w:rsidR="00B96781">
        <w:rPr>
          <w:i/>
          <w:lang w:val="fr-FR"/>
        </w:rPr>
        <w:t>annexe II du présent document</w:t>
      </w:r>
      <w:r w:rsidR="00716EBF" w:rsidRPr="00614C1F">
        <w:rPr>
          <w:i/>
          <w:lang w:val="fr-FR"/>
        </w:rPr>
        <w:t>;</w:t>
      </w:r>
      <w:r w:rsidR="00B96781">
        <w:rPr>
          <w:i/>
          <w:lang w:val="fr-FR"/>
        </w:rPr>
        <w:t xml:space="preserve"> </w:t>
      </w:r>
      <w:r w:rsidR="00716EBF" w:rsidRPr="00614C1F">
        <w:rPr>
          <w:i/>
          <w:lang w:val="fr-FR"/>
        </w:rPr>
        <w:t xml:space="preserve"> </w:t>
      </w:r>
      <w:r w:rsidR="00B96781">
        <w:rPr>
          <w:i/>
          <w:lang w:val="fr-FR"/>
        </w:rPr>
        <w:t>et</w:t>
      </w:r>
    </w:p>
    <w:p w:rsidR="00BC6D4F" w:rsidRDefault="007959EB" w:rsidP="0025704A">
      <w:pPr>
        <w:pStyle w:val="BodyText"/>
        <w:tabs>
          <w:tab w:val="left" w:pos="6096"/>
          <w:tab w:val="left" w:pos="6600"/>
        </w:tabs>
        <w:spacing w:after="0"/>
        <w:ind w:left="5528"/>
        <w:rPr>
          <w:i/>
          <w:lang w:val="fr-FR"/>
        </w:rPr>
      </w:pPr>
      <w:r w:rsidRPr="00614C1F">
        <w:rPr>
          <w:i/>
          <w:lang w:val="fr-FR"/>
        </w:rPr>
        <w:tab/>
      </w:r>
      <w:r w:rsidR="003A7821" w:rsidRPr="00614C1F">
        <w:rPr>
          <w:i/>
          <w:lang w:val="fr-FR"/>
        </w:rPr>
        <w:t>d</w:t>
      </w:r>
      <w:r w:rsidR="00716EBF" w:rsidRPr="00614C1F">
        <w:rPr>
          <w:i/>
          <w:lang w:val="fr-FR"/>
        </w:rPr>
        <w:t>)</w:t>
      </w:r>
      <w:r w:rsidRPr="00614C1F">
        <w:rPr>
          <w:i/>
          <w:lang w:val="fr-FR"/>
        </w:rPr>
        <w:tab/>
      </w:r>
      <w:r w:rsidR="00B96781">
        <w:rPr>
          <w:i/>
          <w:lang w:val="fr-FR"/>
        </w:rPr>
        <w:t xml:space="preserve">à examiner et à </w:t>
      </w:r>
      <w:r w:rsidR="00181AAC">
        <w:rPr>
          <w:i/>
          <w:lang w:val="fr-FR"/>
        </w:rPr>
        <w:t>approuver la proposition de modification de l</w:t>
      </w:r>
      <w:r w:rsidR="006B51CB">
        <w:rPr>
          <w:i/>
          <w:lang w:val="fr-FR"/>
        </w:rPr>
        <w:t>’</w:t>
      </w:r>
      <w:r w:rsidR="00181AAC">
        <w:rPr>
          <w:i/>
          <w:lang w:val="fr-FR"/>
        </w:rPr>
        <w:t>avertissement du Bureau international mentionné</w:t>
      </w:r>
      <w:r w:rsidR="009A1216">
        <w:rPr>
          <w:i/>
          <w:lang w:val="fr-FR"/>
        </w:rPr>
        <w:t>e</w:t>
      </w:r>
      <w:r w:rsidR="00181AAC">
        <w:rPr>
          <w:i/>
          <w:lang w:val="fr-FR"/>
        </w:rPr>
        <w:t xml:space="preserve"> au paragraphe 12</w:t>
      </w:r>
      <w:r w:rsidR="00964C14" w:rsidRPr="00614C1F">
        <w:rPr>
          <w:i/>
          <w:lang w:val="fr-FR"/>
        </w:rPr>
        <w:t>.</w:t>
      </w:r>
    </w:p>
    <w:p w:rsidR="00BC6D4F" w:rsidRDefault="00716EBF" w:rsidP="00BC6D4F">
      <w:pPr>
        <w:pStyle w:val="Endofdocument-Annex"/>
        <w:spacing w:before="960"/>
        <w:rPr>
          <w:lang w:val="fr-FR"/>
        </w:rPr>
      </w:pPr>
      <w:r w:rsidRPr="00614C1F">
        <w:rPr>
          <w:lang w:val="fr-FR"/>
        </w:rPr>
        <w:t>[</w:t>
      </w:r>
      <w:r w:rsidR="00181AAC">
        <w:rPr>
          <w:lang w:val="fr-FR"/>
        </w:rPr>
        <w:t>L</w:t>
      </w:r>
      <w:r w:rsidR="006B51CB">
        <w:rPr>
          <w:lang w:val="fr-FR"/>
        </w:rPr>
        <w:t>’</w:t>
      </w:r>
      <w:r w:rsidR="009C248F">
        <w:rPr>
          <w:lang w:val="fr-FR"/>
        </w:rPr>
        <w:t>a</w:t>
      </w:r>
      <w:r w:rsidR="009C248F" w:rsidRPr="00614C1F">
        <w:rPr>
          <w:lang w:val="fr-FR"/>
        </w:rPr>
        <w:t>nnex</w:t>
      </w:r>
      <w:r w:rsidR="009C248F">
        <w:rPr>
          <w:lang w:val="fr-FR"/>
        </w:rPr>
        <w:t>e </w:t>
      </w:r>
      <w:r w:rsidR="009C248F" w:rsidRPr="00614C1F">
        <w:rPr>
          <w:lang w:val="fr-FR"/>
        </w:rPr>
        <w:t>I</w:t>
      </w:r>
      <w:r w:rsidR="00F92C92" w:rsidRPr="00614C1F">
        <w:rPr>
          <w:lang w:val="fr-FR"/>
        </w:rPr>
        <w:t xml:space="preserve"> </w:t>
      </w:r>
      <w:r w:rsidR="00181AAC">
        <w:rPr>
          <w:lang w:val="fr-FR"/>
        </w:rPr>
        <w:t>suit</w:t>
      </w:r>
      <w:r w:rsidRPr="00614C1F">
        <w:rPr>
          <w:lang w:val="fr-FR"/>
        </w:rPr>
        <w:t>]</w:t>
      </w:r>
    </w:p>
    <w:sectPr w:rsidR="00BC6D4F" w:rsidSect="00625351">
      <w:headerReference w:type="even" r:id="rId8"/>
      <w:headerReference w:type="default" r:id="rId9"/>
      <w:footerReference w:type="even" r:id="rId10"/>
      <w:footerReference w:type="first" r:id="rId11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BF" w:rsidRDefault="00716EBF">
      <w:r>
        <w:separator/>
      </w:r>
    </w:p>
  </w:endnote>
  <w:endnote w:type="continuationSeparator" w:id="0">
    <w:p w:rsidR="00716EBF" w:rsidRDefault="00716EBF" w:rsidP="003B38C1">
      <w:r>
        <w:separator/>
      </w:r>
    </w:p>
    <w:p w:rsidR="00716EBF" w:rsidRPr="003B38C1" w:rsidRDefault="00716EB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16EBF" w:rsidRPr="003B38C1" w:rsidRDefault="00716EB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F" w:rsidRDefault="00BC6D4F">
    <w:pPr>
      <w:pStyle w:val="Footer"/>
    </w:pPr>
  </w:p>
  <w:p w:rsidR="00B000EA" w:rsidRDefault="00B00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F" w:rsidRDefault="00BC6D4F">
    <w:pPr>
      <w:pStyle w:val="Footer"/>
    </w:pPr>
  </w:p>
  <w:p w:rsidR="00B000EA" w:rsidRDefault="00B00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BF" w:rsidRDefault="00716EBF">
      <w:r>
        <w:separator/>
      </w:r>
    </w:p>
  </w:footnote>
  <w:footnote w:type="continuationSeparator" w:id="0">
    <w:p w:rsidR="00716EBF" w:rsidRDefault="00716EBF" w:rsidP="008B60B2">
      <w:r>
        <w:separator/>
      </w:r>
    </w:p>
    <w:p w:rsidR="00716EBF" w:rsidRPr="00ED77FB" w:rsidRDefault="00716EB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16EBF" w:rsidRPr="00ED77FB" w:rsidRDefault="00716EB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F" w:rsidRDefault="00BC6D4F">
    <w:pPr>
      <w:pStyle w:val="Header"/>
    </w:pPr>
  </w:p>
  <w:p w:rsidR="00B000EA" w:rsidRDefault="00B00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D4F" w:rsidRDefault="00A8295A">
    <w:pPr>
      <w:pStyle w:val="Header"/>
      <w:jc w:val="right"/>
    </w:pPr>
    <w:r>
      <w:t>CWS/6/12</w:t>
    </w:r>
  </w:p>
  <w:p w:rsidR="00BC6D4F" w:rsidRDefault="00A8295A">
    <w:pPr>
      <w:pStyle w:val="Header"/>
      <w:jc w:val="right"/>
      <w:rPr>
        <w:noProof/>
      </w:rPr>
    </w:pPr>
    <w:r>
      <w:t>page</w:t>
    </w:r>
    <w:r w:rsidR="00B000EA">
      <w:t> </w:t>
    </w:r>
    <w:sdt>
      <w:sdtPr>
        <w:id w:val="8900752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F1A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A8295A" w:rsidRDefault="00A8295A">
    <w:pPr>
      <w:pStyle w:val="Header"/>
      <w:jc w:val="right"/>
      <w:rPr>
        <w:noProof/>
      </w:rPr>
    </w:pPr>
  </w:p>
  <w:p w:rsidR="00587F1A" w:rsidRDefault="00587F1A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6663"/>
        </w:tabs>
        <w:ind w:left="609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9D8EC73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6663"/>
        </w:tabs>
        <w:ind w:left="6096" w:firstLine="0"/>
      </w:pPr>
      <w:rPr>
        <w:i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BF"/>
    <w:rsid w:val="00002EBC"/>
    <w:rsid w:val="0001477E"/>
    <w:rsid w:val="00035A68"/>
    <w:rsid w:val="00043CAA"/>
    <w:rsid w:val="00075432"/>
    <w:rsid w:val="000968ED"/>
    <w:rsid w:val="000A05A2"/>
    <w:rsid w:val="000B4466"/>
    <w:rsid w:val="000B79C8"/>
    <w:rsid w:val="000C69C5"/>
    <w:rsid w:val="000F5E56"/>
    <w:rsid w:val="0011161A"/>
    <w:rsid w:val="001362EE"/>
    <w:rsid w:val="00140CCF"/>
    <w:rsid w:val="001647D5"/>
    <w:rsid w:val="00181AAC"/>
    <w:rsid w:val="001832A6"/>
    <w:rsid w:val="001A3FF3"/>
    <w:rsid w:val="0021217E"/>
    <w:rsid w:val="00237824"/>
    <w:rsid w:val="0025643E"/>
    <w:rsid w:val="0025704A"/>
    <w:rsid w:val="00263116"/>
    <w:rsid w:val="002634C4"/>
    <w:rsid w:val="0028258C"/>
    <w:rsid w:val="0029100C"/>
    <w:rsid w:val="00292777"/>
    <w:rsid w:val="002928D3"/>
    <w:rsid w:val="002942D0"/>
    <w:rsid w:val="002C4C74"/>
    <w:rsid w:val="002F1FE6"/>
    <w:rsid w:val="002F4E68"/>
    <w:rsid w:val="00305D47"/>
    <w:rsid w:val="00312F7F"/>
    <w:rsid w:val="00314F7A"/>
    <w:rsid w:val="00317FD0"/>
    <w:rsid w:val="00324D93"/>
    <w:rsid w:val="003329A0"/>
    <w:rsid w:val="00361450"/>
    <w:rsid w:val="003656D6"/>
    <w:rsid w:val="003673CF"/>
    <w:rsid w:val="003778F1"/>
    <w:rsid w:val="003845C1"/>
    <w:rsid w:val="003A6F89"/>
    <w:rsid w:val="003A7821"/>
    <w:rsid w:val="003B38C1"/>
    <w:rsid w:val="003E130A"/>
    <w:rsid w:val="003E1F75"/>
    <w:rsid w:val="003F3580"/>
    <w:rsid w:val="00423E3E"/>
    <w:rsid w:val="00427AF4"/>
    <w:rsid w:val="00453FB7"/>
    <w:rsid w:val="004647DA"/>
    <w:rsid w:val="00474062"/>
    <w:rsid w:val="00477D6B"/>
    <w:rsid w:val="00491075"/>
    <w:rsid w:val="004C6E4B"/>
    <w:rsid w:val="004D79E4"/>
    <w:rsid w:val="004E6C4A"/>
    <w:rsid w:val="004E6F11"/>
    <w:rsid w:val="005019FF"/>
    <w:rsid w:val="00507267"/>
    <w:rsid w:val="00517D6B"/>
    <w:rsid w:val="0053057A"/>
    <w:rsid w:val="00560A29"/>
    <w:rsid w:val="005675A1"/>
    <w:rsid w:val="00587F1A"/>
    <w:rsid w:val="005B2CF0"/>
    <w:rsid w:val="005C6649"/>
    <w:rsid w:val="00605827"/>
    <w:rsid w:val="00614C1F"/>
    <w:rsid w:val="00617A5F"/>
    <w:rsid w:val="0062220B"/>
    <w:rsid w:val="00625351"/>
    <w:rsid w:val="00646050"/>
    <w:rsid w:val="006713CA"/>
    <w:rsid w:val="00676C5C"/>
    <w:rsid w:val="00680520"/>
    <w:rsid w:val="00685A3F"/>
    <w:rsid w:val="006B51CB"/>
    <w:rsid w:val="006F1210"/>
    <w:rsid w:val="007102BF"/>
    <w:rsid w:val="00716EBF"/>
    <w:rsid w:val="00726320"/>
    <w:rsid w:val="007440FA"/>
    <w:rsid w:val="00766522"/>
    <w:rsid w:val="007834EE"/>
    <w:rsid w:val="007959EB"/>
    <w:rsid w:val="007D1613"/>
    <w:rsid w:val="007E4C0E"/>
    <w:rsid w:val="00861C8B"/>
    <w:rsid w:val="008A134B"/>
    <w:rsid w:val="008A170C"/>
    <w:rsid w:val="008A3249"/>
    <w:rsid w:val="008B2CC1"/>
    <w:rsid w:val="008B60B2"/>
    <w:rsid w:val="008C07D2"/>
    <w:rsid w:val="008C583E"/>
    <w:rsid w:val="008E4771"/>
    <w:rsid w:val="008F7127"/>
    <w:rsid w:val="0090731E"/>
    <w:rsid w:val="00916EE2"/>
    <w:rsid w:val="00917AC9"/>
    <w:rsid w:val="00922B50"/>
    <w:rsid w:val="00927B00"/>
    <w:rsid w:val="00947A64"/>
    <w:rsid w:val="0095258E"/>
    <w:rsid w:val="00964C14"/>
    <w:rsid w:val="00966A22"/>
    <w:rsid w:val="0096722F"/>
    <w:rsid w:val="00980843"/>
    <w:rsid w:val="009A1216"/>
    <w:rsid w:val="009A6665"/>
    <w:rsid w:val="009B76CC"/>
    <w:rsid w:val="009C248F"/>
    <w:rsid w:val="009C7DB0"/>
    <w:rsid w:val="009E2791"/>
    <w:rsid w:val="009E3F6F"/>
    <w:rsid w:val="009F499F"/>
    <w:rsid w:val="00A12B3C"/>
    <w:rsid w:val="00A33C17"/>
    <w:rsid w:val="00A37342"/>
    <w:rsid w:val="00A42DAF"/>
    <w:rsid w:val="00A438A9"/>
    <w:rsid w:val="00A45BD8"/>
    <w:rsid w:val="00A67107"/>
    <w:rsid w:val="00A8295A"/>
    <w:rsid w:val="00A869B7"/>
    <w:rsid w:val="00AC205C"/>
    <w:rsid w:val="00AC4385"/>
    <w:rsid w:val="00AF0A6B"/>
    <w:rsid w:val="00B000EA"/>
    <w:rsid w:val="00B05A69"/>
    <w:rsid w:val="00B12F15"/>
    <w:rsid w:val="00B1621A"/>
    <w:rsid w:val="00B80826"/>
    <w:rsid w:val="00B83FF0"/>
    <w:rsid w:val="00B96781"/>
    <w:rsid w:val="00B9734B"/>
    <w:rsid w:val="00BA30E2"/>
    <w:rsid w:val="00BB4541"/>
    <w:rsid w:val="00BB5403"/>
    <w:rsid w:val="00BC6D4F"/>
    <w:rsid w:val="00BF734B"/>
    <w:rsid w:val="00BF7727"/>
    <w:rsid w:val="00C05446"/>
    <w:rsid w:val="00C11BFE"/>
    <w:rsid w:val="00C171A2"/>
    <w:rsid w:val="00C5028D"/>
    <w:rsid w:val="00C5068F"/>
    <w:rsid w:val="00C5491A"/>
    <w:rsid w:val="00C86D74"/>
    <w:rsid w:val="00CA455B"/>
    <w:rsid w:val="00CB7942"/>
    <w:rsid w:val="00CD04F1"/>
    <w:rsid w:val="00CD59F2"/>
    <w:rsid w:val="00D3124F"/>
    <w:rsid w:val="00D45252"/>
    <w:rsid w:val="00D71B4D"/>
    <w:rsid w:val="00D82EFD"/>
    <w:rsid w:val="00D85F6E"/>
    <w:rsid w:val="00D93D55"/>
    <w:rsid w:val="00DA031C"/>
    <w:rsid w:val="00DA04D7"/>
    <w:rsid w:val="00DB789B"/>
    <w:rsid w:val="00E15015"/>
    <w:rsid w:val="00E207F8"/>
    <w:rsid w:val="00E3336B"/>
    <w:rsid w:val="00E335FE"/>
    <w:rsid w:val="00E44253"/>
    <w:rsid w:val="00E74596"/>
    <w:rsid w:val="00EA3419"/>
    <w:rsid w:val="00EA7D6E"/>
    <w:rsid w:val="00EB075B"/>
    <w:rsid w:val="00EC4E49"/>
    <w:rsid w:val="00ED77FB"/>
    <w:rsid w:val="00EE45FA"/>
    <w:rsid w:val="00EF71B9"/>
    <w:rsid w:val="00F15D4D"/>
    <w:rsid w:val="00F66152"/>
    <w:rsid w:val="00F84EC6"/>
    <w:rsid w:val="00F92C92"/>
    <w:rsid w:val="00FC315A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9143BCC"/>
  <w15:docId w15:val="{F32E8E02-0DF7-47ED-9C46-755014B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6D4F"/>
    <w:pPr>
      <w:keepNext/>
      <w:spacing w:before="240" w:after="22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6D4F"/>
    <w:pPr>
      <w:keepNext/>
      <w:spacing w:before="240" w:after="22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rsid w:val="00716EBF"/>
    <w:rPr>
      <w:rFonts w:ascii="Arial" w:eastAsia="SimSun" w:hAnsi="Arial" w:cs="Arial"/>
      <w:sz w:val="22"/>
      <w:lang w:val="en-US" w:eastAsia="zh-CN"/>
    </w:rPr>
  </w:style>
  <w:style w:type="paragraph" w:customStyle="1" w:styleId="H3-Decision">
    <w:name w:val="H3-Decision"/>
    <w:basedOn w:val="Heading3"/>
    <w:link w:val="H3-DecisionChar"/>
    <w:rsid w:val="00716EBF"/>
    <w:pPr>
      <w:spacing w:before="0" w:after="240"/>
      <w:ind w:left="4536"/>
    </w:pPr>
    <w:rPr>
      <w:rFonts w:ascii="Times New Roman" w:eastAsia="Times New Roman" w:hAnsi="Times New Roman" w:cs="Times New Roman"/>
      <w:bCs w:val="0"/>
      <w:i/>
      <w:sz w:val="24"/>
      <w:szCs w:val="24"/>
      <w:u w:val="none"/>
    </w:rPr>
  </w:style>
  <w:style w:type="character" w:customStyle="1" w:styleId="H3-DecisionChar">
    <w:name w:val="H3-Decision Char"/>
    <w:link w:val="H3-Decision"/>
    <w:rsid w:val="00716EBF"/>
    <w:rPr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716EBF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3C17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E333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336B"/>
    <w:rPr>
      <w:rFonts w:ascii="Segoe UI" w:eastAsia="SimSun" w:hAnsi="Segoe UI" w:cs="Segoe UI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CA455B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E745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6 (E)</Template>
  <TotalTime>372</TotalTime>
  <Pages>4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CWS/6/12 (in French)</vt:lpstr>
    </vt:vector>
  </TitlesOfParts>
  <Company>OMPI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CWS/6/12 (in French)</dc:title>
  <dc:subject>RÉVISION DE LA NORME ST.27 DE L’OMPI</dc:subject>
  <dc:creator>OMPI</dc:creator>
  <cp:keywords>CWS</cp:keywords>
  <cp:lastModifiedBy>DRAKE Sophie</cp:lastModifiedBy>
  <cp:revision>43</cp:revision>
  <cp:lastPrinted>2018-09-19T09:54:00Z</cp:lastPrinted>
  <dcterms:created xsi:type="dcterms:W3CDTF">2018-09-20T06:28:00Z</dcterms:created>
  <dcterms:modified xsi:type="dcterms:W3CDTF">2018-10-11T07:16:00Z</dcterms:modified>
  <cp:category>CWS (in French)</cp:category>
</cp:coreProperties>
</file>