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E5A26" w:rsidRPr="00C85BF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85BF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85BFF" w:rsidRDefault="0060181F" w:rsidP="00AB613D">
            <w:r w:rsidRPr="00C85BFF">
              <w:rPr>
                <w:noProof/>
                <w:lang w:val="de-DE" w:eastAsia="de-DE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85BFF" w:rsidRDefault="00E504E5" w:rsidP="00AB613D">
            <w:pPr>
              <w:jc w:val="right"/>
            </w:pPr>
            <w:r w:rsidRPr="00C85BFF">
              <w:rPr>
                <w:b/>
                <w:sz w:val="40"/>
                <w:szCs w:val="40"/>
              </w:rPr>
              <w:t>S</w:t>
            </w:r>
          </w:p>
        </w:tc>
      </w:tr>
      <w:tr w:rsidR="005E5A26" w:rsidRPr="00C85BF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85BFF" w:rsidRDefault="003B3862" w:rsidP="00EA15C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C85BFF">
              <w:rPr>
                <w:rFonts w:ascii="Arial Black" w:hAnsi="Arial Black"/>
                <w:caps/>
                <w:sz w:val="15"/>
              </w:rPr>
              <w:t>CWs/7/</w:t>
            </w:r>
            <w:r w:rsidR="00EA15C7" w:rsidRPr="00C85BFF">
              <w:rPr>
                <w:rFonts w:ascii="Arial Black" w:hAnsi="Arial Black"/>
                <w:caps/>
                <w:sz w:val="15"/>
              </w:rPr>
              <w:t>25</w:t>
            </w:r>
          </w:p>
        </w:tc>
      </w:tr>
      <w:tr w:rsidR="005E5A26" w:rsidRPr="00C85BF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85BFF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85BFF">
              <w:rPr>
                <w:rFonts w:ascii="Arial Black" w:hAnsi="Arial Black"/>
                <w:caps/>
                <w:sz w:val="15"/>
              </w:rPr>
              <w:t>ORIGINAL:</w:t>
            </w:r>
            <w:r w:rsidR="007A2CFE" w:rsidRPr="00C85BFF">
              <w:rPr>
                <w:rFonts w:ascii="Arial Black" w:hAnsi="Arial Black"/>
                <w:caps/>
                <w:sz w:val="15"/>
              </w:rPr>
              <w:t xml:space="preserve"> INGLÉS</w:t>
            </w:r>
            <w:r w:rsidR="00E9340A" w:rsidRPr="00C85BF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5E5A26" w:rsidRPr="00C85BF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85BFF" w:rsidRDefault="00675021" w:rsidP="00EA15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85BF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85BFF">
              <w:rPr>
                <w:rFonts w:ascii="Arial Black" w:hAnsi="Arial Black"/>
                <w:caps/>
                <w:sz w:val="15"/>
              </w:rPr>
              <w:t>:</w:t>
            </w:r>
            <w:r w:rsidR="007A2CFE" w:rsidRPr="00C85BFF">
              <w:rPr>
                <w:rFonts w:ascii="Arial Black" w:hAnsi="Arial Black"/>
                <w:caps/>
                <w:sz w:val="15"/>
              </w:rPr>
              <w:t xml:space="preserve"> </w:t>
            </w:r>
            <w:r w:rsidR="00EA15C7" w:rsidRPr="00C85BFF">
              <w:rPr>
                <w:rFonts w:ascii="Arial Black" w:hAnsi="Arial Black"/>
                <w:caps/>
                <w:sz w:val="15"/>
              </w:rPr>
              <w:t>21</w:t>
            </w:r>
            <w:r w:rsidR="007A2CFE" w:rsidRPr="00C85BFF">
              <w:rPr>
                <w:rFonts w:ascii="Arial Black" w:hAnsi="Arial Black"/>
                <w:caps/>
                <w:sz w:val="15"/>
              </w:rPr>
              <w:t xml:space="preserve"> DE MAYO DE 2019</w:t>
            </w:r>
            <w:r w:rsidR="00E9340A" w:rsidRPr="00C85BF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E36014" w:rsidRPr="00C85BFF" w:rsidRDefault="00E36014" w:rsidP="008B2CC1"/>
    <w:p w:rsidR="00E36014" w:rsidRPr="00C85BFF" w:rsidRDefault="00E36014" w:rsidP="008B2CC1"/>
    <w:p w:rsidR="00E36014" w:rsidRPr="00C85BFF" w:rsidRDefault="00E36014" w:rsidP="008B2CC1"/>
    <w:p w:rsidR="00E36014" w:rsidRPr="00C85BFF" w:rsidRDefault="00E36014" w:rsidP="008B2CC1"/>
    <w:p w:rsidR="00EA15C7" w:rsidRPr="00C85BFF" w:rsidRDefault="00EA15C7" w:rsidP="00EA15C7">
      <w:pPr>
        <w:rPr>
          <w:b/>
          <w:sz w:val="28"/>
          <w:szCs w:val="28"/>
        </w:rPr>
      </w:pPr>
      <w:r w:rsidRPr="00C85BFF">
        <w:rPr>
          <w:b/>
          <w:sz w:val="28"/>
          <w:szCs w:val="28"/>
        </w:rPr>
        <w:t>Comité de Normas Técnicas de la OMPI (CWS)</w:t>
      </w:r>
    </w:p>
    <w:p w:rsidR="00EA15C7" w:rsidRPr="00C85BFF" w:rsidRDefault="00EA15C7" w:rsidP="00EA15C7"/>
    <w:p w:rsidR="00EA15C7" w:rsidRPr="00C85BFF" w:rsidRDefault="00EA15C7" w:rsidP="00EA15C7"/>
    <w:p w:rsidR="00EA15C7" w:rsidRPr="00C85BFF" w:rsidRDefault="00EA15C7" w:rsidP="00EA15C7">
      <w:pPr>
        <w:rPr>
          <w:b/>
          <w:sz w:val="24"/>
          <w:szCs w:val="24"/>
        </w:rPr>
      </w:pPr>
      <w:r w:rsidRPr="00C85BFF">
        <w:rPr>
          <w:b/>
          <w:sz w:val="24"/>
          <w:szCs w:val="24"/>
        </w:rPr>
        <w:t>Séptima sesión</w:t>
      </w:r>
    </w:p>
    <w:p w:rsidR="00EA15C7" w:rsidRPr="00C85BFF" w:rsidRDefault="00EA15C7" w:rsidP="00EA15C7">
      <w:pPr>
        <w:rPr>
          <w:b/>
          <w:sz w:val="24"/>
          <w:szCs w:val="24"/>
        </w:rPr>
      </w:pPr>
      <w:r w:rsidRPr="00C85BFF">
        <w:rPr>
          <w:b/>
          <w:sz w:val="24"/>
          <w:szCs w:val="24"/>
        </w:rPr>
        <w:t>Ginebra, 1 a 5 de julio de 2019</w:t>
      </w:r>
    </w:p>
    <w:p w:rsidR="00EA15C7" w:rsidRPr="00C85BFF" w:rsidRDefault="00EA15C7" w:rsidP="00EA15C7"/>
    <w:p w:rsidR="00EA15C7" w:rsidRPr="00C85BFF" w:rsidRDefault="00EA15C7" w:rsidP="00EA15C7"/>
    <w:p w:rsidR="00EA15C7" w:rsidRPr="00C85BFF" w:rsidRDefault="00EA15C7" w:rsidP="00EA15C7"/>
    <w:p w:rsidR="00EA15C7" w:rsidRPr="00C85BFF" w:rsidRDefault="00EA15C7" w:rsidP="00EA15C7">
      <w:pPr>
        <w:rPr>
          <w:caps/>
          <w:sz w:val="24"/>
        </w:rPr>
      </w:pPr>
      <w:bookmarkStart w:id="3" w:name="TitleOfDoc"/>
      <w:bookmarkStart w:id="4" w:name="_GoBack"/>
      <w:bookmarkEnd w:id="3"/>
      <w:r w:rsidRPr="00C85BFF">
        <w:rPr>
          <w:caps/>
          <w:sz w:val="24"/>
        </w:rPr>
        <w:t>PROPUESTA DEL EQUIPO TÉCNICO DE ACCESO PÚBLICO A LA INFORMACIÓN CONTENIDA EN LAS PATENTES SOBRE UN CUESTIONARIO RELATIVO AL ACCESO A INFORMACIÓN PÚBLICA SOBRE PATENTES</w:t>
      </w:r>
    </w:p>
    <w:bookmarkEnd w:id="4"/>
    <w:p w:rsidR="00EA15C7" w:rsidRPr="00C85BFF" w:rsidRDefault="00EA15C7" w:rsidP="00EA15C7"/>
    <w:p w:rsidR="00EA15C7" w:rsidRPr="00C85BFF" w:rsidRDefault="005E5A26" w:rsidP="00EA15C7">
      <w:pPr>
        <w:rPr>
          <w:i/>
        </w:rPr>
      </w:pPr>
      <w:bookmarkStart w:id="5" w:name="Prepared"/>
      <w:bookmarkEnd w:id="5"/>
      <w:r w:rsidRPr="00C85BFF">
        <w:rPr>
          <w:i/>
        </w:rPr>
        <w:t>p</w:t>
      </w:r>
      <w:r w:rsidR="00EA15C7" w:rsidRPr="00C85BFF">
        <w:rPr>
          <w:i/>
        </w:rPr>
        <w:t>reparad</w:t>
      </w:r>
      <w:r w:rsidRPr="00C85BFF">
        <w:rPr>
          <w:i/>
        </w:rPr>
        <w:t>a</w:t>
      </w:r>
      <w:r w:rsidR="00EA15C7" w:rsidRPr="00C85BFF">
        <w:rPr>
          <w:i/>
        </w:rPr>
        <w:t xml:space="preserve"> por la Oficina Internacional</w:t>
      </w:r>
    </w:p>
    <w:p w:rsidR="00EA15C7" w:rsidRPr="00C85BFF" w:rsidRDefault="00EA15C7" w:rsidP="00EA15C7"/>
    <w:p w:rsidR="00EA15C7" w:rsidRPr="00C85BFF" w:rsidRDefault="00EA15C7" w:rsidP="00EA15C7"/>
    <w:p w:rsidR="00EA15C7" w:rsidRPr="00C85BFF" w:rsidRDefault="00EA15C7" w:rsidP="00EA15C7">
      <w:pPr>
        <w:rPr>
          <w:u w:val="single"/>
        </w:rPr>
      </w:pPr>
    </w:p>
    <w:p w:rsidR="00EA15C7" w:rsidRPr="00C85BFF" w:rsidRDefault="00EA15C7" w:rsidP="00EA15C7"/>
    <w:p w:rsidR="00EA15C7" w:rsidRPr="00C85BFF" w:rsidRDefault="00EA15C7" w:rsidP="00EA15C7"/>
    <w:p w:rsidR="00EA15C7" w:rsidRPr="00C85BFF" w:rsidRDefault="00EA15C7" w:rsidP="00EA15C7">
      <w:pPr>
        <w:pStyle w:val="Heading2"/>
        <w:spacing w:before="0"/>
        <w:rPr>
          <w:rFonts w:eastAsia="Malgun Gothic"/>
          <w:szCs w:val="22"/>
        </w:rPr>
      </w:pPr>
      <w:r w:rsidRPr="00C85BFF">
        <w:rPr>
          <w:rFonts w:eastAsia="Malgun Gothic"/>
          <w:szCs w:val="22"/>
        </w:rPr>
        <w:t>ANTECEDENTES</w:t>
      </w:r>
    </w:p>
    <w:p w:rsidR="005E5A26" w:rsidRPr="00C85BFF" w:rsidRDefault="00EA15C7" w:rsidP="00EA15C7">
      <w:pPr>
        <w:pStyle w:val="ONUME"/>
        <w:numPr>
          <w:ilvl w:val="0"/>
          <w:numId w:val="0"/>
        </w:numPr>
      </w:pPr>
      <w:r w:rsidRPr="00C85BFF">
        <w:fldChar w:fldCharType="begin"/>
      </w:r>
      <w:r w:rsidRPr="00C85BFF">
        <w:instrText xml:space="preserve"> AUTONUM  </w:instrText>
      </w:r>
      <w:r w:rsidRPr="00C85BFF">
        <w:fldChar w:fldCharType="end"/>
      </w:r>
      <w:r w:rsidRPr="00C85BFF">
        <w:tab/>
        <w:t xml:space="preserve">El Comité de Normas Técnicas de la OMPI (CWS), en la reanudación de su cuarta sesión, celebrada en marzo de 2016, tomó nota de la solicitud y de la información proporcionada por el </w:t>
      </w:r>
      <w:r w:rsidRPr="00C85BFF">
        <w:rPr>
          <w:i/>
        </w:rPr>
        <w:t>Patent Documentation Group</w:t>
      </w:r>
      <w:r w:rsidRPr="00C85BFF">
        <w:t xml:space="preserve"> (PDG) en relación con los requisitos de los registros naciona</w:t>
      </w:r>
      <w:r w:rsidR="00B25257" w:rsidRPr="00C85BFF">
        <w:t xml:space="preserve">les y regionales de patentes. </w:t>
      </w:r>
      <w:r w:rsidRPr="00C85BFF">
        <w:t xml:space="preserve">El CWS convino, en concreto, en recopilar las prácticas de las oficinas de propiedad industrial </w:t>
      </w:r>
      <w:r w:rsidR="00B25257" w:rsidRPr="00C85BFF">
        <w:t xml:space="preserve">(OPI) </w:t>
      </w:r>
      <w:r w:rsidRPr="00C85BFF">
        <w:t>en relación con el contenido, las funcionalidades y los planes futuros de sus registros de patentes (véase el Anexo III del documento CWS/4BIS/6).</w:t>
      </w:r>
    </w:p>
    <w:p w:rsidR="005E5A26" w:rsidRPr="00C85BFF" w:rsidRDefault="00EA15C7" w:rsidP="00EA15C7">
      <w:pPr>
        <w:pStyle w:val="ONUME"/>
        <w:numPr>
          <w:ilvl w:val="0"/>
          <w:numId w:val="0"/>
        </w:numPr>
        <w:rPr>
          <w:rFonts w:eastAsia="Malgun Gothic"/>
        </w:rPr>
      </w:pPr>
      <w:r w:rsidRPr="00C85BFF">
        <w:fldChar w:fldCharType="begin"/>
      </w:r>
      <w:r w:rsidRPr="00C85BFF">
        <w:instrText xml:space="preserve"> AUTONUM  </w:instrText>
      </w:r>
      <w:r w:rsidRPr="00C85BFF">
        <w:fldChar w:fldCharType="end"/>
      </w:r>
      <w:r w:rsidRPr="00C85BFF">
        <w:tab/>
        <w:t>El CWS, en su quinta sesión, celebrada en 2017, creó la nueva Tarea N.º 52:</w:t>
      </w:r>
    </w:p>
    <w:p w:rsidR="00EA15C7" w:rsidRPr="00C85BFF" w:rsidRDefault="00EA15C7" w:rsidP="00EA15C7">
      <w:pPr>
        <w:pStyle w:val="ONUME"/>
        <w:numPr>
          <w:ilvl w:val="0"/>
          <w:numId w:val="0"/>
        </w:numPr>
        <w:ind w:left="567"/>
        <w:rPr>
          <w:rFonts w:eastAsia="Malgun Gothic"/>
        </w:rPr>
      </w:pPr>
      <w:r w:rsidRPr="00C85BFF">
        <w:rPr>
          <w:rFonts w:eastAsia="Malgun Gothic"/>
        </w:rPr>
        <w:t>“Encuesta sobre el contenido y las funcionalidades de los sistemas para facilitar el acceso a la información contenida en las patentes que publican las oficinas de propiedad industrial, así como sus planes para el futuro en relación con sus prácticas en materia de publicación;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>preparar recomendaciones relativas a los sistemas para facilitar el acceso a la información contenida en las patentes que publican las oficinas de propiedad industrial” (véanse los párrafos 94 a 96 del documento CWS/5/22)</w:t>
      </w:r>
    </w:p>
    <w:p w:rsidR="00EA15C7" w:rsidRPr="00C85BFF" w:rsidRDefault="00EA15C7" w:rsidP="00EA15C7">
      <w:pPr>
        <w:pStyle w:val="ONUME"/>
        <w:numPr>
          <w:ilvl w:val="0"/>
          <w:numId w:val="0"/>
        </w:numPr>
      </w:pPr>
      <w:r w:rsidRPr="00C85BFF">
        <w:fldChar w:fldCharType="begin"/>
      </w:r>
      <w:r w:rsidRPr="00C85BFF">
        <w:instrText xml:space="preserve"> AUTONUM  </w:instrText>
      </w:r>
      <w:r w:rsidRPr="00C85BFF">
        <w:fldChar w:fldCharType="end"/>
      </w:r>
      <w:r w:rsidRPr="00C85BFF">
        <w:tab/>
        <w:t>El CWS también creó el Equipo Técnico de Acceso Público a la Información Contenida en las Patentes para llevar a cabo la Tarea N.º 52 y designó a la Oficina Internacional de la OMPI como responsable del Equipo Técnico.</w:t>
      </w:r>
      <w:r w:rsidR="005E5A26" w:rsidRPr="00C85BFF">
        <w:t xml:space="preserve"> </w:t>
      </w:r>
      <w:r w:rsidRPr="00C85BFF">
        <w:t>El CWS solicitó al Equipo Técnico establecido que tuviera en cuenta los conocimientos recabados durante la labor de mantenimiento del Portal del Registros de Patentes y los resultados de la labor del Equipo Técnico de la Situación Jurídica.</w:t>
      </w:r>
      <w:r w:rsidR="005E5A26" w:rsidRPr="00C85BFF">
        <w:t xml:space="preserve"> </w:t>
      </w:r>
      <w:r w:rsidRPr="00C85BFF">
        <w:t>(Véanse los párrafos 97 a 100 del documento CWS/5/22).</w:t>
      </w:r>
    </w:p>
    <w:p w:rsidR="00EA15C7" w:rsidRPr="00C85BFF" w:rsidRDefault="00EA15C7" w:rsidP="00EA15C7">
      <w:pPr>
        <w:keepLines/>
      </w:pPr>
      <w:r w:rsidRPr="00C85BFF">
        <w:rPr>
          <w:rFonts w:eastAsia="Malgun Gothic"/>
        </w:rPr>
        <w:lastRenderedPageBreak/>
        <w:fldChar w:fldCharType="begin"/>
      </w:r>
      <w:r w:rsidRPr="00C85BFF">
        <w:rPr>
          <w:rFonts w:eastAsia="Malgun Gothic"/>
        </w:rPr>
        <w:instrText xml:space="preserve"> AUTONUM  </w:instrText>
      </w:r>
      <w:r w:rsidRPr="00C85BFF">
        <w:rPr>
          <w:rFonts w:eastAsia="Malgun Gothic"/>
        </w:rPr>
        <w:fldChar w:fldCharType="end"/>
      </w:r>
      <w:r w:rsidRPr="00C85BFF">
        <w:rPr>
          <w:rFonts w:eastAsia="Malgun Gothic"/>
        </w:rPr>
        <w:tab/>
        <w:t xml:space="preserve">El Equipo Técnico de Acceso Público a la Información Contenida en las Patentes comenzó sus operaciones en septiembre de 2017, y actualmente 32 expertos designados por las oficinas de propiedad </w:t>
      </w:r>
      <w:r w:rsidR="00B25257" w:rsidRPr="00C85BFF">
        <w:rPr>
          <w:rFonts w:eastAsia="Malgun Gothic"/>
        </w:rPr>
        <w:t>industrial</w:t>
      </w:r>
      <w:r w:rsidRPr="00C85BFF">
        <w:rPr>
          <w:rFonts w:eastAsia="Malgun Gothic"/>
        </w:rPr>
        <w:t xml:space="preserve"> (OPI</w:t>
      </w:r>
      <w:proofErr w:type="gramStart"/>
      <w:r w:rsidRPr="00C85BFF">
        <w:rPr>
          <w:rFonts w:eastAsia="Malgun Gothic"/>
        </w:rPr>
        <w:t>) ,</w:t>
      </w:r>
      <w:proofErr w:type="gramEnd"/>
      <w:r w:rsidRPr="00C85BFF">
        <w:rPr>
          <w:rFonts w:eastAsia="Malgun Gothic"/>
        </w:rPr>
        <w:t xml:space="preserve"> junto con grupos del sector y la Oficina Internacional, que forman parte del Equipo Técnico.</w:t>
      </w:r>
      <w:r w:rsidR="005E5A26" w:rsidRPr="00C85BFF">
        <w:t xml:space="preserve"> </w:t>
      </w:r>
      <w:r w:rsidR="00B25257" w:rsidRPr="00C85BFF">
        <w:t>Entre los</w:t>
      </w:r>
      <w:r w:rsidRPr="00C85BFF">
        <w:t xml:space="preserve"> miembros del Equipo Técnico </w:t>
      </w:r>
      <w:r w:rsidR="00B25257" w:rsidRPr="00C85BFF">
        <w:t xml:space="preserve">se encuentran </w:t>
      </w:r>
      <w:r w:rsidRPr="00C85BFF">
        <w:t xml:space="preserve">Chile, China, Alemania, el Reino Unido, la India, el Japón, la República de Corea, la Federación de Rusia, Eslovaquia y Ucrania, junto con la </w:t>
      </w:r>
      <w:r w:rsidRPr="00C85BFF">
        <w:rPr>
          <w:i/>
        </w:rPr>
        <w:t>Confederacy of European Patent Information User Groups</w:t>
      </w:r>
      <w:r w:rsidRPr="00C85BFF">
        <w:t xml:space="preserve"> (CEPIUG) y el </w:t>
      </w:r>
      <w:r w:rsidRPr="00C85BFF">
        <w:rPr>
          <w:i/>
        </w:rPr>
        <w:t xml:space="preserve">Patent Documentation Group </w:t>
      </w:r>
      <w:r w:rsidRPr="00C85BFF">
        <w:t>(PDG).</w:t>
      </w:r>
    </w:p>
    <w:p w:rsidR="00EA15C7" w:rsidRPr="00C85BFF" w:rsidRDefault="00EA15C7" w:rsidP="00EA15C7">
      <w:pPr>
        <w:pStyle w:val="Heading2"/>
      </w:pPr>
      <w:r w:rsidRPr="00C85BFF">
        <w:t>PROYECTO DE CUESTIONARIO PARA LA ENCUESTA</w:t>
      </w:r>
    </w:p>
    <w:p w:rsidR="00EA15C7" w:rsidRPr="00C85BFF" w:rsidRDefault="00EA15C7" w:rsidP="00EA15C7">
      <w:pPr>
        <w:spacing w:after="220"/>
        <w:rPr>
          <w:rFonts w:eastAsia="Malgun Gothic"/>
        </w:rPr>
      </w:pPr>
      <w:r w:rsidRPr="00C85BFF">
        <w:rPr>
          <w:rFonts w:eastAsia="Malgun Gothic"/>
        </w:rPr>
        <w:fldChar w:fldCharType="begin"/>
      </w:r>
      <w:r w:rsidRPr="00C85BFF">
        <w:rPr>
          <w:rFonts w:eastAsia="Malgun Gothic"/>
        </w:rPr>
        <w:instrText xml:space="preserve"> AUTONUM  </w:instrText>
      </w:r>
      <w:r w:rsidRPr="00C85BFF">
        <w:rPr>
          <w:rFonts w:eastAsia="Malgun Gothic"/>
        </w:rPr>
        <w:fldChar w:fldCharType="end"/>
      </w:r>
      <w:r w:rsidRPr="00C85BFF">
        <w:rPr>
          <w:rFonts w:eastAsia="Malgun Gothic"/>
        </w:rPr>
        <w:tab/>
        <w:t>De conformidad con la decisión del CWS, el Equipo Técnico de Acceso Público a la Información Contenida en las Patentes llevó a cabo cinco rondas de debate con anterioridad a la sesión del CWS con el fin de preparar una propuesta de cuestionario acerca del contenido y las funcionalidades de los sistemas para facilitar el acceso a la información sobre patentes de dominio público.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>Se presentó el cuestionario en la sexta sesión del CWS. La Oficina Internacional solicitó aclaraciones a las delegaciones sobre ciertas cuestiones planteadas en el cuestionario.</w:t>
      </w:r>
      <w:r w:rsidR="005E5A26" w:rsidRPr="00C85BFF">
        <w:rPr>
          <w:szCs w:val="22"/>
        </w:rPr>
        <w:t xml:space="preserve"> </w:t>
      </w:r>
      <w:r w:rsidRPr="00C85BFF">
        <w:rPr>
          <w:szCs w:val="22"/>
        </w:rPr>
        <w:t>El CWS remitió el cuestionario al Equipo Técnico de Acceso Público a la Información Contenida en las Patentes para que vuelva a ser examinado.</w:t>
      </w:r>
      <w:r w:rsidR="005E5A26" w:rsidRPr="00C85BFF">
        <w:rPr>
          <w:szCs w:val="22"/>
        </w:rPr>
        <w:t xml:space="preserve"> </w:t>
      </w:r>
      <w:r w:rsidRPr="00C85BFF">
        <w:rPr>
          <w:szCs w:val="22"/>
        </w:rPr>
        <w:t>Asimismo, pidió al Equipo Técnico que presente una propuesta de cuestionario revisado en su séptima sesión.</w:t>
      </w:r>
    </w:p>
    <w:p w:rsidR="00EA15C7" w:rsidRPr="00C85BFF" w:rsidRDefault="00EA15C7" w:rsidP="00EA15C7">
      <w:pPr>
        <w:spacing w:after="220"/>
        <w:rPr>
          <w:rFonts w:eastAsia="Malgun Gothic"/>
        </w:rPr>
      </w:pPr>
      <w:r w:rsidRPr="00C85BFF">
        <w:rPr>
          <w:rFonts w:eastAsia="Malgun Gothic"/>
        </w:rPr>
        <w:fldChar w:fldCharType="begin"/>
      </w:r>
      <w:r w:rsidRPr="00C85BFF">
        <w:rPr>
          <w:rFonts w:eastAsia="Malgun Gothic"/>
        </w:rPr>
        <w:instrText xml:space="preserve"> AUTONUM  </w:instrText>
      </w:r>
      <w:r w:rsidRPr="00C85BFF">
        <w:rPr>
          <w:rFonts w:eastAsia="Malgun Gothic"/>
        </w:rPr>
        <w:fldChar w:fldCharType="end"/>
      </w:r>
      <w:r w:rsidRPr="00C85BFF">
        <w:rPr>
          <w:rFonts w:eastAsia="Malgun Gothic"/>
        </w:rPr>
        <w:tab/>
        <w:t xml:space="preserve">El Equipo Técnico de la Acceso Público a la Información Contenida en las Patentes celebró </w:t>
      </w:r>
      <w:r w:rsidR="00B25257" w:rsidRPr="00C85BFF">
        <w:rPr>
          <w:rFonts w:eastAsia="Malgun Gothic"/>
        </w:rPr>
        <w:t>tres rondas de debate</w:t>
      </w:r>
      <w:r w:rsidRPr="00C85BFF">
        <w:rPr>
          <w:rFonts w:eastAsia="Malgun Gothic"/>
        </w:rPr>
        <w:t xml:space="preserve"> para abordar las cuestiones planteadas en la sexta sesión del CWS. Asimismo, analizó la forma de aumentar el número de respuestas al cuestionario.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 xml:space="preserve">A tal fin, </w:t>
      </w:r>
      <w:r w:rsidR="00951399" w:rsidRPr="00C85BFF">
        <w:rPr>
          <w:rFonts w:eastAsia="Malgun Gothic"/>
        </w:rPr>
        <w:t xml:space="preserve">se dividió </w:t>
      </w:r>
      <w:r w:rsidRPr="00C85BFF">
        <w:rPr>
          <w:rFonts w:eastAsia="Malgun Gothic"/>
        </w:rPr>
        <w:t>el cuestionario en dos partes.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>Una vez que la encuesta haya sido aprobada por el CWS, la Oficina Internacional distribuirá a las oficinas la primera parte, relativa a información básica sobre patentes.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>La primera parte está diseñada para ser respondida de forma rápida y sencilla.</w:t>
      </w:r>
      <w:r w:rsidR="005E5A26" w:rsidRPr="00C85BFF">
        <w:rPr>
          <w:rFonts w:eastAsia="Malgun Gothic"/>
        </w:rPr>
        <w:t xml:space="preserve"> </w:t>
      </w:r>
      <w:r w:rsidRPr="00C85BFF">
        <w:rPr>
          <w:rFonts w:eastAsia="Malgun Gothic"/>
        </w:rPr>
        <w:t>Una vez que las oficinas presenten sus respuestas a la primera parte, se les enviará la segunda parte de la encuesta, en la que se les pedirá información más detallada.</w:t>
      </w:r>
      <w:r w:rsidR="005E5A26" w:rsidRPr="00C85BFF">
        <w:rPr>
          <w:rFonts w:eastAsia="Malgun Gothic"/>
        </w:rPr>
        <w:t xml:space="preserve"> </w:t>
      </w:r>
      <w:r w:rsidR="00951399" w:rsidRPr="00C85BFF">
        <w:rPr>
          <w:rFonts w:eastAsia="Malgun Gothic"/>
        </w:rPr>
        <w:t xml:space="preserve">El proyecto final de </w:t>
      </w:r>
      <w:r w:rsidRPr="00C85BFF">
        <w:rPr>
          <w:rFonts w:eastAsia="Malgun Gothic"/>
        </w:rPr>
        <w:t>cuestionario figura en el Anexo del presente documento para su examen y aprobación por el CWS.</w:t>
      </w:r>
    </w:p>
    <w:p w:rsidR="00EA15C7" w:rsidRPr="00C85BFF" w:rsidRDefault="00EA15C7" w:rsidP="00EA15C7">
      <w:pPr>
        <w:spacing w:after="220"/>
        <w:rPr>
          <w:rFonts w:eastAsia="Malgun Gothic"/>
        </w:rPr>
      </w:pPr>
      <w:r w:rsidRPr="00C85BFF">
        <w:rPr>
          <w:rFonts w:eastAsia="Malgun Gothic"/>
        </w:rPr>
        <w:fldChar w:fldCharType="begin"/>
      </w:r>
      <w:r w:rsidRPr="00C85BFF">
        <w:rPr>
          <w:rFonts w:eastAsia="Malgun Gothic"/>
        </w:rPr>
        <w:instrText xml:space="preserve"> AUTONUM  </w:instrText>
      </w:r>
      <w:r w:rsidRPr="00C85BFF">
        <w:rPr>
          <w:rFonts w:eastAsia="Malgun Gothic"/>
        </w:rPr>
        <w:fldChar w:fldCharType="end"/>
      </w:r>
      <w:r w:rsidRPr="00C85BFF">
        <w:rPr>
          <w:rFonts w:eastAsia="Malgun Gothic"/>
        </w:rPr>
        <w:tab/>
        <w:t>El proyecto de cuestionario propuesto consta de dos partes que abarcan seis ámbitos:</w:t>
      </w:r>
    </w:p>
    <w:p w:rsidR="00EA15C7" w:rsidRPr="00C85BFF" w:rsidRDefault="00EA15C7" w:rsidP="00EA15C7">
      <w:pPr>
        <w:spacing w:after="220"/>
        <w:ind w:left="562"/>
        <w:rPr>
          <w:szCs w:val="22"/>
          <w:u w:val="single"/>
        </w:rPr>
      </w:pPr>
      <w:r w:rsidRPr="00C85BFF">
        <w:rPr>
          <w:szCs w:val="22"/>
          <w:u w:val="single"/>
        </w:rPr>
        <w:t>Parte I: Disponibilidad y cobertura básicas de los sistemas de datos en línea</w:t>
      </w:r>
    </w:p>
    <w:p w:rsidR="00EA15C7" w:rsidRPr="00C85BFF" w:rsidRDefault="00EA15C7" w:rsidP="00EA15C7">
      <w:pPr>
        <w:pStyle w:val="ListParagraph"/>
        <w:spacing w:after="220"/>
        <w:ind w:left="562"/>
        <w:contextualSpacing w:val="0"/>
        <w:rPr>
          <w:szCs w:val="22"/>
          <w:u w:val="single"/>
        </w:rPr>
      </w:pPr>
      <w:r w:rsidRPr="00C85BFF">
        <w:rPr>
          <w:szCs w:val="22"/>
          <w:u w:val="single"/>
        </w:rPr>
        <w:t>Parte II: Información detallada sobre las características de los sistemas de datos en línea</w:t>
      </w:r>
    </w:p>
    <w:p w:rsidR="00EA15C7" w:rsidRPr="00C85BFF" w:rsidRDefault="00EA15C7" w:rsidP="00EA15C7">
      <w:pPr>
        <w:pStyle w:val="ONUME"/>
        <w:numPr>
          <w:ilvl w:val="0"/>
          <w:numId w:val="13"/>
        </w:numPr>
        <w:tabs>
          <w:tab w:val="num" w:pos="1701"/>
        </w:tabs>
        <w:ind w:left="1134" w:firstLine="0"/>
        <w:rPr>
          <w:szCs w:val="22"/>
        </w:rPr>
      </w:pPr>
      <w:r w:rsidRPr="00C85BFF">
        <w:rPr>
          <w:szCs w:val="22"/>
        </w:rPr>
        <w:t>Condiciones de acceso a los sistemas de información sobre patentes</w:t>
      </w:r>
    </w:p>
    <w:p w:rsidR="00EA15C7" w:rsidRPr="00C85BFF" w:rsidRDefault="00EA15C7" w:rsidP="00EA15C7">
      <w:pPr>
        <w:pStyle w:val="ONUME"/>
        <w:numPr>
          <w:ilvl w:val="0"/>
          <w:numId w:val="13"/>
        </w:numPr>
        <w:tabs>
          <w:tab w:val="num" w:pos="1701"/>
        </w:tabs>
        <w:ind w:left="1134" w:firstLine="0"/>
        <w:rPr>
          <w:szCs w:val="22"/>
        </w:rPr>
      </w:pPr>
      <w:r w:rsidRPr="00C85BFF">
        <w:rPr>
          <w:szCs w:val="22"/>
        </w:rPr>
        <w:t>Contenido disponible en los sistemas</w:t>
      </w:r>
    </w:p>
    <w:p w:rsidR="00EA15C7" w:rsidRPr="00C85BFF" w:rsidRDefault="00EA15C7" w:rsidP="00EA15C7">
      <w:pPr>
        <w:pStyle w:val="ONUME"/>
        <w:numPr>
          <w:ilvl w:val="0"/>
          <w:numId w:val="13"/>
        </w:numPr>
        <w:tabs>
          <w:tab w:val="num" w:pos="1701"/>
        </w:tabs>
        <w:ind w:left="1134" w:firstLine="0"/>
        <w:rPr>
          <w:szCs w:val="22"/>
        </w:rPr>
      </w:pPr>
      <w:r w:rsidRPr="00C85BFF">
        <w:rPr>
          <w:szCs w:val="22"/>
        </w:rPr>
        <w:t>Funcionalidad de los sistemas</w:t>
      </w:r>
    </w:p>
    <w:p w:rsidR="00951399" w:rsidRPr="00C85BFF" w:rsidRDefault="00EA15C7" w:rsidP="0079091F">
      <w:pPr>
        <w:pStyle w:val="ONUME"/>
        <w:numPr>
          <w:ilvl w:val="0"/>
          <w:numId w:val="13"/>
        </w:numPr>
        <w:tabs>
          <w:tab w:val="num" w:pos="1701"/>
        </w:tabs>
        <w:ind w:left="1134" w:firstLine="0"/>
        <w:rPr>
          <w:szCs w:val="22"/>
        </w:rPr>
      </w:pPr>
      <w:r w:rsidRPr="00C85BFF">
        <w:rPr>
          <w:szCs w:val="22"/>
        </w:rPr>
        <w:t>Información a la que la OPI en cuestión le gustaría tener acceso en los sistemas de otras OPI</w:t>
      </w:r>
    </w:p>
    <w:p w:rsidR="00EA15C7" w:rsidRPr="00C85BFF" w:rsidRDefault="00EA15C7" w:rsidP="0079091F">
      <w:pPr>
        <w:pStyle w:val="ONUME"/>
        <w:numPr>
          <w:ilvl w:val="0"/>
          <w:numId w:val="13"/>
        </w:numPr>
        <w:tabs>
          <w:tab w:val="num" w:pos="1701"/>
        </w:tabs>
        <w:ind w:left="1134" w:firstLine="0"/>
        <w:rPr>
          <w:szCs w:val="22"/>
        </w:rPr>
      </w:pPr>
      <w:r w:rsidRPr="00C85BFF">
        <w:rPr>
          <w:rFonts w:ascii="Arial Unicode MS" w:eastAsia="Times New Roman" w:hAnsi="Arial Unicode MS" w:cs="Arial Unicode MS"/>
          <w:szCs w:val="22"/>
          <w:lang w:eastAsia="fr-CH"/>
        </w:rPr>
        <w:t>Plan futuro de la OPI en relación con sus sistemas de información sobre patentes y ámbitos de interés para las recomendaciones de la OMPI</w:t>
      </w:r>
      <w:r w:rsidRPr="00C85BFF">
        <w:rPr>
          <w:szCs w:val="22"/>
        </w:rPr>
        <w:t>.</w:t>
      </w:r>
    </w:p>
    <w:p w:rsidR="00EA15C7" w:rsidRPr="00C85BFF" w:rsidRDefault="00EA15C7" w:rsidP="00EA15C7">
      <w:pPr>
        <w:pStyle w:val="Heading2"/>
        <w:keepLines/>
        <w:rPr>
          <w:rFonts w:eastAsia="Malgun Gothic"/>
          <w:caps w:val="0"/>
          <w:szCs w:val="22"/>
        </w:rPr>
      </w:pPr>
      <w:r w:rsidRPr="00C85BFF">
        <w:rPr>
          <w:rFonts w:eastAsia="Malgun Gothic"/>
          <w:caps w:val="0"/>
          <w:szCs w:val="22"/>
        </w:rPr>
        <w:lastRenderedPageBreak/>
        <w:t>PLAN DE TRABAJO</w:t>
      </w:r>
    </w:p>
    <w:p w:rsidR="00EA15C7" w:rsidRPr="00C85BFF" w:rsidRDefault="00EA15C7" w:rsidP="00EA15C7">
      <w:pPr>
        <w:keepNext/>
        <w:keepLines/>
        <w:spacing w:after="220"/>
        <w:rPr>
          <w:rFonts w:eastAsia="Malgun Gothic"/>
        </w:rPr>
      </w:pPr>
      <w:r w:rsidRPr="00C85BFF">
        <w:rPr>
          <w:rFonts w:eastAsia="Malgun Gothic"/>
        </w:rPr>
        <w:fldChar w:fldCharType="begin"/>
      </w:r>
      <w:r w:rsidRPr="00C85BFF">
        <w:rPr>
          <w:rFonts w:eastAsia="Malgun Gothic"/>
        </w:rPr>
        <w:instrText xml:space="preserve"> AUTONUM  </w:instrText>
      </w:r>
      <w:r w:rsidRPr="00C85BFF">
        <w:rPr>
          <w:rFonts w:eastAsia="Malgun Gothic"/>
        </w:rPr>
        <w:fldChar w:fldCharType="end"/>
      </w:r>
      <w:r w:rsidRPr="00C85BFF">
        <w:rPr>
          <w:rFonts w:eastAsia="Malgun Gothic"/>
        </w:rPr>
        <w:tab/>
        <w:t>El Equipo Técnico propone el siguiente plan de trabajo para llevar a cabo la Tarea N.º 52: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3798"/>
        <w:gridCol w:w="2420"/>
      </w:tblGrid>
      <w:tr w:rsidR="005E5A26" w:rsidRPr="00C85BFF" w:rsidTr="00400978">
        <w:trPr>
          <w:cantSplit/>
        </w:trPr>
        <w:tc>
          <w:tcPr>
            <w:tcW w:w="3127" w:type="dxa"/>
            <w:shd w:val="clear" w:color="auto" w:fill="D9D9D9" w:themeFill="background1" w:themeFillShade="D9"/>
          </w:tcPr>
          <w:p w:rsidR="00EA15C7" w:rsidRPr="00C85BFF" w:rsidRDefault="00EA15C7" w:rsidP="00400978">
            <w:pPr>
              <w:keepNext/>
              <w:keepLines/>
              <w:jc w:val="center"/>
              <w:rPr>
                <w:b/>
              </w:rPr>
            </w:pPr>
            <w:r w:rsidRPr="00C85BFF">
              <w:rPr>
                <w:b/>
              </w:rPr>
              <w:t>Medida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="00EA15C7" w:rsidRPr="00C85BFF" w:rsidRDefault="00EA15C7" w:rsidP="00400978">
            <w:pPr>
              <w:keepNext/>
              <w:keepLines/>
              <w:jc w:val="center"/>
              <w:rPr>
                <w:b/>
              </w:rPr>
            </w:pPr>
            <w:r w:rsidRPr="00C85BFF">
              <w:rPr>
                <w:b/>
              </w:rPr>
              <w:t>Resultados previstos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:rsidR="00EA15C7" w:rsidRPr="00C85BFF" w:rsidRDefault="00EA15C7" w:rsidP="00400978">
            <w:pPr>
              <w:keepNext/>
              <w:keepLines/>
              <w:jc w:val="center"/>
              <w:rPr>
                <w:b/>
              </w:rPr>
            </w:pPr>
            <w:r w:rsidRPr="00C85BFF">
              <w:rPr>
                <w:b/>
              </w:rPr>
              <w:t>Fecha prevista</w:t>
            </w:r>
          </w:p>
        </w:tc>
      </w:tr>
      <w:tr w:rsidR="005E5A26" w:rsidRPr="00C85BFF" w:rsidTr="00400978">
        <w:trPr>
          <w:cantSplit/>
        </w:trPr>
        <w:tc>
          <w:tcPr>
            <w:tcW w:w="3127" w:type="dxa"/>
          </w:tcPr>
          <w:p w:rsidR="00EA15C7" w:rsidRPr="00C85BFF" w:rsidRDefault="00EA15C7" w:rsidP="00951399">
            <w:pPr>
              <w:keepNext/>
              <w:keepLines/>
            </w:pPr>
            <w:r w:rsidRPr="00C85BFF">
              <w:t xml:space="preserve">Presentar en la séptima sesión del CWS un informe sobre la marcha de </w:t>
            </w:r>
            <w:r w:rsidR="00951399" w:rsidRPr="00C85BFF">
              <w:t>las actividade</w:t>
            </w:r>
            <w:r w:rsidR="00A37E08" w:rsidRPr="00C85BFF">
              <w:t>s</w:t>
            </w:r>
            <w:r w:rsidRPr="00C85BFF">
              <w:t>, incluido un proyecto final de cuestionario sobre los sistemas de acceso a la información sobre patentes de dominio público</w:t>
            </w:r>
          </w:p>
        </w:tc>
        <w:tc>
          <w:tcPr>
            <w:tcW w:w="3798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Se espera que el CWS examine el proyecto de cuestionario y lo apruebe en la presente sesión</w:t>
            </w:r>
          </w:p>
          <w:p w:rsidR="00EA15C7" w:rsidRPr="00C85BFF" w:rsidRDefault="00EA15C7" w:rsidP="00400978">
            <w:pPr>
              <w:keepNext/>
              <w:keepLines/>
            </w:pPr>
          </w:p>
        </w:tc>
        <w:tc>
          <w:tcPr>
            <w:tcW w:w="2420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Julio de 2019</w:t>
            </w:r>
          </w:p>
        </w:tc>
      </w:tr>
      <w:tr w:rsidR="005E5A26" w:rsidRPr="00C85BFF" w:rsidTr="00400978">
        <w:trPr>
          <w:cantSplit/>
        </w:trPr>
        <w:tc>
          <w:tcPr>
            <w:tcW w:w="3127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 xml:space="preserve">Realizar la encuesta con el cuestionario aprobado [Nota: la Secretaría estudiará la mejor herramienta para la </w:t>
            </w:r>
            <w:r w:rsidR="00951399" w:rsidRPr="00C85BFF">
              <w:t xml:space="preserve">realización de la </w:t>
            </w:r>
            <w:r w:rsidRPr="00C85BFF">
              <w:t>encuesta]</w:t>
            </w:r>
          </w:p>
        </w:tc>
        <w:tc>
          <w:tcPr>
            <w:tcW w:w="3798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La Secretaría distribuirá una circular en la que se invitará a las OPI a participar en la encuesta</w:t>
            </w:r>
          </w:p>
        </w:tc>
        <w:tc>
          <w:tcPr>
            <w:tcW w:w="2420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Octubre de 2019</w:t>
            </w:r>
          </w:p>
        </w:tc>
      </w:tr>
      <w:tr w:rsidR="005E5A26" w:rsidRPr="00C85BFF" w:rsidTr="00400978">
        <w:trPr>
          <w:cantSplit/>
        </w:trPr>
        <w:tc>
          <w:tcPr>
            <w:tcW w:w="3127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Recopilar y analizar las respuestas de la encuesta</w:t>
            </w:r>
          </w:p>
        </w:tc>
        <w:tc>
          <w:tcPr>
            <w:tcW w:w="3798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Las OPI responderán a la encuesta; el Equipo Técnico analizará los resultados de la encuesta</w:t>
            </w:r>
          </w:p>
        </w:tc>
        <w:tc>
          <w:tcPr>
            <w:tcW w:w="2420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Febrero de 2020</w:t>
            </w:r>
          </w:p>
        </w:tc>
      </w:tr>
      <w:tr w:rsidR="005E5A26" w:rsidRPr="00C85BFF" w:rsidTr="00400978">
        <w:trPr>
          <w:cantSplit/>
        </w:trPr>
        <w:tc>
          <w:tcPr>
            <w:tcW w:w="3127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Elaborar un informe sobre los resultados de la encuesta</w:t>
            </w:r>
          </w:p>
        </w:tc>
        <w:tc>
          <w:tcPr>
            <w:tcW w:w="3798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El Equipo Técnico preparará un resumen de los resultados de la encuesta y propondrá las nuevas medidas necesarias para su examen en la octava sesión del CWS.</w:t>
            </w:r>
          </w:p>
        </w:tc>
        <w:tc>
          <w:tcPr>
            <w:tcW w:w="2420" w:type="dxa"/>
          </w:tcPr>
          <w:p w:rsidR="00EA15C7" w:rsidRPr="00C85BFF" w:rsidRDefault="00EA15C7" w:rsidP="00400978">
            <w:pPr>
              <w:keepNext/>
              <w:keepLines/>
            </w:pPr>
            <w:r w:rsidRPr="00C85BFF">
              <w:t>8.ª sesión del CWS</w:t>
            </w:r>
          </w:p>
        </w:tc>
      </w:tr>
    </w:tbl>
    <w:p w:rsidR="00EA15C7" w:rsidRPr="00C85BFF" w:rsidRDefault="00EA15C7" w:rsidP="00EA15C7">
      <w:pPr>
        <w:pStyle w:val="ONUME"/>
        <w:numPr>
          <w:ilvl w:val="0"/>
          <w:numId w:val="0"/>
        </w:numPr>
      </w:pPr>
    </w:p>
    <w:p w:rsidR="005E5A26" w:rsidRPr="00C85BFF" w:rsidRDefault="00EA15C7" w:rsidP="00EA15C7">
      <w:pPr>
        <w:pStyle w:val="ONUME"/>
        <w:numPr>
          <w:ilvl w:val="0"/>
          <w:numId w:val="0"/>
        </w:numPr>
        <w:ind w:firstLine="5580"/>
      </w:pPr>
      <w:r w:rsidRPr="00C85BFF">
        <w:rPr>
          <w:i/>
        </w:rPr>
        <w:fldChar w:fldCharType="begin"/>
      </w:r>
      <w:r w:rsidRPr="00C85BFF">
        <w:rPr>
          <w:i/>
        </w:rPr>
        <w:instrText xml:space="preserve"> AUTONUM  </w:instrText>
      </w:r>
      <w:r w:rsidRPr="00C85BFF">
        <w:rPr>
          <w:i/>
        </w:rPr>
        <w:fldChar w:fldCharType="end"/>
      </w:r>
      <w:r w:rsidRPr="00C85BFF">
        <w:rPr>
          <w:i/>
        </w:rPr>
        <w:tab/>
        <w:t>Se invita al CWS a:</w:t>
      </w:r>
    </w:p>
    <w:p w:rsidR="00EA15C7" w:rsidRPr="00C85BFF" w:rsidRDefault="00EA15C7" w:rsidP="00EA15C7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C85BFF">
        <w:rPr>
          <w:i/>
        </w:rPr>
        <w:tab/>
        <w:t>a)</w:t>
      </w:r>
      <w:r w:rsidRPr="00C85BFF">
        <w:tab/>
      </w:r>
      <w:r w:rsidRPr="00C85BFF">
        <w:rPr>
          <w:i/>
        </w:rPr>
        <w:t>tomar nota del contenido del presente documento;</w:t>
      </w:r>
    </w:p>
    <w:p w:rsidR="00EA15C7" w:rsidRPr="00C85BFF" w:rsidRDefault="00EA15C7" w:rsidP="00EA15C7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C85BFF">
        <w:rPr>
          <w:i/>
        </w:rPr>
        <w:tab/>
        <w:t>b)</w:t>
      </w:r>
      <w:r w:rsidRPr="00C85BFF">
        <w:tab/>
      </w:r>
      <w:r w:rsidRPr="00C85BFF">
        <w:rPr>
          <w:i/>
        </w:rPr>
        <w:t>examinar y aprobar el proyecto de cuestionario, que figura en el Anexo del presente documento; y</w:t>
      </w:r>
    </w:p>
    <w:p w:rsidR="00EA15C7" w:rsidRPr="00C85BFF" w:rsidRDefault="00EA15C7" w:rsidP="00EA15C7">
      <w:pPr>
        <w:pStyle w:val="BodyText"/>
        <w:tabs>
          <w:tab w:val="left" w:pos="6160"/>
          <w:tab w:val="left" w:pos="6710"/>
        </w:tabs>
        <w:spacing w:after="0"/>
        <w:ind w:left="5533"/>
      </w:pPr>
      <w:r w:rsidRPr="00C85BFF">
        <w:rPr>
          <w:i/>
        </w:rPr>
        <w:tab/>
        <w:t>c)</w:t>
      </w:r>
      <w:r w:rsidRPr="00C85BFF">
        <w:tab/>
      </w:r>
      <w:r w:rsidRPr="00C85BFF">
        <w:rPr>
          <w:i/>
        </w:rPr>
        <w:t>pedir a la Secretaría que distribuya una circular en la que se invite a las oficinas de propiedad industrial a participar en la encuesta, como se señala en el párrafo 7.</w:t>
      </w:r>
    </w:p>
    <w:p w:rsidR="00EA15C7" w:rsidRPr="00C85BFF" w:rsidRDefault="00EA15C7" w:rsidP="00EA15C7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EA15C7" w:rsidRPr="00C85BFF" w:rsidRDefault="00EA15C7" w:rsidP="00EA15C7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E36014" w:rsidRPr="00C85BFF" w:rsidRDefault="00EA15C7" w:rsidP="005E5A26">
      <w:pPr>
        <w:pStyle w:val="Endofdocument-Annex"/>
        <w:rPr>
          <w:lang w:val="es-ES"/>
        </w:rPr>
      </w:pPr>
      <w:r w:rsidRPr="00C85BFF">
        <w:rPr>
          <w:lang w:val="es-ES"/>
        </w:rPr>
        <w:t>[Sigue el Anexo]</w:t>
      </w:r>
    </w:p>
    <w:sectPr w:rsidR="00E36014" w:rsidRPr="00C85BFF" w:rsidSect="003B386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B9" w:rsidRDefault="008015B9">
      <w:r>
        <w:separator/>
      </w:r>
    </w:p>
  </w:endnote>
  <w:endnote w:type="continuationSeparator" w:id="0">
    <w:p w:rsidR="008015B9" w:rsidRPr="009D30E6" w:rsidRDefault="008015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5B9" w:rsidRPr="007E663E" w:rsidRDefault="008015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015B9" w:rsidRPr="007E663E" w:rsidRDefault="008015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B9" w:rsidRDefault="008015B9">
      <w:r>
        <w:separator/>
      </w:r>
    </w:p>
  </w:footnote>
  <w:footnote w:type="continuationSeparator" w:id="0">
    <w:p w:rsidR="008015B9" w:rsidRPr="009D30E6" w:rsidRDefault="008015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015B9" w:rsidRPr="007E663E" w:rsidRDefault="008015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015B9" w:rsidRPr="007E663E" w:rsidRDefault="008015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1E" w:rsidRDefault="00FA720A" w:rsidP="00477D6B">
    <w:pPr>
      <w:jc w:val="right"/>
    </w:pPr>
    <w:r>
      <w:t>CWS/7/</w:t>
    </w:r>
    <w:r w:rsidR="005E5A26">
      <w:t>25</w:t>
    </w:r>
  </w:p>
  <w:p w:rsidR="0087761E" w:rsidRDefault="0087761E" w:rsidP="00477D6B">
    <w:pPr>
      <w:jc w:val="right"/>
    </w:pPr>
    <w:r>
      <w:t xml:space="preserve">página </w:t>
    </w:r>
    <w:r w:rsidR="00E32F6F">
      <w:fldChar w:fldCharType="begin"/>
    </w:r>
    <w:r w:rsidR="00E32F6F">
      <w:instrText xml:space="preserve"> PAGE   \* MERGEFORMAT </w:instrText>
    </w:r>
    <w:r w:rsidR="00E32F6F">
      <w:fldChar w:fldCharType="separate"/>
    </w:r>
    <w:r w:rsidR="00980A3E">
      <w:rPr>
        <w:noProof/>
      </w:rPr>
      <w:t>3</w:t>
    </w:r>
    <w:r w:rsidR="00E32F6F">
      <w:rPr>
        <w:noProof/>
      </w:rPr>
      <w:fldChar w:fldCharType="end"/>
    </w:r>
  </w:p>
  <w:p w:rsidR="0087761E" w:rsidRDefault="0087761E" w:rsidP="00477D6B">
    <w:pPr>
      <w:jc w:val="right"/>
    </w:pPr>
  </w:p>
  <w:p w:rsidR="0087761E" w:rsidRDefault="0087761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F1203"/>
    <w:multiLevelType w:val="hybridMultilevel"/>
    <w:tmpl w:val="A8A434B6"/>
    <w:lvl w:ilvl="0" w:tplc="ADAC10D2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D29E3"/>
    <w:multiLevelType w:val="multilevel"/>
    <w:tmpl w:val="73BC6C9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8A59B3"/>
    <w:multiLevelType w:val="hybridMultilevel"/>
    <w:tmpl w:val="DB282AA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3E325A"/>
    <w:multiLevelType w:val="hybridMultilevel"/>
    <w:tmpl w:val="EE2CC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88B6273"/>
    <w:multiLevelType w:val="hybridMultilevel"/>
    <w:tmpl w:val="2AC63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B25CD"/>
    <w:multiLevelType w:val="hybridMultilevel"/>
    <w:tmpl w:val="D9E00FA4"/>
    <w:lvl w:ilvl="0" w:tplc="02167700">
      <w:start w:val="2"/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WIPO Staff Rules|TextBase TMs\WorkspaceSTS\Copyright\Copyright|TextBase TMs\WorkspaceSTS\Outreach\IP Advantage|TextBase TMs\WorkspaceSTS\Outreach\POW Main|TextBase TMs\WorkspaceSTS\Treaties &amp; Laws\WIPO Lex|TextBase TMs\WorkspaceSTS\UPOV\TGPs|TextBase TMs\WorkspaceSTS\UPOV\TGs Template|TextBase TMs\WorkspaceSTS\UPOV\UPOV Main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UPOV\U Instruments|TextBase TMs\WorkspaceSTS\UPOV\TGs"/>
    <w:docVar w:name="TextBaseURL" w:val="empty"/>
    <w:docVar w:name="UILng" w:val="en"/>
  </w:docVars>
  <w:rsids>
    <w:rsidRoot w:val="00A272A4"/>
    <w:rsid w:val="00010686"/>
    <w:rsid w:val="00021F3C"/>
    <w:rsid w:val="00052915"/>
    <w:rsid w:val="000C2E53"/>
    <w:rsid w:val="000E3BB3"/>
    <w:rsid w:val="000F5E56"/>
    <w:rsid w:val="00116458"/>
    <w:rsid w:val="0012477B"/>
    <w:rsid w:val="001362EE"/>
    <w:rsid w:val="00152CEA"/>
    <w:rsid w:val="00165321"/>
    <w:rsid w:val="001832A6"/>
    <w:rsid w:val="00192A13"/>
    <w:rsid w:val="001C66DC"/>
    <w:rsid w:val="00246F26"/>
    <w:rsid w:val="0026291E"/>
    <w:rsid w:val="002634C4"/>
    <w:rsid w:val="002A77F5"/>
    <w:rsid w:val="002E0F47"/>
    <w:rsid w:val="002F4E68"/>
    <w:rsid w:val="00354647"/>
    <w:rsid w:val="00364F9D"/>
    <w:rsid w:val="00371617"/>
    <w:rsid w:val="00377273"/>
    <w:rsid w:val="003845C1"/>
    <w:rsid w:val="00387287"/>
    <w:rsid w:val="003B3862"/>
    <w:rsid w:val="003D5901"/>
    <w:rsid w:val="003E48F1"/>
    <w:rsid w:val="003F32A2"/>
    <w:rsid w:val="003F347A"/>
    <w:rsid w:val="00423E3E"/>
    <w:rsid w:val="00427AF4"/>
    <w:rsid w:val="0045231F"/>
    <w:rsid w:val="004647DA"/>
    <w:rsid w:val="00477808"/>
    <w:rsid w:val="00477D6B"/>
    <w:rsid w:val="0048175B"/>
    <w:rsid w:val="004A6C37"/>
    <w:rsid w:val="004C1672"/>
    <w:rsid w:val="004D72D5"/>
    <w:rsid w:val="004E297D"/>
    <w:rsid w:val="00516200"/>
    <w:rsid w:val="00530601"/>
    <w:rsid w:val="005332F0"/>
    <w:rsid w:val="0055013B"/>
    <w:rsid w:val="00550856"/>
    <w:rsid w:val="00571B99"/>
    <w:rsid w:val="0059799F"/>
    <w:rsid w:val="005E5A26"/>
    <w:rsid w:val="005F19C1"/>
    <w:rsid w:val="0060181F"/>
    <w:rsid w:val="00605827"/>
    <w:rsid w:val="00675021"/>
    <w:rsid w:val="006A06C6"/>
    <w:rsid w:val="006B05D7"/>
    <w:rsid w:val="006F02B7"/>
    <w:rsid w:val="007224C8"/>
    <w:rsid w:val="00751A6E"/>
    <w:rsid w:val="00756EB0"/>
    <w:rsid w:val="0078704F"/>
    <w:rsid w:val="00794BE2"/>
    <w:rsid w:val="007A2CFE"/>
    <w:rsid w:val="007B71FE"/>
    <w:rsid w:val="007D17AA"/>
    <w:rsid w:val="007D25FE"/>
    <w:rsid w:val="007D781E"/>
    <w:rsid w:val="007E663E"/>
    <w:rsid w:val="008015B9"/>
    <w:rsid w:val="0081048C"/>
    <w:rsid w:val="00815082"/>
    <w:rsid w:val="008355F5"/>
    <w:rsid w:val="008534D1"/>
    <w:rsid w:val="0087761E"/>
    <w:rsid w:val="0088395E"/>
    <w:rsid w:val="008B2CC1"/>
    <w:rsid w:val="008D5542"/>
    <w:rsid w:val="008E6BD6"/>
    <w:rsid w:val="0090731E"/>
    <w:rsid w:val="0091479A"/>
    <w:rsid w:val="00914CDD"/>
    <w:rsid w:val="0091635B"/>
    <w:rsid w:val="00920392"/>
    <w:rsid w:val="00951399"/>
    <w:rsid w:val="00966A22"/>
    <w:rsid w:val="00972F03"/>
    <w:rsid w:val="00980A3E"/>
    <w:rsid w:val="009A0C8B"/>
    <w:rsid w:val="009B6241"/>
    <w:rsid w:val="00A16FC0"/>
    <w:rsid w:val="00A272A4"/>
    <w:rsid w:val="00A32C9E"/>
    <w:rsid w:val="00A37E08"/>
    <w:rsid w:val="00A85AD7"/>
    <w:rsid w:val="00AB613D"/>
    <w:rsid w:val="00AE7F20"/>
    <w:rsid w:val="00AF76AE"/>
    <w:rsid w:val="00AF7A64"/>
    <w:rsid w:val="00B25257"/>
    <w:rsid w:val="00B36262"/>
    <w:rsid w:val="00B64C4F"/>
    <w:rsid w:val="00B65A0A"/>
    <w:rsid w:val="00B67CDC"/>
    <w:rsid w:val="00B72D36"/>
    <w:rsid w:val="00B96C63"/>
    <w:rsid w:val="00BC4164"/>
    <w:rsid w:val="00BC712D"/>
    <w:rsid w:val="00BD2DCC"/>
    <w:rsid w:val="00C37AD5"/>
    <w:rsid w:val="00C455A0"/>
    <w:rsid w:val="00C47460"/>
    <w:rsid w:val="00C76F55"/>
    <w:rsid w:val="00C85BFF"/>
    <w:rsid w:val="00C90559"/>
    <w:rsid w:val="00CA2251"/>
    <w:rsid w:val="00CB7CA9"/>
    <w:rsid w:val="00D01836"/>
    <w:rsid w:val="00D45D81"/>
    <w:rsid w:val="00D45DB0"/>
    <w:rsid w:val="00D52C0E"/>
    <w:rsid w:val="00D56C7C"/>
    <w:rsid w:val="00D71B4D"/>
    <w:rsid w:val="00D83F10"/>
    <w:rsid w:val="00D90289"/>
    <w:rsid w:val="00D93D55"/>
    <w:rsid w:val="00D944F2"/>
    <w:rsid w:val="00DC4C60"/>
    <w:rsid w:val="00DF1BE3"/>
    <w:rsid w:val="00E0079A"/>
    <w:rsid w:val="00E15066"/>
    <w:rsid w:val="00E32F6F"/>
    <w:rsid w:val="00E36014"/>
    <w:rsid w:val="00E444DA"/>
    <w:rsid w:val="00E45C84"/>
    <w:rsid w:val="00E504E5"/>
    <w:rsid w:val="00E72284"/>
    <w:rsid w:val="00E9340A"/>
    <w:rsid w:val="00EA15C7"/>
    <w:rsid w:val="00EB6F90"/>
    <w:rsid w:val="00EB7A3E"/>
    <w:rsid w:val="00EC401A"/>
    <w:rsid w:val="00EF530A"/>
    <w:rsid w:val="00EF6622"/>
    <w:rsid w:val="00F03AF0"/>
    <w:rsid w:val="00F07F6D"/>
    <w:rsid w:val="00F55408"/>
    <w:rsid w:val="00F66152"/>
    <w:rsid w:val="00F80488"/>
    <w:rsid w:val="00F80845"/>
    <w:rsid w:val="00F84474"/>
    <w:rsid w:val="00F926A5"/>
    <w:rsid w:val="00FA0F0D"/>
    <w:rsid w:val="00FA720A"/>
    <w:rsid w:val="00FD1557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8B6C3D7F-ED56-4852-A5CB-3C3F88E6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3B3862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3B3862"/>
    <w:rPr>
      <w:rFonts w:ascii="Arial" w:eastAsia="SimSun" w:hAnsi="Arial" w:cs="Arial"/>
      <w:sz w:val="22"/>
      <w:lang w:val="es-ES" w:eastAsia="zh-CN"/>
    </w:rPr>
  </w:style>
  <w:style w:type="paragraph" w:styleId="NoSpacing">
    <w:name w:val="No Spacing"/>
    <w:uiPriority w:val="1"/>
    <w:qFormat/>
    <w:rsid w:val="003B386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D55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A15C7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table" w:styleId="TableGrid">
    <w:name w:val="Table Grid"/>
    <w:basedOn w:val="TableNormal"/>
    <w:rsid w:val="00EA15C7"/>
    <w:rPr>
      <w:rFonts w:eastAsiaTheme="minorEastAsia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0439-0FC4-4383-B141-334E180D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5489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(in Spanish)</vt:lpstr>
    </vt:vector>
  </TitlesOfParts>
  <Company>WIPO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(in Spanish)</dc:title>
  <dc:subject>PROPUESTA DEL EQUIPO TÉCNICO DE ACCESO PÚBLICO A LA INFORMACIÓN CONTENIDA EN LAS PATENTES SOBRE UN CUESTIONARIO RELATIVO AL ACCESO A INFORMACIÓN PÚBLICA SOBRE PATENTES</dc:subject>
  <dc:creator>WIPO</dc:creator>
  <cp:keywords>CWS, WIPO</cp:keywords>
  <cp:lastModifiedBy>DRAKE Sophie</cp:lastModifiedBy>
  <cp:revision>7</cp:revision>
  <cp:lastPrinted>2019-05-22T19:23:00Z</cp:lastPrinted>
  <dcterms:created xsi:type="dcterms:W3CDTF">2019-05-22T11:01:00Z</dcterms:created>
  <dcterms:modified xsi:type="dcterms:W3CDTF">2019-05-28T15:06:00Z</dcterms:modified>
</cp:coreProperties>
</file>