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504E5" w:rsidRPr="001E5D82" w:rsidTr="0088395E">
        <w:tc>
          <w:tcPr>
            <w:tcW w:w="4513" w:type="dxa"/>
            <w:tcBorders>
              <w:bottom w:val="single" w:sz="4" w:space="0" w:color="auto"/>
            </w:tcBorders>
            <w:tcMar>
              <w:bottom w:w="170" w:type="dxa"/>
            </w:tcMar>
          </w:tcPr>
          <w:p w:rsidR="00E504E5" w:rsidRPr="001E5D82" w:rsidRDefault="00E504E5" w:rsidP="00AB613D">
            <w:pPr>
              <w:rPr>
                <w:lang w:val="es-419"/>
              </w:rPr>
            </w:pPr>
          </w:p>
        </w:tc>
        <w:tc>
          <w:tcPr>
            <w:tcW w:w="4337" w:type="dxa"/>
            <w:tcBorders>
              <w:bottom w:val="single" w:sz="4" w:space="0" w:color="auto"/>
            </w:tcBorders>
            <w:tcMar>
              <w:left w:w="0" w:type="dxa"/>
              <w:right w:w="0" w:type="dxa"/>
            </w:tcMar>
          </w:tcPr>
          <w:p w:rsidR="00E504E5" w:rsidRPr="001E5D82" w:rsidRDefault="002C2E2F" w:rsidP="00AB613D">
            <w:pPr>
              <w:rPr>
                <w:lang w:val="es-419"/>
              </w:rPr>
            </w:pPr>
            <w:r w:rsidRPr="001E5D82">
              <w:rPr>
                <w:noProof/>
                <w:lang w:val="de-DE" w:eastAsia="de-DE"/>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1E5D82" w:rsidRDefault="00E504E5" w:rsidP="00AB613D">
            <w:pPr>
              <w:jc w:val="right"/>
              <w:rPr>
                <w:lang w:val="es-419"/>
              </w:rPr>
            </w:pPr>
            <w:r w:rsidRPr="001E5D82">
              <w:rPr>
                <w:b/>
                <w:sz w:val="40"/>
                <w:szCs w:val="40"/>
                <w:lang w:val="es-419"/>
              </w:rPr>
              <w:t>S</w:t>
            </w:r>
          </w:p>
        </w:tc>
      </w:tr>
      <w:tr w:rsidR="008B2CC1" w:rsidRPr="001E5D82"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1E5D82" w:rsidRDefault="002A7006" w:rsidP="00AB613D">
            <w:pPr>
              <w:jc w:val="right"/>
              <w:rPr>
                <w:rFonts w:ascii="Arial Black" w:hAnsi="Arial Black"/>
                <w:caps/>
                <w:sz w:val="15"/>
                <w:lang w:val="es-419"/>
              </w:rPr>
            </w:pPr>
            <w:r w:rsidRPr="001E5D82">
              <w:rPr>
                <w:rFonts w:ascii="Arial Black" w:hAnsi="Arial Black"/>
                <w:caps/>
                <w:sz w:val="15"/>
                <w:lang w:val="es-419"/>
              </w:rPr>
              <w:t>CWS/7</w:t>
            </w:r>
            <w:r w:rsidR="00B8095C" w:rsidRPr="001E5D82">
              <w:rPr>
                <w:rFonts w:ascii="Arial Black" w:hAnsi="Arial Black"/>
                <w:caps/>
                <w:sz w:val="15"/>
                <w:lang w:val="es-419"/>
              </w:rPr>
              <w:t>/</w:t>
            </w:r>
            <w:bookmarkStart w:id="0" w:name="Code"/>
            <w:bookmarkEnd w:id="0"/>
            <w:r w:rsidR="00E31047" w:rsidRPr="001E5D82">
              <w:rPr>
                <w:rFonts w:ascii="Arial Black" w:hAnsi="Arial Black"/>
                <w:caps/>
                <w:sz w:val="15"/>
                <w:lang w:val="es-419"/>
              </w:rPr>
              <w:t>20</w:t>
            </w:r>
          </w:p>
        </w:tc>
      </w:tr>
      <w:tr w:rsidR="008B2CC1" w:rsidRPr="001E5D82" w:rsidTr="00AB613D">
        <w:trPr>
          <w:trHeight w:hRule="exact" w:val="170"/>
        </w:trPr>
        <w:tc>
          <w:tcPr>
            <w:tcW w:w="9356" w:type="dxa"/>
            <w:gridSpan w:val="3"/>
            <w:noWrap/>
            <w:tcMar>
              <w:left w:w="0" w:type="dxa"/>
              <w:right w:w="0" w:type="dxa"/>
            </w:tcMar>
            <w:vAlign w:val="bottom"/>
          </w:tcPr>
          <w:p w:rsidR="008B2CC1" w:rsidRPr="001E5D82" w:rsidRDefault="008B2CC1" w:rsidP="00E31047">
            <w:pPr>
              <w:jc w:val="right"/>
              <w:rPr>
                <w:rFonts w:ascii="Arial Black" w:hAnsi="Arial Black"/>
                <w:caps/>
                <w:sz w:val="15"/>
                <w:lang w:val="es-419"/>
              </w:rPr>
            </w:pPr>
            <w:r w:rsidRPr="001E5D82">
              <w:rPr>
                <w:rFonts w:ascii="Arial Black" w:hAnsi="Arial Black"/>
                <w:caps/>
                <w:sz w:val="15"/>
                <w:lang w:val="es-419"/>
              </w:rPr>
              <w:t>ORIGINAL:</w:t>
            </w:r>
            <w:r w:rsidR="009A20CD" w:rsidRPr="001E5D82">
              <w:rPr>
                <w:rFonts w:ascii="Arial Black" w:hAnsi="Arial Black"/>
                <w:caps/>
                <w:sz w:val="15"/>
                <w:lang w:val="es-419"/>
              </w:rPr>
              <w:t xml:space="preserve"> </w:t>
            </w:r>
            <w:bookmarkStart w:id="1" w:name="Original"/>
            <w:bookmarkEnd w:id="1"/>
            <w:r w:rsidR="00E31047" w:rsidRPr="001E5D82">
              <w:rPr>
                <w:rFonts w:ascii="Arial Black" w:hAnsi="Arial Black"/>
                <w:caps/>
                <w:sz w:val="15"/>
                <w:lang w:val="es-419"/>
              </w:rPr>
              <w:t>Inglés</w:t>
            </w:r>
            <w:r w:rsidRPr="001E5D82">
              <w:rPr>
                <w:rFonts w:ascii="Arial Black" w:hAnsi="Arial Black"/>
                <w:caps/>
                <w:sz w:val="15"/>
                <w:lang w:val="es-419"/>
              </w:rPr>
              <w:t xml:space="preserve"> </w:t>
            </w:r>
          </w:p>
        </w:tc>
      </w:tr>
      <w:tr w:rsidR="008B2CC1" w:rsidRPr="001E5D82" w:rsidTr="00AB613D">
        <w:trPr>
          <w:trHeight w:hRule="exact" w:val="198"/>
        </w:trPr>
        <w:tc>
          <w:tcPr>
            <w:tcW w:w="9356" w:type="dxa"/>
            <w:gridSpan w:val="3"/>
            <w:tcMar>
              <w:left w:w="0" w:type="dxa"/>
              <w:right w:w="0" w:type="dxa"/>
            </w:tcMar>
            <w:vAlign w:val="bottom"/>
          </w:tcPr>
          <w:p w:rsidR="008B2CC1" w:rsidRPr="001E5D82" w:rsidRDefault="00675021" w:rsidP="00E31047">
            <w:pPr>
              <w:jc w:val="right"/>
              <w:rPr>
                <w:rFonts w:ascii="Arial Black" w:hAnsi="Arial Black"/>
                <w:caps/>
                <w:sz w:val="15"/>
                <w:lang w:val="es-419"/>
              </w:rPr>
            </w:pPr>
            <w:r w:rsidRPr="001E5D82">
              <w:rPr>
                <w:rFonts w:ascii="Arial Black" w:hAnsi="Arial Black"/>
                <w:caps/>
                <w:sz w:val="15"/>
                <w:lang w:val="es-419"/>
              </w:rPr>
              <w:t>fecha</w:t>
            </w:r>
            <w:r w:rsidR="008B2CC1" w:rsidRPr="001E5D82">
              <w:rPr>
                <w:rFonts w:ascii="Arial Black" w:hAnsi="Arial Black"/>
                <w:caps/>
                <w:sz w:val="15"/>
                <w:lang w:val="es-419"/>
              </w:rPr>
              <w:t>:</w:t>
            </w:r>
            <w:r w:rsidR="009A20CD" w:rsidRPr="001E5D82">
              <w:rPr>
                <w:rFonts w:ascii="Arial Black" w:hAnsi="Arial Black"/>
                <w:caps/>
                <w:sz w:val="15"/>
                <w:lang w:val="es-419"/>
              </w:rPr>
              <w:t xml:space="preserve"> </w:t>
            </w:r>
            <w:bookmarkStart w:id="2" w:name="Date"/>
            <w:bookmarkEnd w:id="2"/>
            <w:r w:rsidR="00E31047" w:rsidRPr="001E5D82">
              <w:rPr>
                <w:rFonts w:ascii="Arial Black" w:hAnsi="Arial Black"/>
                <w:caps/>
                <w:sz w:val="15"/>
                <w:lang w:val="es-419"/>
              </w:rPr>
              <w:t>22 de mayo de 2019</w:t>
            </w:r>
            <w:r w:rsidR="008B2CC1" w:rsidRPr="001E5D82">
              <w:rPr>
                <w:rFonts w:ascii="Arial Black" w:hAnsi="Arial Black"/>
                <w:caps/>
                <w:sz w:val="15"/>
                <w:lang w:val="es-419"/>
              </w:rPr>
              <w:t xml:space="preserve"> </w:t>
            </w:r>
          </w:p>
        </w:tc>
      </w:tr>
    </w:tbl>
    <w:p w:rsidR="008B2CC1" w:rsidRPr="001E5D82" w:rsidRDefault="008B2CC1" w:rsidP="008B2CC1">
      <w:pPr>
        <w:rPr>
          <w:lang w:val="es-419"/>
        </w:rPr>
      </w:pPr>
    </w:p>
    <w:p w:rsidR="008B2CC1" w:rsidRPr="001E5D82" w:rsidRDefault="008B2CC1" w:rsidP="008B2CC1">
      <w:pPr>
        <w:rPr>
          <w:lang w:val="es-419"/>
        </w:rPr>
      </w:pPr>
    </w:p>
    <w:p w:rsidR="008B2CC1" w:rsidRPr="001E5D82" w:rsidRDefault="008B2CC1" w:rsidP="008B2CC1">
      <w:pPr>
        <w:rPr>
          <w:lang w:val="es-419"/>
        </w:rPr>
      </w:pPr>
    </w:p>
    <w:p w:rsidR="008B2CC1" w:rsidRPr="001E5D82" w:rsidRDefault="008B2CC1" w:rsidP="008B2CC1">
      <w:pPr>
        <w:rPr>
          <w:lang w:val="es-419"/>
        </w:rPr>
      </w:pPr>
    </w:p>
    <w:p w:rsidR="008B2CC1" w:rsidRPr="001E5D82" w:rsidRDefault="008B2CC1" w:rsidP="008B2CC1">
      <w:pPr>
        <w:rPr>
          <w:lang w:val="es-419"/>
        </w:rPr>
      </w:pPr>
    </w:p>
    <w:p w:rsidR="00B67CDC" w:rsidRPr="001E5D82" w:rsidRDefault="00B8095C" w:rsidP="00B67CDC">
      <w:pPr>
        <w:rPr>
          <w:b/>
          <w:sz w:val="28"/>
          <w:szCs w:val="28"/>
          <w:lang w:val="es-419"/>
        </w:rPr>
      </w:pPr>
      <w:r w:rsidRPr="001E5D82">
        <w:rPr>
          <w:b/>
          <w:sz w:val="28"/>
          <w:szCs w:val="28"/>
          <w:lang w:val="es-419"/>
        </w:rPr>
        <w:t>Comité de Normas Técnicas de la OMPI (CWS)</w:t>
      </w:r>
    </w:p>
    <w:p w:rsidR="003845C1" w:rsidRPr="001E5D82" w:rsidRDefault="003845C1" w:rsidP="003845C1">
      <w:pPr>
        <w:rPr>
          <w:lang w:val="es-419"/>
        </w:rPr>
      </w:pPr>
    </w:p>
    <w:p w:rsidR="003845C1" w:rsidRPr="001E5D82" w:rsidRDefault="003845C1" w:rsidP="003845C1">
      <w:pPr>
        <w:rPr>
          <w:lang w:val="es-419"/>
        </w:rPr>
      </w:pPr>
    </w:p>
    <w:p w:rsidR="00B8095C" w:rsidRPr="001E5D82" w:rsidRDefault="002A7006" w:rsidP="00B8095C">
      <w:pPr>
        <w:rPr>
          <w:b/>
          <w:sz w:val="24"/>
          <w:szCs w:val="24"/>
          <w:lang w:val="es-419"/>
        </w:rPr>
      </w:pPr>
      <w:r w:rsidRPr="001E5D82">
        <w:rPr>
          <w:b/>
          <w:sz w:val="24"/>
          <w:szCs w:val="24"/>
          <w:lang w:val="es-419"/>
        </w:rPr>
        <w:t>Séptima</w:t>
      </w:r>
      <w:r w:rsidR="00B8095C" w:rsidRPr="001E5D82">
        <w:rPr>
          <w:b/>
          <w:sz w:val="24"/>
          <w:szCs w:val="24"/>
          <w:lang w:val="es-419"/>
        </w:rPr>
        <w:t xml:space="preserve"> sesión</w:t>
      </w:r>
    </w:p>
    <w:p w:rsidR="00B67CDC" w:rsidRPr="001E5D82" w:rsidRDefault="002A7006" w:rsidP="00B8095C">
      <w:pPr>
        <w:rPr>
          <w:b/>
          <w:sz w:val="24"/>
          <w:szCs w:val="24"/>
          <w:lang w:val="es-419"/>
        </w:rPr>
      </w:pPr>
      <w:r w:rsidRPr="001E5D82">
        <w:rPr>
          <w:b/>
          <w:sz w:val="24"/>
          <w:szCs w:val="24"/>
          <w:lang w:val="es-419"/>
        </w:rPr>
        <w:t xml:space="preserve">Ginebra, 1 </w:t>
      </w:r>
      <w:r w:rsidR="002D7E2D" w:rsidRPr="001E5D82">
        <w:rPr>
          <w:b/>
          <w:sz w:val="24"/>
          <w:szCs w:val="24"/>
          <w:lang w:val="es-419"/>
        </w:rPr>
        <w:t>a</w:t>
      </w:r>
      <w:r w:rsidRPr="001E5D82">
        <w:rPr>
          <w:b/>
          <w:sz w:val="24"/>
          <w:szCs w:val="24"/>
          <w:lang w:val="es-419"/>
        </w:rPr>
        <w:t xml:space="preserve"> 5 de julio de 2019</w:t>
      </w:r>
    </w:p>
    <w:p w:rsidR="008B2CC1" w:rsidRPr="001E5D82" w:rsidRDefault="008B2CC1" w:rsidP="008B2CC1">
      <w:pPr>
        <w:rPr>
          <w:lang w:val="es-419"/>
        </w:rPr>
      </w:pPr>
    </w:p>
    <w:p w:rsidR="008B2CC1" w:rsidRPr="001E5D82" w:rsidRDefault="008B2CC1" w:rsidP="008B2CC1">
      <w:pPr>
        <w:rPr>
          <w:lang w:val="es-419"/>
        </w:rPr>
      </w:pPr>
    </w:p>
    <w:p w:rsidR="008B2CC1" w:rsidRPr="001E5D82" w:rsidRDefault="008B2CC1" w:rsidP="008B2CC1">
      <w:pPr>
        <w:rPr>
          <w:lang w:val="es-419"/>
        </w:rPr>
      </w:pPr>
    </w:p>
    <w:p w:rsidR="008B2CC1" w:rsidRPr="001E5D82" w:rsidRDefault="00E31047" w:rsidP="008B2CC1">
      <w:pPr>
        <w:rPr>
          <w:caps/>
          <w:sz w:val="24"/>
          <w:lang w:val="es-419"/>
        </w:rPr>
      </w:pPr>
      <w:bookmarkStart w:id="3" w:name="TitleOfDoc"/>
      <w:bookmarkStart w:id="4" w:name="_GoBack"/>
      <w:bookmarkEnd w:id="3"/>
      <w:r w:rsidRPr="001E5D82">
        <w:rPr>
          <w:caps/>
          <w:sz w:val="24"/>
          <w:lang w:val="es-419"/>
        </w:rPr>
        <w:t>Informe sobre la Tarea N.º 57</w:t>
      </w:r>
    </w:p>
    <w:bookmarkEnd w:id="4"/>
    <w:p w:rsidR="008B2CC1" w:rsidRPr="001E5D82" w:rsidRDefault="008B2CC1" w:rsidP="008B2CC1">
      <w:pPr>
        <w:rPr>
          <w:lang w:val="es-419"/>
        </w:rPr>
      </w:pPr>
    </w:p>
    <w:p w:rsidR="008B2CC1" w:rsidRPr="001E5D82" w:rsidRDefault="00E31047" w:rsidP="008B2CC1">
      <w:pPr>
        <w:rPr>
          <w:i/>
          <w:lang w:val="es-419"/>
        </w:rPr>
      </w:pPr>
      <w:bookmarkStart w:id="5" w:name="Prepared"/>
      <w:bookmarkEnd w:id="5"/>
      <w:r w:rsidRPr="001E5D82">
        <w:rPr>
          <w:i/>
          <w:lang w:val="es-419"/>
        </w:rPr>
        <w:t>Documento preparado por los corresponsables del Equipo Técnico de Representación de Dibujos y Modelos</w:t>
      </w:r>
    </w:p>
    <w:p w:rsidR="008B2CC1" w:rsidRPr="001E5D82" w:rsidRDefault="008B2CC1" w:rsidP="003845C1">
      <w:pPr>
        <w:rPr>
          <w:lang w:val="es-419"/>
        </w:rPr>
      </w:pPr>
    </w:p>
    <w:p w:rsidR="000F5E56" w:rsidRPr="001E5D82" w:rsidRDefault="000F5E56">
      <w:pPr>
        <w:rPr>
          <w:lang w:val="es-419"/>
        </w:rPr>
      </w:pPr>
    </w:p>
    <w:p w:rsidR="00F84474" w:rsidRPr="001E5D82" w:rsidRDefault="00F84474">
      <w:pPr>
        <w:rPr>
          <w:lang w:val="es-419"/>
        </w:rPr>
      </w:pPr>
    </w:p>
    <w:p w:rsidR="00F84474" w:rsidRPr="001E5D82" w:rsidRDefault="00F84474">
      <w:pPr>
        <w:rPr>
          <w:lang w:val="es-419"/>
        </w:rPr>
      </w:pPr>
    </w:p>
    <w:p w:rsidR="00E31047" w:rsidRPr="001E5D82" w:rsidRDefault="00E31047" w:rsidP="00E31047">
      <w:pPr>
        <w:rPr>
          <w:lang w:val="es-419"/>
        </w:rPr>
      </w:pPr>
    </w:p>
    <w:p w:rsidR="00E31047" w:rsidRPr="001E5D82" w:rsidRDefault="00E31047" w:rsidP="00E31047">
      <w:pPr>
        <w:pStyle w:val="Heading2"/>
        <w:spacing w:before="0"/>
        <w:rPr>
          <w:rFonts w:eastAsia="Malgun Gothic"/>
          <w:caps w:val="0"/>
          <w:szCs w:val="22"/>
          <w:lang w:val="es-419"/>
        </w:rPr>
      </w:pPr>
      <w:r w:rsidRPr="001E5D82">
        <w:rPr>
          <w:rFonts w:eastAsia="Malgun Gothic"/>
          <w:caps w:val="0"/>
          <w:szCs w:val="22"/>
          <w:lang w:val="es-419"/>
        </w:rPr>
        <w:t>ANTECEDENTES</w:t>
      </w:r>
    </w:p>
    <w:p w:rsidR="00C60A95" w:rsidRPr="001E5D82" w:rsidRDefault="00C60A95" w:rsidP="00C60A95">
      <w:pPr>
        <w:spacing w:after="220"/>
        <w:rPr>
          <w:lang w:val="es-419"/>
        </w:rPr>
      </w:pPr>
      <w:r w:rsidRPr="001E5D82">
        <w:rPr>
          <w:lang w:val="es-419"/>
        </w:rPr>
        <w:fldChar w:fldCharType="begin"/>
      </w:r>
      <w:r w:rsidRPr="001E5D82">
        <w:rPr>
          <w:lang w:val="es-419"/>
        </w:rPr>
        <w:instrText xml:space="preserve"> AUTONUM  </w:instrText>
      </w:r>
      <w:r w:rsidRPr="001E5D82">
        <w:rPr>
          <w:lang w:val="es-419"/>
        </w:rPr>
        <w:fldChar w:fldCharType="end"/>
      </w:r>
      <w:r w:rsidRPr="001E5D82">
        <w:rPr>
          <w:lang w:val="es-419"/>
        </w:rPr>
        <w:tab/>
        <w:t xml:space="preserve">En su sexta sesión, celebrada en octubre de 2018, el Comité de Normas Técnicas de la OMPI (CWS) examinó el proyecto de cuestionario sobre la representación visual electrónica de los </w:t>
      </w:r>
      <w:r w:rsidR="00F239E8">
        <w:rPr>
          <w:lang w:val="es-419"/>
        </w:rPr>
        <w:t>dibujos y modelos (diseños)</w:t>
      </w:r>
      <w:r w:rsidRPr="001E5D82">
        <w:rPr>
          <w:lang w:val="es-419"/>
        </w:rPr>
        <w:t xml:space="preserve"> industriales, preparado por el Equipo Técnico y tomó nota de los objetivos de la </w:t>
      </w:r>
      <w:r w:rsidR="001E5D82" w:rsidRPr="001E5D82">
        <w:rPr>
          <w:lang w:val="es-419"/>
        </w:rPr>
        <w:t xml:space="preserve">Norma </w:t>
      </w:r>
      <w:r w:rsidRPr="001E5D82">
        <w:rPr>
          <w:lang w:val="es-419"/>
        </w:rPr>
        <w:t>acordados por el Equipo Técnico. El CWS tomó nota asimismo del plan de trabajo del Equipo Técnico, en particular, de las medidas que habían de t</w:t>
      </w:r>
      <w:r w:rsidR="001E5D82">
        <w:rPr>
          <w:lang w:val="es-419"/>
        </w:rPr>
        <w:t>omarse tras la sexta sesión del</w:t>
      </w:r>
      <w:r w:rsidR="00AD063D">
        <w:rPr>
          <w:lang w:val="es-419"/>
        </w:rPr>
        <w:t xml:space="preserve"> </w:t>
      </w:r>
      <w:r w:rsidRPr="001E5D82">
        <w:rPr>
          <w:lang w:val="es-419"/>
        </w:rPr>
        <w:t>CWS (véanse los párrafos 169 a 178 del documento CWS/6/34).</w:t>
      </w:r>
    </w:p>
    <w:p w:rsidR="00C60A95" w:rsidRPr="001E5D82" w:rsidRDefault="00C60A95" w:rsidP="00C60A95">
      <w:pPr>
        <w:spacing w:after="220"/>
        <w:rPr>
          <w:lang w:val="es-419"/>
        </w:rPr>
      </w:pPr>
      <w:r w:rsidRPr="001E5D82">
        <w:rPr>
          <w:lang w:val="es-419"/>
        </w:rPr>
        <w:fldChar w:fldCharType="begin"/>
      </w:r>
      <w:r w:rsidRPr="001E5D82">
        <w:rPr>
          <w:lang w:val="es-419"/>
        </w:rPr>
        <w:instrText xml:space="preserve"> AUTONUM  </w:instrText>
      </w:r>
      <w:r w:rsidRPr="001E5D82">
        <w:rPr>
          <w:lang w:val="es-419"/>
        </w:rPr>
        <w:fldChar w:fldCharType="end"/>
      </w:r>
      <w:r w:rsidRPr="001E5D82">
        <w:rPr>
          <w:lang w:val="es-419"/>
        </w:rPr>
        <w:tab/>
        <w:t xml:space="preserve">Los objetivos acordados de la </w:t>
      </w:r>
      <w:r w:rsidR="001E5D82">
        <w:rPr>
          <w:lang w:val="es-419"/>
        </w:rPr>
        <w:t>Norma</w:t>
      </w:r>
      <w:r w:rsidRPr="001E5D82">
        <w:rPr>
          <w:lang w:val="es-419"/>
        </w:rPr>
        <w:t xml:space="preserve"> son:</w:t>
      </w:r>
    </w:p>
    <w:p w:rsidR="00C60A95" w:rsidRPr="001E5D82" w:rsidRDefault="00C60A95" w:rsidP="00C60A95">
      <w:pPr>
        <w:numPr>
          <w:ilvl w:val="0"/>
          <w:numId w:val="7"/>
        </w:numPr>
        <w:tabs>
          <w:tab w:val="left" w:pos="630"/>
          <w:tab w:val="left" w:pos="1350"/>
        </w:tabs>
        <w:spacing w:after="120" w:line="259" w:lineRule="auto"/>
        <w:ind w:left="907" w:firstLine="0"/>
        <w:rPr>
          <w:rFonts w:eastAsiaTheme="minorHAnsi"/>
          <w:szCs w:val="22"/>
          <w:lang w:val="es-419" w:eastAsia="en-US"/>
        </w:rPr>
      </w:pPr>
      <w:r w:rsidRPr="001E5D82">
        <w:rPr>
          <w:rFonts w:eastAsiaTheme="minorHAnsi"/>
          <w:szCs w:val="22"/>
          <w:lang w:val="es-419" w:eastAsia="en-US"/>
        </w:rPr>
        <w:t>maximizar la reutilización de las mismas representaciones visuales del diseño industrial en todas las oficinas de PI; y</w:t>
      </w:r>
    </w:p>
    <w:p w:rsidR="00C60A95" w:rsidRPr="001E5D82" w:rsidRDefault="00C60A95" w:rsidP="00F239E8">
      <w:pPr>
        <w:numPr>
          <w:ilvl w:val="0"/>
          <w:numId w:val="7"/>
        </w:numPr>
        <w:tabs>
          <w:tab w:val="left" w:pos="630"/>
          <w:tab w:val="left" w:pos="1350"/>
        </w:tabs>
        <w:spacing w:after="220" w:line="259" w:lineRule="auto"/>
        <w:ind w:left="907" w:firstLine="0"/>
        <w:rPr>
          <w:rFonts w:eastAsiaTheme="minorHAnsi"/>
          <w:szCs w:val="22"/>
          <w:lang w:val="es-419" w:eastAsia="en-US"/>
        </w:rPr>
      </w:pPr>
      <w:r w:rsidRPr="001E5D82">
        <w:rPr>
          <w:rFonts w:eastAsiaTheme="minorHAnsi"/>
          <w:szCs w:val="22"/>
          <w:lang w:val="es-419" w:eastAsia="en-US"/>
        </w:rPr>
        <w:t>establecer requisitos comunes para ayudar a las oficinas de PI a intercambiar, procesar, publicar y buscar representaciones visuales de los datos sobre los diseños industriales.</w:t>
      </w:r>
    </w:p>
    <w:p w:rsidR="00C60A95" w:rsidRPr="001E5D82" w:rsidRDefault="00C60A95" w:rsidP="00C60A95">
      <w:pPr>
        <w:spacing w:after="220"/>
        <w:rPr>
          <w:lang w:val="es-419"/>
        </w:rPr>
      </w:pPr>
      <w:r w:rsidRPr="001E5D82">
        <w:rPr>
          <w:lang w:val="es-419"/>
        </w:rPr>
        <w:fldChar w:fldCharType="begin"/>
      </w:r>
      <w:r w:rsidRPr="001E5D82">
        <w:rPr>
          <w:lang w:val="es-419"/>
        </w:rPr>
        <w:instrText xml:space="preserve"> AUTONUM  </w:instrText>
      </w:r>
      <w:r w:rsidRPr="001E5D82">
        <w:rPr>
          <w:lang w:val="es-419"/>
        </w:rPr>
        <w:fldChar w:fldCharType="end"/>
      </w:r>
      <w:r w:rsidRPr="001E5D82">
        <w:rPr>
          <w:lang w:val="es-419"/>
        </w:rPr>
        <w:tab/>
        <w:t>El CWS aprobó el cuestionario propuesto sobre la representación visual electrónica de los diseños industriales, con algunas revisiones y siete preguntas adicionales convenidas por el Equipo Técnico en relación con la "Parte 7 – Requisitos relativos a la perspectiva". El CWS pidió a la Oficina Internacional que lleve a cabo una encuesta entre las oficinas de PI e informe sobre los resultados en la séptima sesión del CWS. (Véanse los párrafos 173 a 178 del documento CWS/6/34).</w:t>
      </w:r>
    </w:p>
    <w:p w:rsidR="00C60A95" w:rsidRPr="001E5D82" w:rsidRDefault="00C60A95" w:rsidP="00C60A95">
      <w:pPr>
        <w:keepNext/>
        <w:spacing w:before="240" w:after="60"/>
        <w:outlineLvl w:val="1"/>
        <w:rPr>
          <w:rFonts w:eastAsia="Malgun Gothic"/>
          <w:bCs/>
          <w:iCs/>
          <w:szCs w:val="22"/>
          <w:lang w:val="es-419"/>
        </w:rPr>
      </w:pPr>
      <w:r w:rsidRPr="001E5D82">
        <w:rPr>
          <w:rFonts w:eastAsia="Malgun Gothic"/>
          <w:bCs/>
          <w:iCs/>
          <w:szCs w:val="22"/>
          <w:lang w:val="es-419"/>
        </w:rPr>
        <w:lastRenderedPageBreak/>
        <w:t>INFORME SOBRE LA MARCHA DE LAS ACTIVIDADES</w:t>
      </w:r>
    </w:p>
    <w:p w:rsidR="00C60A95" w:rsidRPr="001E5D82" w:rsidRDefault="00C60A95" w:rsidP="00C60A95">
      <w:pPr>
        <w:spacing w:after="220"/>
        <w:rPr>
          <w:lang w:val="es-419"/>
        </w:rPr>
      </w:pPr>
      <w:r w:rsidRPr="001E5D82">
        <w:rPr>
          <w:lang w:val="es-419"/>
        </w:rPr>
        <w:fldChar w:fldCharType="begin"/>
      </w:r>
      <w:r w:rsidRPr="001E5D82">
        <w:rPr>
          <w:lang w:val="es-419"/>
        </w:rPr>
        <w:instrText xml:space="preserve"> AUTONUM  </w:instrText>
      </w:r>
      <w:r w:rsidRPr="001E5D82">
        <w:rPr>
          <w:lang w:val="es-419"/>
        </w:rPr>
        <w:fldChar w:fldCharType="end"/>
      </w:r>
      <w:r w:rsidRPr="001E5D82">
        <w:rPr>
          <w:lang w:val="es-419"/>
        </w:rPr>
        <w:tab/>
        <w:t>En noviembre de 2018, la Secretaría emitió la Circular C.CWS.110, en la que se invitó a las oficinas de PI a responder a la encuesta sobre Representaciones electrónicas de dibujos y modelos industriales. Presentaron respuestas a la encuesta 25 oficinas. Los resultados y el análisis de la encuesta pueden consultarse en el documento CWS/7/21.</w:t>
      </w:r>
    </w:p>
    <w:p w:rsidR="00C60A95" w:rsidRPr="001E5D82" w:rsidRDefault="00C60A95" w:rsidP="00C60A95">
      <w:pPr>
        <w:keepNext/>
        <w:spacing w:before="240" w:after="60"/>
        <w:outlineLvl w:val="2"/>
        <w:rPr>
          <w:bCs/>
          <w:szCs w:val="26"/>
          <w:u w:val="single"/>
          <w:lang w:val="es-419"/>
        </w:rPr>
      </w:pPr>
      <w:r w:rsidRPr="001E5D82">
        <w:rPr>
          <w:bCs/>
          <w:szCs w:val="26"/>
          <w:u w:val="single"/>
          <w:lang w:val="es-419"/>
        </w:rPr>
        <w:t xml:space="preserve">Elaboración de la declaración de alcance de la </w:t>
      </w:r>
      <w:r w:rsidR="001E5D82">
        <w:rPr>
          <w:bCs/>
          <w:szCs w:val="26"/>
          <w:u w:val="single"/>
          <w:lang w:val="es-419"/>
        </w:rPr>
        <w:t>Norma</w:t>
      </w:r>
    </w:p>
    <w:p w:rsidR="00C60A95" w:rsidRPr="001E5D82" w:rsidRDefault="00C60A95" w:rsidP="00C60A95">
      <w:pPr>
        <w:spacing w:after="220"/>
        <w:rPr>
          <w:lang w:val="es-419"/>
        </w:rPr>
      </w:pPr>
      <w:r w:rsidRPr="001E5D82">
        <w:rPr>
          <w:lang w:val="es-419"/>
        </w:rPr>
        <w:fldChar w:fldCharType="begin"/>
      </w:r>
      <w:r w:rsidRPr="001E5D82">
        <w:rPr>
          <w:lang w:val="es-419"/>
        </w:rPr>
        <w:instrText xml:space="preserve"> AUTONUM  </w:instrText>
      </w:r>
      <w:r w:rsidRPr="001E5D82">
        <w:rPr>
          <w:lang w:val="es-419"/>
        </w:rPr>
        <w:fldChar w:fldCharType="end"/>
      </w:r>
      <w:r w:rsidRPr="001E5D82">
        <w:rPr>
          <w:lang w:val="es-419"/>
        </w:rPr>
        <w:tab/>
        <w:t>Los corresponsables del Equipo Técnico elaboraron un proyecto de declaración de alcance de la Norma, publicado en el espacio wiki del Equipo Técnico para que se formularan observaciones, cuyo texto es el siguiente:</w:t>
      </w:r>
    </w:p>
    <w:p w:rsidR="00C60A95" w:rsidRPr="001E5D82" w:rsidRDefault="00C60A95" w:rsidP="00C60A95">
      <w:pPr>
        <w:tabs>
          <w:tab w:val="left" w:pos="630"/>
          <w:tab w:val="left" w:pos="1350"/>
        </w:tabs>
        <w:spacing w:after="160" w:line="259" w:lineRule="auto"/>
        <w:ind w:left="900"/>
        <w:contextualSpacing/>
        <w:rPr>
          <w:rFonts w:eastAsiaTheme="minorHAnsi"/>
          <w:szCs w:val="22"/>
          <w:lang w:val="es-419" w:eastAsia="en-US"/>
        </w:rPr>
      </w:pPr>
      <w:r w:rsidRPr="001E5D82">
        <w:rPr>
          <w:rFonts w:eastAsiaTheme="minorHAnsi"/>
          <w:szCs w:val="22"/>
          <w:lang w:val="es-419" w:eastAsia="en-US"/>
        </w:rPr>
        <w:t>“a)</w:t>
      </w:r>
      <w:r w:rsidRPr="001E5D82">
        <w:rPr>
          <w:rFonts w:eastAsiaTheme="minorHAnsi"/>
          <w:szCs w:val="22"/>
          <w:lang w:val="es-419" w:eastAsia="en-US"/>
        </w:rPr>
        <w:tab/>
        <w:t>El objetivo de esta Norma es proporcionar</w:t>
      </w:r>
      <w:r w:rsidR="00F239E8">
        <w:rPr>
          <w:rFonts w:eastAsiaTheme="minorHAnsi"/>
          <w:szCs w:val="22"/>
          <w:lang w:val="es-419" w:eastAsia="en-US"/>
        </w:rPr>
        <w:t xml:space="preserve"> orientación a las oficinas de </w:t>
      </w:r>
      <w:r w:rsidRPr="001E5D82">
        <w:rPr>
          <w:rFonts w:eastAsiaTheme="minorHAnsi"/>
          <w:szCs w:val="22"/>
          <w:lang w:val="es-419" w:eastAsia="en-US"/>
        </w:rPr>
        <w:t xml:space="preserve">propiedad intelectual (PI) y a otras organizaciones que necesitan gestionar, almacenar, </w:t>
      </w:r>
      <w:r w:rsidR="00F239E8">
        <w:rPr>
          <w:rFonts w:eastAsiaTheme="minorHAnsi"/>
          <w:szCs w:val="22"/>
          <w:lang w:val="es-419" w:eastAsia="en-US"/>
        </w:rPr>
        <w:t>procesar</w:t>
      </w:r>
      <w:r w:rsidRPr="001E5D82">
        <w:rPr>
          <w:rFonts w:eastAsiaTheme="minorHAnsi"/>
          <w:szCs w:val="22"/>
          <w:lang w:val="es-419" w:eastAsia="en-US"/>
        </w:rPr>
        <w:t xml:space="preserve">, intercambiar y difundir representaciones visuales de diseños industriales. Con el uso de esta Norma, se pretende simplificar y agilizar la interacción de las oficinas de PI </w:t>
      </w:r>
      <w:r w:rsidR="00F239E8">
        <w:rPr>
          <w:rFonts w:eastAsiaTheme="minorHAnsi"/>
          <w:szCs w:val="22"/>
          <w:lang w:val="es-419" w:eastAsia="en-US"/>
        </w:rPr>
        <w:t>en lo que atañe</w:t>
      </w:r>
      <w:r w:rsidRPr="001E5D82">
        <w:rPr>
          <w:rFonts w:eastAsiaTheme="minorHAnsi"/>
          <w:szCs w:val="22"/>
          <w:lang w:val="es-419" w:eastAsia="en-US"/>
        </w:rPr>
        <w:t xml:space="preserve"> a las representaciones visuales de los datos sobre los diseños industriales</w:t>
      </w:r>
      <w:r w:rsidR="00F239E8">
        <w:rPr>
          <w:rFonts w:eastAsiaTheme="minorHAnsi"/>
          <w:szCs w:val="22"/>
          <w:lang w:val="es-419" w:eastAsia="en-US"/>
        </w:rPr>
        <w:t xml:space="preserve">, dotándola de interoperabilidad </w:t>
      </w:r>
      <w:r w:rsidR="00F239E8" w:rsidRPr="001E5D82">
        <w:rPr>
          <w:rFonts w:eastAsiaTheme="minorHAnsi"/>
          <w:szCs w:val="22"/>
          <w:lang w:val="es-419" w:eastAsia="en-US"/>
        </w:rPr>
        <w:t>en el ecosistema de PI</w:t>
      </w:r>
      <w:r w:rsidRPr="001E5D82">
        <w:rPr>
          <w:rFonts w:eastAsiaTheme="minorHAnsi"/>
          <w:szCs w:val="22"/>
          <w:lang w:val="es-419" w:eastAsia="en-US"/>
        </w:rPr>
        <w:t>.”</w:t>
      </w:r>
    </w:p>
    <w:p w:rsidR="00C60A95" w:rsidRPr="001E5D82" w:rsidRDefault="00C60A95" w:rsidP="00C60A95">
      <w:pPr>
        <w:keepNext/>
        <w:spacing w:before="240" w:after="60"/>
        <w:outlineLvl w:val="2"/>
        <w:rPr>
          <w:bCs/>
          <w:szCs w:val="26"/>
          <w:u w:val="single"/>
          <w:lang w:val="es-419"/>
        </w:rPr>
      </w:pPr>
      <w:r w:rsidRPr="001E5D82">
        <w:rPr>
          <w:bCs/>
          <w:szCs w:val="26"/>
          <w:u w:val="single"/>
          <w:lang w:val="es-419"/>
        </w:rPr>
        <w:t>Elaboración del índice de la Norma</w:t>
      </w:r>
    </w:p>
    <w:p w:rsidR="00C60A95" w:rsidRPr="001E5D82" w:rsidRDefault="00C60A95" w:rsidP="00C60A95">
      <w:pPr>
        <w:spacing w:after="220"/>
        <w:rPr>
          <w:u w:val="single"/>
          <w:lang w:val="es-419"/>
        </w:rPr>
      </w:pPr>
      <w:r w:rsidRPr="001E5D82">
        <w:rPr>
          <w:lang w:val="es-419"/>
        </w:rPr>
        <w:fldChar w:fldCharType="begin"/>
      </w:r>
      <w:r w:rsidRPr="001E5D82">
        <w:rPr>
          <w:lang w:val="es-419"/>
        </w:rPr>
        <w:instrText xml:space="preserve"> AUTONUM  </w:instrText>
      </w:r>
      <w:r w:rsidRPr="001E5D82">
        <w:rPr>
          <w:lang w:val="es-419"/>
        </w:rPr>
        <w:fldChar w:fldCharType="end"/>
      </w:r>
      <w:r w:rsidRPr="001E5D82">
        <w:rPr>
          <w:lang w:val="es-419"/>
        </w:rPr>
        <w:tab/>
        <w:t xml:space="preserve">El Equipo Técnico ha elaborado un proyecto de título para la Norma y lo ha incorporado en la propuesta de índice; es el siguiente: “Recomendaciones para la representación electrónica de </w:t>
      </w:r>
      <w:r w:rsidR="00F239E8">
        <w:rPr>
          <w:lang w:val="es-419"/>
        </w:rPr>
        <w:t>dibujos y modelos</w:t>
      </w:r>
      <w:r w:rsidRPr="001E5D82">
        <w:rPr>
          <w:lang w:val="es-419"/>
        </w:rPr>
        <w:t>”.</w:t>
      </w:r>
    </w:p>
    <w:p w:rsidR="00C60A95" w:rsidRPr="001E5D82" w:rsidRDefault="00C60A95" w:rsidP="00C60A95">
      <w:pPr>
        <w:spacing w:after="220"/>
        <w:rPr>
          <w:lang w:val="es-419"/>
        </w:rPr>
      </w:pPr>
      <w:r w:rsidRPr="001E5D82">
        <w:rPr>
          <w:lang w:val="es-419"/>
        </w:rPr>
        <w:fldChar w:fldCharType="begin"/>
      </w:r>
      <w:r w:rsidRPr="001E5D82">
        <w:rPr>
          <w:lang w:val="es-419"/>
        </w:rPr>
        <w:instrText xml:space="preserve"> AUTONUM  </w:instrText>
      </w:r>
      <w:r w:rsidRPr="001E5D82">
        <w:rPr>
          <w:lang w:val="es-419"/>
        </w:rPr>
        <w:fldChar w:fldCharType="end"/>
      </w:r>
      <w:r w:rsidRPr="001E5D82">
        <w:rPr>
          <w:lang w:val="es-419"/>
        </w:rPr>
        <w:tab/>
        <w:t>El proyecto de índice ha sido examinado por los miembros del Equipo Técnico e incluye:</w:t>
      </w:r>
    </w:p>
    <w:p w:rsidR="00C60A95" w:rsidRPr="001E5D82" w:rsidRDefault="00C60A95" w:rsidP="00C60A95">
      <w:pPr>
        <w:numPr>
          <w:ilvl w:val="0"/>
          <w:numId w:val="8"/>
        </w:numPr>
        <w:tabs>
          <w:tab w:val="left" w:pos="630"/>
          <w:tab w:val="left" w:pos="1350"/>
        </w:tabs>
        <w:spacing w:after="160" w:line="259" w:lineRule="auto"/>
        <w:ind w:firstLine="0"/>
        <w:contextualSpacing/>
        <w:rPr>
          <w:rFonts w:eastAsiaTheme="minorHAnsi"/>
          <w:szCs w:val="22"/>
          <w:lang w:val="es-419" w:eastAsia="en-US"/>
        </w:rPr>
      </w:pPr>
      <w:r w:rsidRPr="001E5D82">
        <w:rPr>
          <w:rFonts w:eastAsiaTheme="minorHAnsi"/>
          <w:szCs w:val="22"/>
          <w:lang w:val="es-419" w:eastAsia="en-US"/>
        </w:rPr>
        <w:t>Introducción</w:t>
      </w:r>
    </w:p>
    <w:p w:rsidR="00C60A95" w:rsidRPr="001E5D82" w:rsidRDefault="00C60A95" w:rsidP="00C60A95">
      <w:pPr>
        <w:numPr>
          <w:ilvl w:val="0"/>
          <w:numId w:val="8"/>
        </w:numPr>
        <w:tabs>
          <w:tab w:val="left" w:pos="630"/>
          <w:tab w:val="left" w:pos="1350"/>
        </w:tabs>
        <w:spacing w:after="160" w:line="259" w:lineRule="auto"/>
        <w:ind w:firstLine="0"/>
        <w:contextualSpacing/>
        <w:rPr>
          <w:rFonts w:eastAsiaTheme="minorHAnsi"/>
          <w:szCs w:val="22"/>
          <w:lang w:val="es-419" w:eastAsia="en-US"/>
        </w:rPr>
      </w:pPr>
      <w:r w:rsidRPr="001E5D82">
        <w:rPr>
          <w:rFonts w:eastAsiaTheme="minorHAnsi"/>
          <w:szCs w:val="22"/>
          <w:lang w:val="es-419" w:eastAsia="en-US"/>
        </w:rPr>
        <w:t>Definiciones y terminología</w:t>
      </w:r>
    </w:p>
    <w:p w:rsidR="00C60A95" w:rsidRPr="001E5D82" w:rsidRDefault="00C60A95" w:rsidP="00C60A95">
      <w:pPr>
        <w:numPr>
          <w:ilvl w:val="0"/>
          <w:numId w:val="8"/>
        </w:numPr>
        <w:tabs>
          <w:tab w:val="left" w:pos="630"/>
          <w:tab w:val="left" w:pos="1350"/>
        </w:tabs>
        <w:spacing w:after="160" w:line="259" w:lineRule="auto"/>
        <w:ind w:firstLine="0"/>
        <w:contextualSpacing/>
        <w:rPr>
          <w:rFonts w:eastAsiaTheme="minorHAnsi"/>
          <w:szCs w:val="22"/>
          <w:lang w:val="es-419" w:eastAsia="en-US"/>
        </w:rPr>
      </w:pPr>
      <w:r w:rsidRPr="001E5D82">
        <w:rPr>
          <w:rFonts w:eastAsiaTheme="minorHAnsi"/>
          <w:szCs w:val="22"/>
          <w:lang w:val="es-419" w:eastAsia="en-US"/>
        </w:rPr>
        <w:t>Referencias</w:t>
      </w:r>
    </w:p>
    <w:p w:rsidR="00C60A95" w:rsidRPr="001E5D82" w:rsidRDefault="00C60A95" w:rsidP="00C60A95">
      <w:pPr>
        <w:numPr>
          <w:ilvl w:val="0"/>
          <w:numId w:val="8"/>
        </w:numPr>
        <w:tabs>
          <w:tab w:val="left" w:pos="630"/>
          <w:tab w:val="left" w:pos="1350"/>
        </w:tabs>
        <w:spacing w:after="160" w:line="259" w:lineRule="auto"/>
        <w:ind w:firstLine="0"/>
        <w:contextualSpacing/>
        <w:rPr>
          <w:rFonts w:eastAsiaTheme="minorHAnsi"/>
          <w:szCs w:val="22"/>
          <w:lang w:val="es-419" w:eastAsia="en-US"/>
        </w:rPr>
      </w:pPr>
      <w:r w:rsidRPr="001E5D82">
        <w:rPr>
          <w:rFonts w:eastAsiaTheme="minorHAnsi"/>
          <w:szCs w:val="22"/>
          <w:lang w:val="es-419" w:eastAsia="en-US"/>
        </w:rPr>
        <w:t>Alcance de la Norma</w:t>
      </w:r>
    </w:p>
    <w:p w:rsidR="00C60A95" w:rsidRPr="001E5D82" w:rsidRDefault="00C60A95" w:rsidP="00C60A95">
      <w:pPr>
        <w:numPr>
          <w:ilvl w:val="0"/>
          <w:numId w:val="8"/>
        </w:numPr>
        <w:tabs>
          <w:tab w:val="left" w:pos="630"/>
          <w:tab w:val="left" w:pos="1350"/>
        </w:tabs>
        <w:spacing w:after="160" w:line="259" w:lineRule="auto"/>
        <w:ind w:firstLine="0"/>
        <w:contextualSpacing/>
        <w:rPr>
          <w:rFonts w:eastAsiaTheme="minorHAnsi"/>
          <w:szCs w:val="22"/>
          <w:lang w:val="es-419" w:eastAsia="en-US"/>
        </w:rPr>
      </w:pPr>
      <w:r w:rsidRPr="001E5D82">
        <w:rPr>
          <w:rFonts w:eastAsiaTheme="minorHAnsi"/>
          <w:szCs w:val="22"/>
          <w:lang w:val="es-419" w:eastAsia="en-US"/>
        </w:rPr>
        <w:t>Recomendaciones generales</w:t>
      </w:r>
    </w:p>
    <w:p w:rsidR="00C60A95" w:rsidRPr="001E5D82" w:rsidRDefault="00C60A95" w:rsidP="00C60A95">
      <w:pPr>
        <w:numPr>
          <w:ilvl w:val="0"/>
          <w:numId w:val="8"/>
        </w:numPr>
        <w:tabs>
          <w:tab w:val="left" w:pos="630"/>
          <w:tab w:val="left" w:pos="1350"/>
        </w:tabs>
        <w:spacing w:after="160" w:line="259" w:lineRule="auto"/>
        <w:ind w:left="1350" w:hanging="450"/>
        <w:contextualSpacing/>
        <w:rPr>
          <w:rFonts w:eastAsiaTheme="minorHAnsi"/>
          <w:szCs w:val="22"/>
          <w:lang w:val="es-419" w:eastAsia="en-US"/>
        </w:rPr>
      </w:pPr>
      <w:r w:rsidRPr="001E5D82">
        <w:rPr>
          <w:rFonts w:eastAsiaTheme="minorHAnsi"/>
          <w:szCs w:val="22"/>
          <w:lang w:val="es-419" w:eastAsia="en-US"/>
        </w:rPr>
        <w:t>Recomendaciones relativas al formato y tamaño de la imagen electrónica en</w:t>
      </w:r>
      <w:r w:rsidR="00AD063D">
        <w:rPr>
          <w:rFonts w:eastAsiaTheme="minorHAnsi"/>
          <w:szCs w:val="22"/>
          <w:lang w:val="es-419" w:eastAsia="en-US"/>
        </w:rPr>
        <w:t xml:space="preserve"> </w:t>
      </w:r>
      <w:r w:rsidRPr="001E5D82">
        <w:rPr>
          <w:rFonts w:eastAsiaTheme="minorHAnsi"/>
          <w:szCs w:val="22"/>
          <w:lang w:val="es-419" w:eastAsia="en-US"/>
        </w:rPr>
        <w:t>2D</w:t>
      </w:r>
    </w:p>
    <w:p w:rsidR="00C60A95" w:rsidRPr="001E5D82" w:rsidRDefault="00C60A95" w:rsidP="00C60A95">
      <w:pPr>
        <w:numPr>
          <w:ilvl w:val="0"/>
          <w:numId w:val="8"/>
        </w:numPr>
        <w:tabs>
          <w:tab w:val="left" w:pos="630"/>
          <w:tab w:val="left" w:pos="1350"/>
        </w:tabs>
        <w:spacing w:after="160" w:line="259" w:lineRule="auto"/>
        <w:ind w:left="1350" w:hanging="450"/>
        <w:contextualSpacing/>
        <w:rPr>
          <w:rFonts w:eastAsiaTheme="minorHAnsi"/>
          <w:szCs w:val="22"/>
          <w:lang w:val="es-419" w:eastAsia="en-US"/>
        </w:rPr>
      </w:pPr>
      <w:r w:rsidRPr="001E5D82">
        <w:rPr>
          <w:rFonts w:eastAsiaTheme="minorHAnsi"/>
          <w:szCs w:val="22"/>
          <w:lang w:val="es-419" w:eastAsia="en-US"/>
        </w:rPr>
        <w:t>Recomendaciones relativas al formato y tamaño de la imagen electrónica en</w:t>
      </w:r>
      <w:r w:rsidR="00AD063D">
        <w:rPr>
          <w:rFonts w:eastAsiaTheme="minorHAnsi"/>
          <w:szCs w:val="22"/>
          <w:lang w:val="es-419" w:eastAsia="en-US"/>
        </w:rPr>
        <w:t xml:space="preserve"> </w:t>
      </w:r>
      <w:r w:rsidRPr="001E5D82">
        <w:rPr>
          <w:rFonts w:eastAsiaTheme="minorHAnsi"/>
          <w:szCs w:val="22"/>
          <w:lang w:val="es-419" w:eastAsia="en-US"/>
        </w:rPr>
        <w:t>3D</w:t>
      </w:r>
    </w:p>
    <w:p w:rsidR="00C60A95" w:rsidRPr="001E5D82" w:rsidRDefault="00C60A95" w:rsidP="00C60A95">
      <w:pPr>
        <w:numPr>
          <w:ilvl w:val="0"/>
          <w:numId w:val="8"/>
        </w:numPr>
        <w:tabs>
          <w:tab w:val="left" w:pos="630"/>
          <w:tab w:val="left" w:pos="1350"/>
        </w:tabs>
        <w:spacing w:after="160" w:line="259" w:lineRule="auto"/>
        <w:ind w:left="1350" w:hanging="450"/>
        <w:contextualSpacing/>
        <w:rPr>
          <w:rFonts w:eastAsiaTheme="minorHAnsi"/>
          <w:szCs w:val="22"/>
          <w:lang w:val="es-419" w:eastAsia="en-US"/>
        </w:rPr>
      </w:pPr>
      <w:r w:rsidRPr="001E5D82">
        <w:rPr>
          <w:rFonts w:eastAsiaTheme="minorHAnsi"/>
          <w:szCs w:val="22"/>
          <w:lang w:val="es-419" w:eastAsia="en-US"/>
        </w:rPr>
        <w:t>Recomendaciones relativas al formato y tamaño de la imagen electrónica en video</w:t>
      </w:r>
    </w:p>
    <w:p w:rsidR="00C60A95" w:rsidRPr="001E5D82" w:rsidRDefault="00C60A95" w:rsidP="00C60A95">
      <w:pPr>
        <w:numPr>
          <w:ilvl w:val="0"/>
          <w:numId w:val="8"/>
        </w:numPr>
        <w:tabs>
          <w:tab w:val="left" w:pos="630"/>
          <w:tab w:val="left" w:pos="1350"/>
        </w:tabs>
        <w:spacing w:after="160" w:line="259" w:lineRule="auto"/>
        <w:ind w:firstLine="0"/>
        <w:contextualSpacing/>
        <w:rPr>
          <w:rFonts w:eastAsiaTheme="minorHAnsi"/>
          <w:szCs w:val="22"/>
          <w:lang w:val="es-419" w:eastAsia="en-US"/>
        </w:rPr>
      </w:pPr>
      <w:r w:rsidRPr="001E5D82">
        <w:rPr>
          <w:rFonts w:eastAsiaTheme="minorHAnsi"/>
          <w:szCs w:val="22"/>
          <w:lang w:val="es-419" w:eastAsia="en-US"/>
        </w:rPr>
        <w:t>Recomendaciones para la representación de hologramas</w:t>
      </w:r>
    </w:p>
    <w:p w:rsidR="00C60A95" w:rsidRPr="001E5D82" w:rsidRDefault="00C60A95" w:rsidP="00C60A95">
      <w:pPr>
        <w:numPr>
          <w:ilvl w:val="0"/>
          <w:numId w:val="8"/>
        </w:numPr>
        <w:tabs>
          <w:tab w:val="left" w:pos="630"/>
          <w:tab w:val="left" w:pos="1350"/>
        </w:tabs>
        <w:spacing w:line="259" w:lineRule="auto"/>
        <w:ind w:left="907" w:firstLine="0"/>
        <w:contextualSpacing/>
        <w:rPr>
          <w:rFonts w:eastAsiaTheme="minorHAnsi"/>
          <w:szCs w:val="22"/>
          <w:lang w:val="es-419" w:eastAsia="en-US"/>
        </w:rPr>
      </w:pPr>
      <w:r w:rsidRPr="001E5D82">
        <w:rPr>
          <w:rFonts w:eastAsiaTheme="minorHAnsi"/>
          <w:szCs w:val="22"/>
          <w:lang w:val="es-419" w:eastAsia="en-US"/>
        </w:rPr>
        <w:t>Recomendaciones procedimentales en caso de representación imprecisa</w:t>
      </w:r>
    </w:p>
    <w:p w:rsidR="00E31047" w:rsidRPr="001E5D82" w:rsidRDefault="00C60A95" w:rsidP="00C60A95">
      <w:pPr>
        <w:pStyle w:val="ListParagraph"/>
        <w:numPr>
          <w:ilvl w:val="0"/>
          <w:numId w:val="8"/>
        </w:numPr>
        <w:tabs>
          <w:tab w:val="left" w:pos="630"/>
          <w:tab w:val="left" w:pos="1350"/>
        </w:tabs>
        <w:ind w:firstLine="0"/>
        <w:rPr>
          <w:rFonts w:ascii="Arial" w:hAnsi="Arial" w:cs="Arial"/>
          <w:lang w:val="es-419"/>
        </w:rPr>
      </w:pPr>
      <w:r w:rsidRPr="001E5D82">
        <w:rPr>
          <w:rFonts w:ascii="Arial" w:eastAsia="SimSun" w:hAnsi="Arial" w:cs="Arial"/>
          <w:szCs w:val="20"/>
          <w:lang w:val="es-419" w:eastAsia="zh-CN"/>
        </w:rPr>
        <w:t>Recomendaciones para la publicación en Internet de las representaciones</w:t>
      </w:r>
    </w:p>
    <w:p w:rsidR="00E31047" w:rsidRPr="001E5D82" w:rsidRDefault="00C60A95" w:rsidP="00E31047">
      <w:pPr>
        <w:pStyle w:val="Heading2"/>
        <w:rPr>
          <w:szCs w:val="22"/>
          <w:lang w:val="es-419"/>
        </w:rPr>
      </w:pPr>
      <w:r w:rsidRPr="001E5D82">
        <w:rPr>
          <w:szCs w:val="22"/>
          <w:lang w:val="es-419"/>
        </w:rPr>
        <w:t>PROYECTO DE PLAN DE TRABAJO PARA</w:t>
      </w:r>
      <w:r w:rsidR="00E31047" w:rsidRPr="001E5D82">
        <w:rPr>
          <w:szCs w:val="22"/>
          <w:lang w:val="es-419"/>
        </w:rPr>
        <w:t xml:space="preserve"> 2019/2020</w:t>
      </w:r>
    </w:p>
    <w:tbl>
      <w:tblPr>
        <w:tblStyle w:val="TableGrid1"/>
        <w:tblW w:w="0" w:type="auto"/>
        <w:tblLook w:val="04A0" w:firstRow="1" w:lastRow="0" w:firstColumn="1" w:lastColumn="0" w:noHBand="0" w:noVBand="1"/>
      </w:tblPr>
      <w:tblGrid>
        <w:gridCol w:w="1129"/>
        <w:gridCol w:w="3119"/>
        <w:gridCol w:w="2009"/>
        <w:gridCol w:w="1393"/>
        <w:gridCol w:w="1366"/>
      </w:tblGrid>
      <w:tr w:rsidR="001E5D82" w:rsidRPr="001E5D82" w:rsidTr="007148DB">
        <w:trPr>
          <w:tblHeader/>
        </w:trPr>
        <w:tc>
          <w:tcPr>
            <w:tcW w:w="1129" w:type="dxa"/>
            <w:shd w:val="clear" w:color="auto" w:fill="D9D9D9" w:themeFill="background1" w:themeFillShade="D9"/>
          </w:tcPr>
          <w:p w:rsidR="001E5D82" w:rsidRPr="001E5D82" w:rsidRDefault="001E5D82" w:rsidP="007148DB">
            <w:pPr>
              <w:jc w:val="center"/>
              <w:rPr>
                <w:b/>
                <w:lang w:val="es-419"/>
              </w:rPr>
            </w:pPr>
            <w:r w:rsidRPr="001E5D82">
              <w:rPr>
                <w:b/>
                <w:lang w:val="es-419"/>
              </w:rPr>
              <w:t>Ronda</w:t>
            </w:r>
          </w:p>
        </w:tc>
        <w:tc>
          <w:tcPr>
            <w:tcW w:w="3119" w:type="dxa"/>
            <w:shd w:val="clear" w:color="auto" w:fill="D9D9D9" w:themeFill="background1" w:themeFillShade="D9"/>
          </w:tcPr>
          <w:p w:rsidR="001E5D82" w:rsidRPr="001E5D82" w:rsidRDefault="001E5D82" w:rsidP="007148DB">
            <w:pPr>
              <w:jc w:val="center"/>
              <w:rPr>
                <w:b/>
                <w:lang w:val="es-419"/>
              </w:rPr>
            </w:pPr>
            <w:r w:rsidRPr="001E5D82">
              <w:rPr>
                <w:b/>
                <w:lang w:val="es-419"/>
              </w:rPr>
              <w:t>Medidas</w:t>
            </w:r>
          </w:p>
        </w:tc>
        <w:tc>
          <w:tcPr>
            <w:tcW w:w="2009" w:type="dxa"/>
            <w:shd w:val="clear" w:color="auto" w:fill="D9D9D9" w:themeFill="background1" w:themeFillShade="D9"/>
          </w:tcPr>
          <w:p w:rsidR="001E5D82" w:rsidRPr="001E5D82" w:rsidRDefault="001E5D82" w:rsidP="007148DB">
            <w:pPr>
              <w:jc w:val="center"/>
              <w:rPr>
                <w:b/>
                <w:lang w:val="es-419"/>
              </w:rPr>
            </w:pPr>
            <w:r w:rsidRPr="001E5D82">
              <w:rPr>
                <w:b/>
                <w:lang w:val="es-419"/>
              </w:rPr>
              <w:t>Fecha de finalización prevista</w:t>
            </w:r>
          </w:p>
        </w:tc>
        <w:tc>
          <w:tcPr>
            <w:tcW w:w="1393" w:type="dxa"/>
            <w:shd w:val="clear" w:color="auto" w:fill="D9D9D9" w:themeFill="background1" w:themeFillShade="D9"/>
          </w:tcPr>
          <w:p w:rsidR="001E5D82" w:rsidRPr="001E5D82" w:rsidRDefault="001E5D82" w:rsidP="007148DB">
            <w:pPr>
              <w:jc w:val="center"/>
              <w:rPr>
                <w:b/>
                <w:lang w:val="es-419"/>
              </w:rPr>
            </w:pPr>
            <w:r w:rsidRPr="001E5D82">
              <w:rPr>
                <w:b/>
                <w:lang w:val="es-419"/>
              </w:rPr>
              <w:t>Finalizada</w:t>
            </w:r>
          </w:p>
        </w:tc>
        <w:tc>
          <w:tcPr>
            <w:tcW w:w="1366" w:type="dxa"/>
            <w:shd w:val="clear" w:color="auto" w:fill="D9D9D9" w:themeFill="background1" w:themeFillShade="D9"/>
          </w:tcPr>
          <w:p w:rsidR="001E5D82" w:rsidRPr="001E5D82" w:rsidRDefault="001E5D82" w:rsidP="007148DB">
            <w:pPr>
              <w:jc w:val="center"/>
              <w:rPr>
                <w:b/>
                <w:lang w:val="es-419"/>
              </w:rPr>
            </w:pPr>
            <w:r w:rsidRPr="001E5D82">
              <w:rPr>
                <w:b/>
                <w:lang w:val="es-419"/>
              </w:rPr>
              <w:t>Aplazada</w:t>
            </w:r>
          </w:p>
        </w:tc>
      </w:tr>
      <w:tr w:rsidR="001E5D82" w:rsidRPr="001E5D82" w:rsidTr="007148DB">
        <w:tc>
          <w:tcPr>
            <w:tcW w:w="1129" w:type="dxa"/>
            <w:vMerge w:val="restart"/>
          </w:tcPr>
          <w:p w:rsidR="001E5D82" w:rsidRPr="001E5D82" w:rsidRDefault="001E5D82" w:rsidP="007148DB">
            <w:pPr>
              <w:jc w:val="center"/>
              <w:rPr>
                <w:lang w:val="es-419"/>
              </w:rPr>
            </w:pPr>
          </w:p>
          <w:p w:rsidR="001E5D82" w:rsidRPr="001E5D82" w:rsidRDefault="001E5D82" w:rsidP="007148DB">
            <w:pPr>
              <w:jc w:val="center"/>
              <w:rPr>
                <w:lang w:val="es-419"/>
              </w:rPr>
            </w:pPr>
          </w:p>
          <w:p w:rsidR="001E5D82" w:rsidRPr="001E5D82" w:rsidRDefault="001E5D82" w:rsidP="007148DB">
            <w:pPr>
              <w:jc w:val="center"/>
              <w:rPr>
                <w:lang w:val="es-419"/>
              </w:rPr>
            </w:pPr>
          </w:p>
          <w:p w:rsidR="001E5D82" w:rsidRPr="001E5D82" w:rsidRDefault="001E5D82" w:rsidP="007148DB">
            <w:pPr>
              <w:jc w:val="center"/>
              <w:rPr>
                <w:lang w:val="es-419"/>
              </w:rPr>
            </w:pPr>
          </w:p>
          <w:p w:rsidR="001E5D82" w:rsidRPr="001E5D82" w:rsidRDefault="001E5D82" w:rsidP="007148DB">
            <w:pPr>
              <w:jc w:val="center"/>
              <w:rPr>
                <w:lang w:val="es-419"/>
              </w:rPr>
            </w:pPr>
          </w:p>
          <w:p w:rsidR="001E5D82" w:rsidRPr="001E5D82" w:rsidRDefault="001E5D82" w:rsidP="007148DB">
            <w:pPr>
              <w:jc w:val="center"/>
              <w:rPr>
                <w:lang w:val="es-419"/>
              </w:rPr>
            </w:pPr>
            <w:r w:rsidRPr="001E5D82">
              <w:rPr>
                <w:lang w:val="es-419"/>
              </w:rPr>
              <w:t>3</w:t>
            </w:r>
          </w:p>
        </w:tc>
        <w:tc>
          <w:tcPr>
            <w:tcW w:w="3119" w:type="dxa"/>
          </w:tcPr>
          <w:p w:rsidR="001E5D82" w:rsidRPr="001E5D82" w:rsidRDefault="001E5D82" w:rsidP="007148DB">
            <w:pPr>
              <w:rPr>
                <w:lang w:val="es-419"/>
              </w:rPr>
            </w:pPr>
            <w:r w:rsidRPr="001E5D82">
              <w:rPr>
                <w:lang w:val="es-419"/>
              </w:rPr>
              <w:t xml:space="preserve">Distribuir el </w:t>
            </w:r>
            <w:r w:rsidR="00915075" w:rsidRPr="001E5D82">
              <w:rPr>
                <w:lang w:val="es-419"/>
              </w:rPr>
              <w:t xml:space="preserve">informe </w:t>
            </w:r>
            <w:r w:rsidRPr="001E5D82">
              <w:rPr>
                <w:lang w:val="es-419"/>
              </w:rPr>
              <w:t>de la reunión del Equipo Técnico</w:t>
            </w:r>
          </w:p>
        </w:tc>
        <w:tc>
          <w:tcPr>
            <w:tcW w:w="2009" w:type="dxa"/>
          </w:tcPr>
          <w:p w:rsidR="001E5D82" w:rsidRPr="001E5D82" w:rsidRDefault="001E5D82" w:rsidP="007148DB">
            <w:pPr>
              <w:rPr>
                <w:lang w:val="es-419"/>
              </w:rPr>
            </w:pPr>
            <w:r w:rsidRPr="001E5D82">
              <w:rPr>
                <w:lang w:val="es-419"/>
              </w:rPr>
              <w:t>N</w:t>
            </w:r>
            <w:r w:rsidR="00915075">
              <w:rPr>
                <w:lang w:val="es-419"/>
              </w:rPr>
              <w:t>oviembre de</w:t>
            </w:r>
            <w:r w:rsidR="00AD063D">
              <w:rPr>
                <w:lang w:val="es-419"/>
              </w:rPr>
              <w:t xml:space="preserve"> </w:t>
            </w:r>
            <w:r w:rsidRPr="001E5D82">
              <w:rPr>
                <w:lang w:val="es-419"/>
              </w:rPr>
              <w:t>2018</w:t>
            </w:r>
          </w:p>
        </w:tc>
        <w:tc>
          <w:tcPr>
            <w:tcW w:w="1393" w:type="dxa"/>
          </w:tcPr>
          <w:p w:rsidR="001E5D82" w:rsidRPr="001E5D82" w:rsidRDefault="00A7762D" w:rsidP="007148DB">
            <w:pPr>
              <w:jc w:val="center"/>
              <w:rPr>
                <w:lang w:val="es-419"/>
              </w:rPr>
            </w:pPr>
            <w:sdt>
              <w:sdtPr>
                <w:rPr>
                  <w:lang w:val="es-419"/>
                </w:rPr>
                <w:id w:val="1560290736"/>
                <w14:checkbox>
                  <w14:checked w14:val="1"/>
                  <w14:checkedState w14:val="2612" w14:font="MS Gothic"/>
                  <w14:uncheckedState w14:val="2610" w14:font="MS Gothic"/>
                </w14:checkbox>
              </w:sdtPr>
              <w:sdtEndPr/>
              <w:sdtContent>
                <w:r w:rsidR="00AD063D">
                  <w:rPr>
                    <w:rFonts w:ascii="MS Gothic" w:eastAsia="MS Gothic" w:hAnsi="MS Gothic" w:hint="eastAsia"/>
                    <w:lang w:val="es-419"/>
                  </w:rPr>
                  <w:t>☒</w:t>
                </w:r>
              </w:sdtContent>
            </w:sdt>
          </w:p>
        </w:tc>
        <w:tc>
          <w:tcPr>
            <w:tcW w:w="1366" w:type="dxa"/>
          </w:tcPr>
          <w:p w:rsidR="001E5D82" w:rsidRPr="001E5D82" w:rsidRDefault="00A7762D" w:rsidP="007148DB">
            <w:pPr>
              <w:jc w:val="center"/>
              <w:rPr>
                <w:lang w:val="es-419"/>
              </w:rPr>
            </w:pPr>
            <w:sdt>
              <w:sdtPr>
                <w:rPr>
                  <w:lang w:val="es-419"/>
                </w:rPr>
                <w:id w:val="-223225001"/>
                <w14:checkbox>
                  <w14:checked w14:val="0"/>
                  <w14:checkedState w14:val="2612" w14:font="MS Gothic"/>
                  <w14:uncheckedState w14:val="2610" w14:font="MS Gothic"/>
                </w14:checkbox>
              </w:sdtPr>
              <w:sdtEndPr/>
              <w:sdtContent>
                <w:r w:rsidR="001E5D82" w:rsidRPr="001E5D82">
                  <w:rPr>
                    <w:rFonts w:ascii="MS Gothic" w:eastAsia="MS Gothic" w:hAnsi="MS Gothic"/>
                    <w:lang w:val="es-419"/>
                  </w:rPr>
                  <w:t>☐</w:t>
                </w:r>
              </w:sdtContent>
            </w:sdt>
          </w:p>
        </w:tc>
      </w:tr>
      <w:tr w:rsidR="001E5D82" w:rsidRPr="001E5D82" w:rsidTr="007148DB">
        <w:tc>
          <w:tcPr>
            <w:tcW w:w="1129" w:type="dxa"/>
            <w:vMerge/>
          </w:tcPr>
          <w:p w:rsidR="001E5D82" w:rsidRPr="001E5D82" w:rsidRDefault="001E5D82" w:rsidP="007148DB">
            <w:pPr>
              <w:rPr>
                <w:lang w:val="es-419"/>
              </w:rPr>
            </w:pPr>
          </w:p>
        </w:tc>
        <w:tc>
          <w:tcPr>
            <w:tcW w:w="3119" w:type="dxa"/>
          </w:tcPr>
          <w:p w:rsidR="001E5D82" w:rsidRPr="001E5D82" w:rsidRDefault="001E5D82" w:rsidP="007148DB">
            <w:pPr>
              <w:rPr>
                <w:lang w:val="es-419"/>
              </w:rPr>
            </w:pPr>
            <w:r w:rsidRPr="001E5D82">
              <w:rPr>
                <w:lang w:val="es-419"/>
              </w:rPr>
              <w:t>Emitir una circular dirigida a las oficinas de PI para que respondan al cuestionario sobre representaciones electrónicas de diseños industriales</w:t>
            </w:r>
          </w:p>
        </w:tc>
        <w:tc>
          <w:tcPr>
            <w:tcW w:w="2009" w:type="dxa"/>
          </w:tcPr>
          <w:p w:rsidR="001E5D82" w:rsidRPr="001E5D82" w:rsidRDefault="00915075" w:rsidP="007148DB">
            <w:pPr>
              <w:rPr>
                <w:lang w:val="es-419"/>
              </w:rPr>
            </w:pPr>
            <w:r>
              <w:rPr>
                <w:lang w:val="es-419"/>
              </w:rPr>
              <w:t>Diciembre de</w:t>
            </w:r>
            <w:r w:rsidR="00AD063D">
              <w:rPr>
                <w:lang w:val="es-419"/>
              </w:rPr>
              <w:t xml:space="preserve"> </w:t>
            </w:r>
            <w:r w:rsidR="001E5D82" w:rsidRPr="001E5D82">
              <w:rPr>
                <w:lang w:val="es-419"/>
              </w:rPr>
              <w:t>2018</w:t>
            </w:r>
          </w:p>
        </w:tc>
        <w:tc>
          <w:tcPr>
            <w:tcW w:w="1393" w:type="dxa"/>
          </w:tcPr>
          <w:p w:rsidR="001E5D82" w:rsidRPr="001E5D82" w:rsidRDefault="00A7762D" w:rsidP="007148DB">
            <w:pPr>
              <w:jc w:val="center"/>
              <w:rPr>
                <w:lang w:val="es-419"/>
              </w:rPr>
            </w:pPr>
            <w:sdt>
              <w:sdtPr>
                <w:rPr>
                  <w:lang w:val="es-419"/>
                </w:rPr>
                <w:id w:val="1993366608"/>
                <w14:checkbox>
                  <w14:checked w14:val="1"/>
                  <w14:checkedState w14:val="2612" w14:font="MS Gothic"/>
                  <w14:uncheckedState w14:val="2610" w14:font="MS Gothic"/>
                </w14:checkbox>
              </w:sdtPr>
              <w:sdtEndPr/>
              <w:sdtContent>
                <w:r w:rsidR="001E5D82" w:rsidRPr="001E5D82">
                  <w:rPr>
                    <w:rFonts w:ascii="MS Gothic" w:eastAsia="MS Gothic" w:hAnsi="MS Gothic"/>
                    <w:lang w:val="es-419"/>
                  </w:rPr>
                  <w:t>☒</w:t>
                </w:r>
              </w:sdtContent>
            </w:sdt>
          </w:p>
        </w:tc>
        <w:tc>
          <w:tcPr>
            <w:tcW w:w="1366" w:type="dxa"/>
          </w:tcPr>
          <w:p w:rsidR="001E5D82" w:rsidRPr="001E5D82" w:rsidRDefault="00A7762D" w:rsidP="007148DB">
            <w:pPr>
              <w:jc w:val="center"/>
              <w:rPr>
                <w:lang w:val="es-419"/>
              </w:rPr>
            </w:pPr>
            <w:sdt>
              <w:sdtPr>
                <w:rPr>
                  <w:lang w:val="es-419"/>
                </w:rPr>
                <w:id w:val="-1337223153"/>
                <w14:checkbox>
                  <w14:checked w14:val="0"/>
                  <w14:checkedState w14:val="2612" w14:font="MS Gothic"/>
                  <w14:uncheckedState w14:val="2610" w14:font="MS Gothic"/>
                </w14:checkbox>
              </w:sdtPr>
              <w:sdtEndPr/>
              <w:sdtContent>
                <w:r w:rsidR="001E5D82" w:rsidRPr="001E5D82">
                  <w:rPr>
                    <w:rFonts w:ascii="MS Gothic" w:eastAsia="MS Gothic" w:hAnsi="MS Gothic"/>
                    <w:lang w:val="es-419"/>
                  </w:rPr>
                  <w:t>☐</w:t>
                </w:r>
              </w:sdtContent>
            </w:sdt>
          </w:p>
        </w:tc>
      </w:tr>
      <w:tr w:rsidR="001E5D82" w:rsidRPr="001E5D82" w:rsidTr="007148DB">
        <w:tc>
          <w:tcPr>
            <w:tcW w:w="1129" w:type="dxa"/>
            <w:vMerge/>
          </w:tcPr>
          <w:p w:rsidR="001E5D82" w:rsidRPr="001E5D82" w:rsidRDefault="001E5D82" w:rsidP="007148DB">
            <w:pPr>
              <w:rPr>
                <w:lang w:val="es-419"/>
              </w:rPr>
            </w:pPr>
          </w:p>
        </w:tc>
        <w:tc>
          <w:tcPr>
            <w:tcW w:w="3119" w:type="dxa"/>
          </w:tcPr>
          <w:p w:rsidR="001E5D82" w:rsidRPr="001E5D82" w:rsidRDefault="001E5D82" w:rsidP="007148DB">
            <w:pPr>
              <w:rPr>
                <w:lang w:val="es-419"/>
              </w:rPr>
            </w:pPr>
            <w:r w:rsidRPr="001E5D82">
              <w:rPr>
                <w:lang w:val="es-419"/>
              </w:rPr>
              <w:t xml:space="preserve">Analizar los resultados de la encuesta sobre representaciones </w:t>
            </w:r>
            <w:r w:rsidRPr="001E5D82">
              <w:rPr>
                <w:lang w:val="es-419"/>
              </w:rPr>
              <w:lastRenderedPageBreak/>
              <w:t>electrónicas de diseños industriales</w:t>
            </w:r>
          </w:p>
        </w:tc>
        <w:tc>
          <w:tcPr>
            <w:tcW w:w="2009" w:type="dxa"/>
          </w:tcPr>
          <w:p w:rsidR="001E5D82" w:rsidRPr="001E5D82" w:rsidRDefault="001E5D82" w:rsidP="007148DB">
            <w:pPr>
              <w:rPr>
                <w:lang w:val="es-419"/>
              </w:rPr>
            </w:pPr>
            <w:r w:rsidRPr="001E5D82">
              <w:rPr>
                <w:lang w:val="es-419"/>
              </w:rPr>
              <w:lastRenderedPageBreak/>
              <w:t>Marzo de 2019</w:t>
            </w:r>
          </w:p>
        </w:tc>
        <w:tc>
          <w:tcPr>
            <w:tcW w:w="1393" w:type="dxa"/>
          </w:tcPr>
          <w:p w:rsidR="001E5D82" w:rsidRPr="001E5D82" w:rsidRDefault="00A7762D" w:rsidP="007148DB">
            <w:pPr>
              <w:jc w:val="center"/>
              <w:rPr>
                <w:lang w:val="es-419"/>
              </w:rPr>
            </w:pPr>
            <w:sdt>
              <w:sdtPr>
                <w:rPr>
                  <w:lang w:val="es-419"/>
                </w:rPr>
                <w:id w:val="2130505779"/>
                <w14:checkbox>
                  <w14:checked w14:val="1"/>
                  <w14:checkedState w14:val="2612" w14:font="MS Gothic"/>
                  <w14:uncheckedState w14:val="2610" w14:font="MS Gothic"/>
                </w14:checkbox>
              </w:sdtPr>
              <w:sdtEndPr/>
              <w:sdtContent>
                <w:r w:rsidR="001E5D82" w:rsidRPr="001E5D82">
                  <w:rPr>
                    <w:rFonts w:ascii="MS Gothic" w:eastAsia="MS Gothic" w:hAnsi="MS Gothic"/>
                    <w:lang w:val="es-419"/>
                  </w:rPr>
                  <w:t>☒</w:t>
                </w:r>
              </w:sdtContent>
            </w:sdt>
          </w:p>
        </w:tc>
        <w:tc>
          <w:tcPr>
            <w:tcW w:w="1366" w:type="dxa"/>
          </w:tcPr>
          <w:p w:rsidR="001E5D82" w:rsidRPr="001E5D82" w:rsidRDefault="00A7762D" w:rsidP="007148DB">
            <w:pPr>
              <w:jc w:val="center"/>
              <w:rPr>
                <w:lang w:val="es-419"/>
              </w:rPr>
            </w:pPr>
            <w:sdt>
              <w:sdtPr>
                <w:rPr>
                  <w:lang w:val="es-419"/>
                </w:rPr>
                <w:id w:val="684247568"/>
                <w14:checkbox>
                  <w14:checked w14:val="0"/>
                  <w14:checkedState w14:val="2612" w14:font="MS Gothic"/>
                  <w14:uncheckedState w14:val="2610" w14:font="MS Gothic"/>
                </w14:checkbox>
              </w:sdtPr>
              <w:sdtEndPr/>
              <w:sdtContent>
                <w:r w:rsidR="001E5D82" w:rsidRPr="001E5D82">
                  <w:rPr>
                    <w:rFonts w:ascii="MS Gothic" w:eastAsia="MS Gothic" w:hAnsi="MS Gothic"/>
                    <w:lang w:val="es-419"/>
                  </w:rPr>
                  <w:t>☐</w:t>
                </w:r>
              </w:sdtContent>
            </w:sdt>
          </w:p>
        </w:tc>
      </w:tr>
      <w:tr w:rsidR="001E5D82" w:rsidRPr="001E5D82" w:rsidTr="007148DB">
        <w:tc>
          <w:tcPr>
            <w:tcW w:w="1129" w:type="dxa"/>
            <w:vMerge/>
          </w:tcPr>
          <w:p w:rsidR="001E5D82" w:rsidRPr="001E5D82" w:rsidRDefault="001E5D82" w:rsidP="007148DB">
            <w:pPr>
              <w:rPr>
                <w:lang w:val="es-419"/>
              </w:rPr>
            </w:pPr>
          </w:p>
        </w:tc>
        <w:tc>
          <w:tcPr>
            <w:tcW w:w="3119" w:type="dxa"/>
          </w:tcPr>
          <w:p w:rsidR="001E5D82" w:rsidRPr="001E5D82" w:rsidRDefault="001E5D82" w:rsidP="007148DB">
            <w:pPr>
              <w:rPr>
                <w:lang w:val="es-419"/>
              </w:rPr>
            </w:pPr>
            <w:r w:rsidRPr="001E5D82">
              <w:rPr>
                <w:lang w:val="es-419"/>
              </w:rPr>
              <w:t>Finalizar el proyecto de título de la Norma</w:t>
            </w:r>
          </w:p>
        </w:tc>
        <w:tc>
          <w:tcPr>
            <w:tcW w:w="2009" w:type="dxa"/>
          </w:tcPr>
          <w:p w:rsidR="001E5D82" w:rsidRPr="001E5D82" w:rsidRDefault="001E5D82" w:rsidP="007148DB">
            <w:pPr>
              <w:rPr>
                <w:lang w:val="es-419"/>
              </w:rPr>
            </w:pPr>
            <w:r w:rsidRPr="001E5D82">
              <w:rPr>
                <w:lang w:val="es-419"/>
              </w:rPr>
              <w:t>Mayo de 2019</w:t>
            </w:r>
          </w:p>
        </w:tc>
        <w:tc>
          <w:tcPr>
            <w:tcW w:w="1393" w:type="dxa"/>
          </w:tcPr>
          <w:p w:rsidR="001E5D82" w:rsidRPr="001E5D82" w:rsidRDefault="00A7762D" w:rsidP="007148DB">
            <w:pPr>
              <w:jc w:val="center"/>
              <w:rPr>
                <w:lang w:val="es-419"/>
              </w:rPr>
            </w:pPr>
            <w:sdt>
              <w:sdtPr>
                <w:rPr>
                  <w:lang w:val="es-419"/>
                </w:rPr>
                <w:id w:val="-353419050"/>
                <w14:checkbox>
                  <w14:checked w14:val="1"/>
                  <w14:checkedState w14:val="2612" w14:font="MS Gothic"/>
                  <w14:uncheckedState w14:val="2610" w14:font="MS Gothic"/>
                </w14:checkbox>
              </w:sdtPr>
              <w:sdtEndPr/>
              <w:sdtContent>
                <w:r w:rsidR="001E5D82" w:rsidRPr="001E5D82">
                  <w:rPr>
                    <w:rFonts w:ascii="MS Gothic" w:eastAsia="MS Gothic" w:hAnsi="MS Gothic"/>
                    <w:lang w:val="es-419"/>
                  </w:rPr>
                  <w:t>☒</w:t>
                </w:r>
              </w:sdtContent>
            </w:sdt>
          </w:p>
        </w:tc>
        <w:tc>
          <w:tcPr>
            <w:tcW w:w="1366" w:type="dxa"/>
          </w:tcPr>
          <w:p w:rsidR="001E5D82" w:rsidRPr="001E5D82" w:rsidRDefault="00A7762D" w:rsidP="007148DB">
            <w:pPr>
              <w:jc w:val="center"/>
              <w:rPr>
                <w:lang w:val="es-419"/>
              </w:rPr>
            </w:pPr>
            <w:sdt>
              <w:sdtPr>
                <w:rPr>
                  <w:lang w:val="es-419"/>
                </w:rPr>
                <w:id w:val="-496954795"/>
                <w14:checkbox>
                  <w14:checked w14:val="0"/>
                  <w14:checkedState w14:val="2612" w14:font="MS Gothic"/>
                  <w14:uncheckedState w14:val="2610" w14:font="MS Gothic"/>
                </w14:checkbox>
              </w:sdtPr>
              <w:sdtEndPr/>
              <w:sdtContent>
                <w:r w:rsidR="001E5D82" w:rsidRPr="001E5D82">
                  <w:rPr>
                    <w:rFonts w:ascii="MS Gothic" w:eastAsia="MS Gothic" w:hAnsi="MS Gothic"/>
                    <w:lang w:val="es-419"/>
                  </w:rPr>
                  <w:t>☐</w:t>
                </w:r>
              </w:sdtContent>
            </w:sdt>
          </w:p>
        </w:tc>
      </w:tr>
      <w:tr w:rsidR="001E5D82" w:rsidRPr="001E5D82" w:rsidTr="007148DB">
        <w:tc>
          <w:tcPr>
            <w:tcW w:w="1129" w:type="dxa"/>
            <w:vMerge/>
          </w:tcPr>
          <w:p w:rsidR="001E5D82" w:rsidRPr="001E5D82" w:rsidRDefault="001E5D82" w:rsidP="007148DB">
            <w:pPr>
              <w:rPr>
                <w:lang w:val="es-419"/>
              </w:rPr>
            </w:pPr>
          </w:p>
        </w:tc>
        <w:tc>
          <w:tcPr>
            <w:tcW w:w="3119" w:type="dxa"/>
          </w:tcPr>
          <w:p w:rsidR="001E5D82" w:rsidRPr="001E5D82" w:rsidRDefault="001E5D82" w:rsidP="007148DB">
            <w:pPr>
              <w:rPr>
                <w:lang w:val="es-419"/>
              </w:rPr>
            </w:pPr>
            <w:r w:rsidRPr="001E5D82">
              <w:rPr>
                <w:lang w:val="es-419"/>
              </w:rPr>
              <w:t>Proponer el proyecto de declaración de alcance de la Norma</w:t>
            </w:r>
          </w:p>
        </w:tc>
        <w:tc>
          <w:tcPr>
            <w:tcW w:w="2009" w:type="dxa"/>
          </w:tcPr>
          <w:p w:rsidR="001E5D82" w:rsidRPr="001E5D82" w:rsidRDefault="001E5D82" w:rsidP="007148DB">
            <w:pPr>
              <w:rPr>
                <w:lang w:val="es-419"/>
              </w:rPr>
            </w:pPr>
            <w:r w:rsidRPr="001E5D82">
              <w:rPr>
                <w:lang w:val="es-419"/>
              </w:rPr>
              <w:t>Mayo de 2019</w:t>
            </w:r>
          </w:p>
        </w:tc>
        <w:tc>
          <w:tcPr>
            <w:tcW w:w="1393" w:type="dxa"/>
          </w:tcPr>
          <w:p w:rsidR="001E5D82" w:rsidRPr="001E5D82" w:rsidRDefault="00A7762D" w:rsidP="007148DB">
            <w:pPr>
              <w:jc w:val="center"/>
              <w:rPr>
                <w:lang w:val="es-419"/>
              </w:rPr>
            </w:pPr>
            <w:sdt>
              <w:sdtPr>
                <w:rPr>
                  <w:lang w:val="es-419"/>
                </w:rPr>
                <w:id w:val="175230306"/>
                <w14:checkbox>
                  <w14:checked w14:val="1"/>
                  <w14:checkedState w14:val="2612" w14:font="MS Gothic"/>
                  <w14:uncheckedState w14:val="2610" w14:font="MS Gothic"/>
                </w14:checkbox>
              </w:sdtPr>
              <w:sdtEndPr/>
              <w:sdtContent>
                <w:r w:rsidR="001E5D82" w:rsidRPr="001E5D82">
                  <w:rPr>
                    <w:rFonts w:ascii="MS Gothic" w:eastAsia="MS Gothic" w:hAnsi="MS Gothic"/>
                    <w:lang w:val="es-419"/>
                  </w:rPr>
                  <w:t>☒</w:t>
                </w:r>
              </w:sdtContent>
            </w:sdt>
          </w:p>
        </w:tc>
        <w:tc>
          <w:tcPr>
            <w:tcW w:w="1366" w:type="dxa"/>
          </w:tcPr>
          <w:p w:rsidR="001E5D82" w:rsidRPr="001E5D82" w:rsidRDefault="00A7762D" w:rsidP="007148DB">
            <w:pPr>
              <w:jc w:val="center"/>
              <w:rPr>
                <w:lang w:val="es-419"/>
              </w:rPr>
            </w:pPr>
            <w:sdt>
              <w:sdtPr>
                <w:rPr>
                  <w:lang w:val="es-419"/>
                </w:rPr>
                <w:id w:val="1571153877"/>
                <w14:checkbox>
                  <w14:checked w14:val="0"/>
                  <w14:checkedState w14:val="2612" w14:font="MS Gothic"/>
                  <w14:uncheckedState w14:val="2610" w14:font="MS Gothic"/>
                </w14:checkbox>
              </w:sdtPr>
              <w:sdtEndPr/>
              <w:sdtContent>
                <w:r w:rsidR="001E5D82" w:rsidRPr="001E5D82">
                  <w:rPr>
                    <w:rFonts w:ascii="MS Gothic" w:eastAsia="MS Gothic" w:hAnsi="MS Gothic"/>
                    <w:lang w:val="es-419"/>
                  </w:rPr>
                  <w:t>☐</w:t>
                </w:r>
              </w:sdtContent>
            </w:sdt>
          </w:p>
        </w:tc>
      </w:tr>
      <w:tr w:rsidR="001E5D82" w:rsidRPr="001E5D82" w:rsidTr="007148DB">
        <w:tc>
          <w:tcPr>
            <w:tcW w:w="1129" w:type="dxa"/>
            <w:vMerge/>
          </w:tcPr>
          <w:p w:rsidR="001E5D82" w:rsidRPr="001E5D82" w:rsidRDefault="001E5D82" w:rsidP="007148DB">
            <w:pPr>
              <w:rPr>
                <w:lang w:val="es-419"/>
              </w:rPr>
            </w:pPr>
          </w:p>
        </w:tc>
        <w:tc>
          <w:tcPr>
            <w:tcW w:w="3119" w:type="dxa"/>
          </w:tcPr>
          <w:p w:rsidR="001E5D82" w:rsidRPr="001E5D82" w:rsidRDefault="001E5D82" w:rsidP="007148DB">
            <w:pPr>
              <w:rPr>
                <w:lang w:val="es-419"/>
              </w:rPr>
            </w:pPr>
            <w:r w:rsidRPr="001E5D82">
              <w:rPr>
                <w:lang w:val="es-419"/>
              </w:rPr>
              <w:t xml:space="preserve">Examinar y actualizar el </w:t>
            </w:r>
            <w:r w:rsidR="00915075" w:rsidRPr="001E5D82">
              <w:rPr>
                <w:lang w:val="es-419"/>
              </w:rPr>
              <w:t xml:space="preserve">proyecto </w:t>
            </w:r>
            <w:r w:rsidRPr="001E5D82">
              <w:rPr>
                <w:lang w:val="es-419"/>
              </w:rPr>
              <w:t xml:space="preserve">de </w:t>
            </w:r>
            <w:r w:rsidR="00915075" w:rsidRPr="001E5D82">
              <w:rPr>
                <w:lang w:val="es-419"/>
              </w:rPr>
              <w:t xml:space="preserve">índice </w:t>
            </w:r>
            <w:r w:rsidRPr="001E5D82">
              <w:rPr>
                <w:lang w:val="es-419"/>
              </w:rPr>
              <w:t>de la Norma</w:t>
            </w:r>
          </w:p>
        </w:tc>
        <w:tc>
          <w:tcPr>
            <w:tcW w:w="2009" w:type="dxa"/>
          </w:tcPr>
          <w:p w:rsidR="001E5D82" w:rsidRPr="001E5D82" w:rsidRDefault="001E5D82" w:rsidP="007148DB">
            <w:pPr>
              <w:rPr>
                <w:lang w:val="es-419"/>
              </w:rPr>
            </w:pPr>
            <w:r w:rsidRPr="001E5D82">
              <w:rPr>
                <w:lang w:val="es-419"/>
              </w:rPr>
              <w:t>Mayo de 2019</w:t>
            </w:r>
          </w:p>
        </w:tc>
        <w:tc>
          <w:tcPr>
            <w:tcW w:w="1393" w:type="dxa"/>
          </w:tcPr>
          <w:p w:rsidR="001E5D82" w:rsidRPr="001E5D82" w:rsidRDefault="00A7762D" w:rsidP="007148DB">
            <w:pPr>
              <w:jc w:val="center"/>
              <w:rPr>
                <w:lang w:val="es-419"/>
              </w:rPr>
            </w:pPr>
            <w:sdt>
              <w:sdtPr>
                <w:rPr>
                  <w:lang w:val="es-419"/>
                </w:rPr>
                <w:id w:val="-1018534623"/>
                <w14:checkbox>
                  <w14:checked w14:val="1"/>
                  <w14:checkedState w14:val="2612" w14:font="MS Gothic"/>
                  <w14:uncheckedState w14:val="2610" w14:font="MS Gothic"/>
                </w14:checkbox>
              </w:sdtPr>
              <w:sdtEndPr/>
              <w:sdtContent>
                <w:r w:rsidR="001E5D82" w:rsidRPr="001E5D82">
                  <w:rPr>
                    <w:rFonts w:ascii="MS Gothic" w:eastAsia="MS Gothic" w:hAnsi="MS Gothic"/>
                    <w:lang w:val="es-419"/>
                  </w:rPr>
                  <w:t>☒</w:t>
                </w:r>
              </w:sdtContent>
            </w:sdt>
          </w:p>
        </w:tc>
        <w:tc>
          <w:tcPr>
            <w:tcW w:w="1366" w:type="dxa"/>
          </w:tcPr>
          <w:p w:rsidR="001E5D82" w:rsidRPr="001E5D82" w:rsidRDefault="00A7762D" w:rsidP="007148DB">
            <w:pPr>
              <w:jc w:val="center"/>
              <w:rPr>
                <w:lang w:val="es-419"/>
              </w:rPr>
            </w:pPr>
            <w:sdt>
              <w:sdtPr>
                <w:rPr>
                  <w:lang w:val="es-419"/>
                </w:rPr>
                <w:id w:val="2010173753"/>
                <w14:checkbox>
                  <w14:checked w14:val="0"/>
                  <w14:checkedState w14:val="2612" w14:font="MS Gothic"/>
                  <w14:uncheckedState w14:val="2610" w14:font="MS Gothic"/>
                </w14:checkbox>
              </w:sdtPr>
              <w:sdtEndPr/>
              <w:sdtContent>
                <w:r w:rsidR="001E5D82" w:rsidRPr="001E5D82">
                  <w:rPr>
                    <w:rFonts w:ascii="MS Gothic" w:eastAsia="MS Gothic" w:hAnsi="MS Gothic"/>
                    <w:lang w:val="es-419"/>
                  </w:rPr>
                  <w:t>☐</w:t>
                </w:r>
              </w:sdtContent>
            </w:sdt>
          </w:p>
        </w:tc>
      </w:tr>
      <w:tr w:rsidR="001E5D82" w:rsidRPr="001E5D82" w:rsidTr="007148DB">
        <w:tc>
          <w:tcPr>
            <w:tcW w:w="1129" w:type="dxa"/>
            <w:vMerge w:val="restart"/>
          </w:tcPr>
          <w:p w:rsidR="001E5D82" w:rsidRPr="001E5D82" w:rsidRDefault="001E5D82" w:rsidP="007148DB">
            <w:pPr>
              <w:jc w:val="center"/>
              <w:rPr>
                <w:lang w:val="es-419"/>
              </w:rPr>
            </w:pPr>
          </w:p>
          <w:p w:rsidR="001E5D82" w:rsidRPr="001E5D82" w:rsidRDefault="001E5D82" w:rsidP="007148DB">
            <w:pPr>
              <w:jc w:val="center"/>
              <w:rPr>
                <w:lang w:val="es-419"/>
              </w:rPr>
            </w:pPr>
          </w:p>
          <w:p w:rsidR="001E5D82" w:rsidRPr="001E5D82" w:rsidRDefault="001E5D82" w:rsidP="007148DB">
            <w:pPr>
              <w:jc w:val="center"/>
              <w:rPr>
                <w:lang w:val="es-419"/>
              </w:rPr>
            </w:pPr>
          </w:p>
          <w:p w:rsidR="001E5D82" w:rsidRPr="001E5D82" w:rsidRDefault="001E5D82" w:rsidP="007148DB">
            <w:pPr>
              <w:jc w:val="center"/>
              <w:rPr>
                <w:lang w:val="es-419"/>
              </w:rPr>
            </w:pPr>
            <w:r w:rsidRPr="001E5D82">
              <w:rPr>
                <w:lang w:val="es-419"/>
              </w:rPr>
              <w:t>4</w:t>
            </w:r>
          </w:p>
        </w:tc>
        <w:tc>
          <w:tcPr>
            <w:tcW w:w="3119" w:type="dxa"/>
          </w:tcPr>
          <w:p w:rsidR="001E5D82" w:rsidRPr="001E5D82" w:rsidRDefault="001E5D82" w:rsidP="007148DB">
            <w:pPr>
              <w:rPr>
                <w:lang w:val="es-419"/>
              </w:rPr>
            </w:pPr>
            <w:r w:rsidRPr="001E5D82">
              <w:rPr>
                <w:lang w:val="es-419"/>
              </w:rPr>
              <w:t xml:space="preserve">Presentar el </w:t>
            </w:r>
            <w:r w:rsidR="00915075" w:rsidRPr="001E5D82">
              <w:rPr>
                <w:lang w:val="es-419"/>
              </w:rPr>
              <w:t xml:space="preserve">informe </w:t>
            </w:r>
            <w:r w:rsidRPr="001E5D82">
              <w:rPr>
                <w:lang w:val="es-419"/>
              </w:rPr>
              <w:t>del Equipo Técnico a la Secretaría antes de la CWS/7</w:t>
            </w:r>
          </w:p>
        </w:tc>
        <w:tc>
          <w:tcPr>
            <w:tcW w:w="2009" w:type="dxa"/>
          </w:tcPr>
          <w:p w:rsidR="001E5D82" w:rsidRPr="001E5D82" w:rsidRDefault="001E5D82" w:rsidP="007148DB">
            <w:pPr>
              <w:rPr>
                <w:lang w:val="es-419"/>
              </w:rPr>
            </w:pPr>
            <w:r w:rsidRPr="001E5D82">
              <w:rPr>
                <w:lang w:val="es-419"/>
              </w:rPr>
              <w:t>Mayo de 2019</w:t>
            </w:r>
          </w:p>
        </w:tc>
        <w:tc>
          <w:tcPr>
            <w:tcW w:w="1393" w:type="dxa"/>
          </w:tcPr>
          <w:p w:rsidR="001E5D82" w:rsidRPr="001E5D82" w:rsidRDefault="00A7762D" w:rsidP="007148DB">
            <w:pPr>
              <w:jc w:val="center"/>
              <w:rPr>
                <w:lang w:val="es-419"/>
              </w:rPr>
            </w:pPr>
            <w:sdt>
              <w:sdtPr>
                <w:rPr>
                  <w:lang w:val="es-419"/>
                </w:rPr>
                <w:id w:val="524368746"/>
                <w14:checkbox>
                  <w14:checked w14:val="1"/>
                  <w14:checkedState w14:val="2612" w14:font="MS Gothic"/>
                  <w14:uncheckedState w14:val="2610" w14:font="MS Gothic"/>
                </w14:checkbox>
              </w:sdtPr>
              <w:sdtEndPr/>
              <w:sdtContent>
                <w:r w:rsidR="001E5D82" w:rsidRPr="001E5D82">
                  <w:rPr>
                    <w:rFonts w:ascii="MS Gothic" w:eastAsia="MS Gothic" w:hAnsi="MS Gothic"/>
                    <w:lang w:val="es-419"/>
                  </w:rPr>
                  <w:t>☒</w:t>
                </w:r>
              </w:sdtContent>
            </w:sdt>
          </w:p>
        </w:tc>
        <w:tc>
          <w:tcPr>
            <w:tcW w:w="1366" w:type="dxa"/>
          </w:tcPr>
          <w:p w:rsidR="001E5D82" w:rsidRPr="001E5D82" w:rsidRDefault="00A7762D" w:rsidP="007148DB">
            <w:pPr>
              <w:jc w:val="center"/>
              <w:rPr>
                <w:lang w:val="es-419"/>
              </w:rPr>
            </w:pPr>
            <w:sdt>
              <w:sdtPr>
                <w:rPr>
                  <w:lang w:val="es-419"/>
                </w:rPr>
                <w:id w:val="-1946912818"/>
                <w14:checkbox>
                  <w14:checked w14:val="0"/>
                  <w14:checkedState w14:val="2612" w14:font="MS Gothic"/>
                  <w14:uncheckedState w14:val="2610" w14:font="MS Gothic"/>
                </w14:checkbox>
              </w:sdtPr>
              <w:sdtEndPr/>
              <w:sdtContent>
                <w:r w:rsidR="001E5D82" w:rsidRPr="001E5D82">
                  <w:rPr>
                    <w:rFonts w:ascii="MS Gothic" w:eastAsia="MS Gothic" w:hAnsi="MS Gothic"/>
                    <w:lang w:val="es-419"/>
                  </w:rPr>
                  <w:t>☐</w:t>
                </w:r>
              </w:sdtContent>
            </w:sdt>
          </w:p>
        </w:tc>
      </w:tr>
      <w:tr w:rsidR="001E5D82" w:rsidRPr="001E5D82" w:rsidTr="007148DB">
        <w:tc>
          <w:tcPr>
            <w:tcW w:w="1129" w:type="dxa"/>
            <w:vMerge/>
          </w:tcPr>
          <w:p w:rsidR="001E5D82" w:rsidRPr="001E5D82" w:rsidRDefault="001E5D82" w:rsidP="007148DB">
            <w:pPr>
              <w:rPr>
                <w:lang w:val="es-419"/>
              </w:rPr>
            </w:pPr>
          </w:p>
        </w:tc>
        <w:tc>
          <w:tcPr>
            <w:tcW w:w="3119" w:type="dxa"/>
          </w:tcPr>
          <w:p w:rsidR="001E5D82" w:rsidRPr="001E5D82" w:rsidRDefault="001E5D82" w:rsidP="007148DB">
            <w:pPr>
              <w:rPr>
                <w:lang w:val="es-419"/>
              </w:rPr>
            </w:pPr>
            <w:r w:rsidRPr="001E5D82">
              <w:rPr>
                <w:lang w:val="es-419"/>
              </w:rPr>
              <w:t>Presentar un informe verbal al CWS en la CWS/7</w:t>
            </w:r>
          </w:p>
        </w:tc>
        <w:tc>
          <w:tcPr>
            <w:tcW w:w="2009" w:type="dxa"/>
          </w:tcPr>
          <w:p w:rsidR="001E5D82" w:rsidRPr="001E5D82" w:rsidRDefault="001E5D82" w:rsidP="007148DB">
            <w:pPr>
              <w:rPr>
                <w:lang w:val="es-419"/>
              </w:rPr>
            </w:pPr>
            <w:r w:rsidRPr="001E5D82">
              <w:rPr>
                <w:lang w:val="es-419"/>
              </w:rPr>
              <w:t>Julio de 2019</w:t>
            </w:r>
          </w:p>
        </w:tc>
        <w:tc>
          <w:tcPr>
            <w:tcW w:w="1393" w:type="dxa"/>
          </w:tcPr>
          <w:p w:rsidR="001E5D82" w:rsidRPr="001E5D82" w:rsidRDefault="00A7762D" w:rsidP="007148DB">
            <w:pPr>
              <w:jc w:val="center"/>
              <w:rPr>
                <w:lang w:val="es-419"/>
              </w:rPr>
            </w:pPr>
            <w:sdt>
              <w:sdtPr>
                <w:rPr>
                  <w:lang w:val="es-419"/>
                </w:rPr>
                <w:id w:val="259570719"/>
                <w14:checkbox>
                  <w14:checked w14:val="0"/>
                  <w14:checkedState w14:val="2612" w14:font="MS Gothic"/>
                  <w14:uncheckedState w14:val="2610" w14:font="MS Gothic"/>
                </w14:checkbox>
              </w:sdtPr>
              <w:sdtEndPr/>
              <w:sdtContent>
                <w:r w:rsidR="001E5D82" w:rsidRPr="001E5D82">
                  <w:rPr>
                    <w:rFonts w:ascii="MS Gothic" w:eastAsia="MS Gothic" w:hAnsi="MS Gothic"/>
                    <w:lang w:val="es-419"/>
                  </w:rPr>
                  <w:t>☐</w:t>
                </w:r>
              </w:sdtContent>
            </w:sdt>
          </w:p>
        </w:tc>
        <w:tc>
          <w:tcPr>
            <w:tcW w:w="1366" w:type="dxa"/>
          </w:tcPr>
          <w:p w:rsidR="001E5D82" w:rsidRPr="001E5D82" w:rsidRDefault="00A7762D" w:rsidP="007148DB">
            <w:pPr>
              <w:jc w:val="center"/>
              <w:rPr>
                <w:lang w:val="es-419"/>
              </w:rPr>
            </w:pPr>
            <w:sdt>
              <w:sdtPr>
                <w:rPr>
                  <w:lang w:val="es-419"/>
                </w:rPr>
                <w:id w:val="-164785132"/>
                <w14:checkbox>
                  <w14:checked w14:val="0"/>
                  <w14:checkedState w14:val="2612" w14:font="MS Gothic"/>
                  <w14:uncheckedState w14:val="2610" w14:font="MS Gothic"/>
                </w14:checkbox>
              </w:sdtPr>
              <w:sdtEndPr/>
              <w:sdtContent>
                <w:r w:rsidR="001E5D82" w:rsidRPr="001E5D82">
                  <w:rPr>
                    <w:rFonts w:ascii="MS Gothic" w:eastAsia="MS Gothic" w:hAnsi="MS Gothic"/>
                    <w:lang w:val="es-419"/>
                  </w:rPr>
                  <w:t>☐</w:t>
                </w:r>
              </w:sdtContent>
            </w:sdt>
          </w:p>
        </w:tc>
      </w:tr>
      <w:tr w:rsidR="001E5D82" w:rsidRPr="001E5D82" w:rsidTr="007148DB">
        <w:tc>
          <w:tcPr>
            <w:tcW w:w="1129" w:type="dxa"/>
            <w:vMerge/>
          </w:tcPr>
          <w:p w:rsidR="001E5D82" w:rsidRPr="001E5D82" w:rsidRDefault="001E5D82" w:rsidP="007148DB">
            <w:pPr>
              <w:rPr>
                <w:lang w:val="es-419"/>
              </w:rPr>
            </w:pPr>
          </w:p>
        </w:tc>
        <w:tc>
          <w:tcPr>
            <w:tcW w:w="3119" w:type="dxa"/>
          </w:tcPr>
          <w:p w:rsidR="001E5D82" w:rsidRPr="001E5D82" w:rsidRDefault="001E5D82" w:rsidP="007148DB">
            <w:pPr>
              <w:rPr>
                <w:lang w:val="es-419"/>
              </w:rPr>
            </w:pPr>
            <w:r w:rsidRPr="001E5D82">
              <w:rPr>
                <w:lang w:val="es-419"/>
              </w:rPr>
              <w:t>Presentar los resultados y el análisis de la encuesta sobre representaciones electrónicas de diseños industriales</w:t>
            </w:r>
          </w:p>
        </w:tc>
        <w:tc>
          <w:tcPr>
            <w:tcW w:w="2009" w:type="dxa"/>
          </w:tcPr>
          <w:p w:rsidR="001E5D82" w:rsidRPr="001E5D82" w:rsidRDefault="001E5D82" w:rsidP="007148DB">
            <w:pPr>
              <w:rPr>
                <w:lang w:val="es-419"/>
              </w:rPr>
            </w:pPr>
            <w:r w:rsidRPr="001E5D82">
              <w:rPr>
                <w:lang w:val="es-419"/>
              </w:rPr>
              <w:t>Julio de 2019</w:t>
            </w:r>
          </w:p>
        </w:tc>
        <w:tc>
          <w:tcPr>
            <w:tcW w:w="1393" w:type="dxa"/>
          </w:tcPr>
          <w:p w:rsidR="001E5D82" w:rsidRPr="001E5D82" w:rsidRDefault="00A7762D" w:rsidP="007148DB">
            <w:pPr>
              <w:jc w:val="center"/>
              <w:rPr>
                <w:lang w:val="es-419"/>
              </w:rPr>
            </w:pPr>
            <w:sdt>
              <w:sdtPr>
                <w:rPr>
                  <w:lang w:val="es-419"/>
                </w:rPr>
                <w:id w:val="-1637173198"/>
                <w14:checkbox>
                  <w14:checked w14:val="0"/>
                  <w14:checkedState w14:val="2612" w14:font="MS Gothic"/>
                  <w14:uncheckedState w14:val="2610" w14:font="MS Gothic"/>
                </w14:checkbox>
              </w:sdtPr>
              <w:sdtEndPr/>
              <w:sdtContent>
                <w:r w:rsidR="001E5D82" w:rsidRPr="001E5D82">
                  <w:rPr>
                    <w:rFonts w:ascii="MS Gothic" w:eastAsia="MS Gothic" w:hAnsi="MS Gothic"/>
                    <w:lang w:val="es-419"/>
                  </w:rPr>
                  <w:t>☐</w:t>
                </w:r>
              </w:sdtContent>
            </w:sdt>
          </w:p>
        </w:tc>
        <w:tc>
          <w:tcPr>
            <w:tcW w:w="1366" w:type="dxa"/>
          </w:tcPr>
          <w:p w:rsidR="001E5D82" w:rsidRPr="001E5D82" w:rsidRDefault="00A7762D" w:rsidP="007148DB">
            <w:pPr>
              <w:jc w:val="center"/>
              <w:rPr>
                <w:lang w:val="es-419"/>
              </w:rPr>
            </w:pPr>
            <w:sdt>
              <w:sdtPr>
                <w:rPr>
                  <w:lang w:val="es-419"/>
                </w:rPr>
                <w:id w:val="-1096934582"/>
                <w14:checkbox>
                  <w14:checked w14:val="0"/>
                  <w14:checkedState w14:val="2612" w14:font="MS Gothic"/>
                  <w14:uncheckedState w14:val="2610" w14:font="MS Gothic"/>
                </w14:checkbox>
              </w:sdtPr>
              <w:sdtEndPr/>
              <w:sdtContent>
                <w:r w:rsidR="001E5D82" w:rsidRPr="001E5D82">
                  <w:rPr>
                    <w:rFonts w:ascii="MS Gothic" w:eastAsia="MS Gothic" w:hAnsi="MS Gothic"/>
                    <w:lang w:val="es-419"/>
                  </w:rPr>
                  <w:t>☐</w:t>
                </w:r>
              </w:sdtContent>
            </w:sdt>
          </w:p>
        </w:tc>
      </w:tr>
      <w:tr w:rsidR="001E5D82" w:rsidRPr="001E5D82" w:rsidTr="007148DB">
        <w:tc>
          <w:tcPr>
            <w:tcW w:w="1129" w:type="dxa"/>
            <w:vMerge/>
          </w:tcPr>
          <w:p w:rsidR="001E5D82" w:rsidRPr="001E5D82" w:rsidRDefault="001E5D82" w:rsidP="007148DB">
            <w:pPr>
              <w:rPr>
                <w:lang w:val="es-419"/>
              </w:rPr>
            </w:pPr>
          </w:p>
        </w:tc>
        <w:tc>
          <w:tcPr>
            <w:tcW w:w="3119" w:type="dxa"/>
          </w:tcPr>
          <w:p w:rsidR="001E5D82" w:rsidRPr="001E5D82" w:rsidRDefault="001E5D82" w:rsidP="007148DB">
            <w:pPr>
              <w:rPr>
                <w:lang w:val="es-419"/>
              </w:rPr>
            </w:pPr>
            <w:r w:rsidRPr="001E5D82">
              <w:rPr>
                <w:lang w:val="es-419"/>
              </w:rPr>
              <w:t>Celebrar una reunión presencial del Equipo Técnico durante la CWS/7</w:t>
            </w:r>
          </w:p>
        </w:tc>
        <w:tc>
          <w:tcPr>
            <w:tcW w:w="2009" w:type="dxa"/>
          </w:tcPr>
          <w:p w:rsidR="001E5D82" w:rsidRPr="001E5D82" w:rsidRDefault="001E5D82" w:rsidP="007148DB">
            <w:pPr>
              <w:rPr>
                <w:lang w:val="es-419"/>
              </w:rPr>
            </w:pPr>
            <w:r w:rsidRPr="001E5D82">
              <w:rPr>
                <w:lang w:val="es-419"/>
              </w:rPr>
              <w:t>Julio de 2019</w:t>
            </w:r>
          </w:p>
        </w:tc>
        <w:tc>
          <w:tcPr>
            <w:tcW w:w="1393" w:type="dxa"/>
          </w:tcPr>
          <w:p w:rsidR="001E5D82" w:rsidRPr="001E5D82" w:rsidRDefault="00A7762D" w:rsidP="007148DB">
            <w:pPr>
              <w:jc w:val="center"/>
              <w:rPr>
                <w:lang w:val="es-419"/>
              </w:rPr>
            </w:pPr>
            <w:sdt>
              <w:sdtPr>
                <w:rPr>
                  <w:lang w:val="es-419"/>
                </w:rPr>
                <w:id w:val="-482236576"/>
                <w14:checkbox>
                  <w14:checked w14:val="0"/>
                  <w14:checkedState w14:val="2612" w14:font="MS Gothic"/>
                  <w14:uncheckedState w14:val="2610" w14:font="MS Gothic"/>
                </w14:checkbox>
              </w:sdtPr>
              <w:sdtEndPr/>
              <w:sdtContent>
                <w:r w:rsidR="001E5D82" w:rsidRPr="001E5D82">
                  <w:rPr>
                    <w:rFonts w:ascii="MS Gothic" w:eastAsia="MS Gothic" w:hAnsi="MS Gothic"/>
                    <w:lang w:val="es-419"/>
                  </w:rPr>
                  <w:t>☐</w:t>
                </w:r>
              </w:sdtContent>
            </w:sdt>
          </w:p>
        </w:tc>
        <w:tc>
          <w:tcPr>
            <w:tcW w:w="1366" w:type="dxa"/>
          </w:tcPr>
          <w:p w:rsidR="001E5D82" w:rsidRPr="001E5D82" w:rsidRDefault="00A7762D" w:rsidP="007148DB">
            <w:pPr>
              <w:jc w:val="center"/>
              <w:rPr>
                <w:lang w:val="es-419"/>
              </w:rPr>
            </w:pPr>
            <w:sdt>
              <w:sdtPr>
                <w:rPr>
                  <w:lang w:val="es-419"/>
                </w:rPr>
                <w:id w:val="-1019698658"/>
                <w14:checkbox>
                  <w14:checked w14:val="0"/>
                  <w14:checkedState w14:val="2612" w14:font="MS Gothic"/>
                  <w14:uncheckedState w14:val="2610" w14:font="MS Gothic"/>
                </w14:checkbox>
              </w:sdtPr>
              <w:sdtEndPr/>
              <w:sdtContent>
                <w:r w:rsidR="001E5D82" w:rsidRPr="001E5D82">
                  <w:rPr>
                    <w:rFonts w:ascii="MS Gothic" w:eastAsia="MS Gothic" w:hAnsi="MS Gothic"/>
                    <w:lang w:val="es-419"/>
                  </w:rPr>
                  <w:t>☐</w:t>
                </w:r>
              </w:sdtContent>
            </w:sdt>
          </w:p>
        </w:tc>
      </w:tr>
      <w:tr w:rsidR="001E5D82" w:rsidRPr="001E5D82" w:rsidTr="007148DB">
        <w:tc>
          <w:tcPr>
            <w:tcW w:w="1129" w:type="dxa"/>
            <w:vMerge w:val="restart"/>
          </w:tcPr>
          <w:p w:rsidR="001E5D82" w:rsidRPr="001E5D82" w:rsidRDefault="001E5D82" w:rsidP="007148DB">
            <w:pPr>
              <w:jc w:val="center"/>
              <w:rPr>
                <w:lang w:val="es-419"/>
              </w:rPr>
            </w:pPr>
          </w:p>
          <w:p w:rsidR="001E5D82" w:rsidRPr="001E5D82" w:rsidRDefault="001E5D82" w:rsidP="007148DB">
            <w:pPr>
              <w:jc w:val="center"/>
              <w:rPr>
                <w:lang w:val="es-419"/>
              </w:rPr>
            </w:pPr>
          </w:p>
          <w:p w:rsidR="001E5D82" w:rsidRPr="001E5D82" w:rsidRDefault="001E5D82" w:rsidP="007148DB">
            <w:pPr>
              <w:jc w:val="center"/>
              <w:rPr>
                <w:lang w:val="es-419"/>
              </w:rPr>
            </w:pPr>
            <w:r w:rsidRPr="001E5D82">
              <w:rPr>
                <w:lang w:val="es-419"/>
              </w:rPr>
              <w:t>5</w:t>
            </w:r>
          </w:p>
        </w:tc>
        <w:tc>
          <w:tcPr>
            <w:tcW w:w="3119" w:type="dxa"/>
          </w:tcPr>
          <w:p w:rsidR="001E5D82" w:rsidRPr="001E5D82" w:rsidRDefault="001E5D82" w:rsidP="007148DB">
            <w:pPr>
              <w:rPr>
                <w:lang w:val="es-419"/>
              </w:rPr>
            </w:pPr>
            <w:r w:rsidRPr="001E5D82">
              <w:rPr>
                <w:lang w:val="es-419"/>
              </w:rPr>
              <w:t xml:space="preserve">Finalizar el </w:t>
            </w:r>
            <w:r w:rsidR="00915075" w:rsidRPr="001E5D82">
              <w:rPr>
                <w:lang w:val="es-419"/>
              </w:rPr>
              <w:t xml:space="preserve">proyecto </w:t>
            </w:r>
            <w:r w:rsidRPr="001E5D82">
              <w:rPr>
                <w:lang w:val="es-419"/>
              </w:rPr>
              <w:t xml:space="preserve">de </w:t>
            </w:r>
            <w:r w:rsidR="00915075" w:rsidRPr="001E5D82">
              <w:rPr>
                <w:lang w:val="es-419"/>
              </w:rPr>
              <w:t xml:space="preserve">declaración </w:t>
            </w:r>
            <w:r w:rsidRPr="001E5D82">
              <w:rPr>
                <w:lang w:val="es-419"/>
              </w:rPr>
              <w:t>de alcance de la Norma y los atributos de alcance</w:t>
            </w:r>
          </w:p>
        </w:tc>
        <w:tc>
          <w:tcPr>
            <w:tcW w:w="2009" w:type="dxa"/>
          </w:tcPr>
          <w:p w:rsidR="001E5D82" w:rsidRPr="001E5D82" w:rsidRDefault="00915075" w:rsidP="007148DB">
            <w:pPr>
              <w:rPr>
                <w:lang w:val="es-419"/>
              </w:rPr>
            </w:pPr>
            <w:r>
              <w:rPr>
                <w:lang w:val="es-419"/>
              </w:rPr>
              <w:t>Septiembre de</w:t>
            </w:r>
            <w:r w:rsidR="00AD063D">
              <w:rPr>
                <w:lang w:val="es-419"/>
              </w:rPr>
              <w:t xml:space="preserve"> </w:t>
            </w:r>
            <w:r w:rsidR="001E5D82" w:rsidRPr="001E5D82">
              <w:rPr>
                <w:lang w:val="es-419"/>
              </w:rPr>
              <w:t>2019</w:t>
            </w:r>
          </w:p>
        </w:tc>
        <w:tc>
          <w:tcPr>
            <w:tcW w:w="1393" w:type="dxa"/>
          </w:tcPr>
          <w:p w:rsidR="001E5D82" w:rsidRPr="001E5D82" w:rsidRDefault="00A7762D" w:rsidP="007148DB">
            <w:pPr>
              <w:jc w:val="center"/>
              <w:rPr>
                <w:lang w:val="es-419"/>
              </w:rPr>
            </w:pPr>
            <w:sdt>
              <w:sdtPr>
                <w:rPr>
                  <w:lang w:val="es-419"/>
                </w:rPr>
                <w:id w:val="587354318"/>
                <w14:checkbox>
                  <w14:checked w14:val="0"/>
                  <w14:checkedState w14:val="2612" w14:font="MS Gothic"/>
                  <w14:uncheckedState w14:val="2610" w14:font="MS Gothic"/>
                </w14:checkbox>
              </w:sdtPr>
              <w:sdtEndPr/>
              <w:sdtContent>
                <w:r w:rsidR="001E5D82" w:rsidRPr="001E5D82">
                  <w:rPr>
                    <w:rFonts w:ascii="MS Gothic" w:eastAsia="MS Gothic" w:hAnsi="MS Gothic"/>
                    <w:lang w:val="es-419"/>
                  </w:rPr>
                  <w:t>☐</w:t>
                </w:r>
              </w:sdtContent>
            </w:sdt>
          </w:p>
        </w:tc>
        <w:tc>
          <w:tcPr>
            <w:tcW w:w="1366" w:type="dxa"/>
          </w:tcPr>
          <w:p w:rsidR="001E5D82" w:rsidRPr="001E5D82" w:rsidRDefault="00A7762D" w:rsidP="007148DB">
            <w:pPr>
              <w:jc w:val="center"/>
              <w:rPr>
                <w:lang w:val="es-419"/>
              </w:rPr>
            </w:pPr>
            <w:sdt>
              <w:sdtPr>
                <w:rPr>
                  <w:lang w:val="es-419"/>
                </w:rPr>
                <w:id w:val="-2029163187"/>
                <w14:checkbox>
                  <w14:checked w14:val="0"/>
                  <w14:checkedState w14:val="2612" w14:font="MS Gothic"/>
                  <w14:uncheckedState w14:val="2610" w14:font="MS Gothic"/>
                </w14:checkbox>
              </w:sdtPr>
              <w:sdtEndPr/>
              <w:sdtContent>
                <w:r w:rsidR="001E5D82" w:rsidRPr="001E5D82">
                  <w:rPr>
                    <w:rFonts w:ascii="MS Gothic" w:eastAsia="MS Gothic" w:hAnsi="MS Gothic"/>
                    <w:lang w:val="es-419"/>
                  </w:rPr>
                  <w:t>☐</w:t>
                </w:r>
              </w:sdtContent>
            </w:sdt>
          </w:p>
        </w:tc>
      </w:tr>
      <w:tr w:rsidR="001E5D82" w:rsidRPr="001E5D82" w:rsidTr="007148DB">
        <w:tc>
          <w:tcPr>
            <w:tcW w:w="1129" w:type="dxa"/>
            <w:vMerge/>
          </w:tcPr>
          <w:p w:rsidR="001E5D82" w:rsidRPr="001E5D82" w:rsidRDefault="001E5D82" w:rsidP="007148DB">
            <w:pPr>
              <w:jc w:val="center"/>
              <w:rPr>
                <w:lang w:val="es-419"/>
              </w:rPr>
            </w:pPr>
          </w:p>
        </w:tc>
        <w:tc>
          <w:tcPr>
            <w:tcW w:w="3119" w:type="dxa"/>
          </w:tcPr>
          <w:p w:rsidR="001E5D82" w:rsidRPr="001E5D82" w:rsidRDefault="001E5D82" w:rsidP="007148DB">
            <w:pPr>
              <w:rPr>
                <w:lang w:val="es-419"/>
              </w:rPr>
            </w:pPr>
            <w:r w:rsidRPr="001E5D82">
              <w:rPr>
                <w:lang w:val="es-419"/>
              </w:rPr>
              <w:t xml:space="preserve">Actualizar el </w:t>
            </w:r>
            <w:r w:rsidR="00915075" w:rsidRPr="001E5D82">
              <w:rPr>
                <w:lang w:val="es-419"/>
              </w:rPr>
              <w:t xml:space="preserve">proyecto </w:t>
            </w:r>
            <w:r w:rsidRPr="001E5D82">
              <w:rPr>
                <w:lang w:val="es-419"/>
              </w:rPr>
              <w:t xml:space="preserve">de </w:t>
            </w:r>
            <w:r w:rsidR="00915075" w:rsidRPr="001E5D82">
              <w:rPr>
                <w:lang w:val="es-419"/>
              </w:rPr>
              <w:t xml:space="preserve">índice </w:t>
            </w:r>
            <w:r w:rsidRPr="001E5D82">
              <w:rPr>
                <w:lang w:val="es-419"/>
              </w:rPr>
              <w:t>de la Norma, en sintonía con los resultados de la encuesta</w:t>
            </w:r>
          </w:p>
        </w:tc>
        <w:tc>
          <w:tcPr>
            <w:tcW w:w="2009" w:type="dxa"/>
          </w:tcPr>
          <w:p w:rsidR="001E5D82" w:rsidRPr="001E5D82" w:rsidRDefault="00915075" w:rsidP="007148DB">
            <w:pPr>
              <w:rPr>
                <w:lang w:val="es-419"/>
              </w:rPr>
            </w:pPr>
            <w:r>
              <w:rPr>
                <w:lang w:val="es-419"/>
              </w:rPr>
              <w:t>Noviembre de</w:t>
            </w:r>
            <w:r w:rsidR="00AD063D">
              <w:rPr>
                <w:lang w:val="es-419"/>
              </w:rPr>
              <w:t xml:space="preserve"> </w:t>
            </w:r>
            <w:r w:rsidR="001E5D82" w:rsidRPr="001E5D82">
              <w:rPr>
                <w:lang w:val="es-419"/>
              </w:rPr>
              <w:t>2019</w:t>
            </w:r>
          </w:p>
        </w:tc>
        <w:tc>
          <w:tcPr>
            <w:tcW w:w="1393" w:type="dxa"/>
          </w:tcPr>
          <w:p w:rsidR="001E5D82" w:rsidRPr="001E5D82" w:rsidRDefault="00A7762D" w:rsidP="007148DB">
            <w:pPr>
              <w:jc w:val="center"/>
              <w:rPr>
                <w:lang w:val="es-419"/>
              </w:rPr>
            </w:pPr>
            <w:sdt>
              <w:sdtPr>
                <w:rPr>
                  <w:lang w:val="es-419"/>
                </w:rPr>
                <w:id w:val="-752358998"/>
                <w14:checkbox>
                  <w14:checked w14:val="0"/>
                  <w14:checkedState w14:val="2612" w14:font="MS Gothic"/>
                  <w14:uncheckedState w14:val="2610" w14:font="MS Gothic"/>
                </w14:checkbox>
              </w:sdtPr>
              <w:sdtEndPr/>
              <w:sdtContent>
                <w:r w:rsidR="001E5D82" w:rsidRPr="001E5D82">
                  <w:rPr>
                    <w:rFonts w:ascii="MS Gothic" w:eastAsia="MS Gothic" w:hAnsi="MS Gothic"/>
                    <w:lang w:val="es-419"/>
                  </w:rPr>
                  <w:t>☐</w:t>
                </w:r>
              </w:sdtContent>
            </w:sdt>
          </w:p>
        </w:tc>
        <w:tc>
          <w:tcPr>
            <w:tcW w:w="1366" w:type="dxa"/>
          </w:tcPr>
          <w:p w:rsidR="001E5D82" w:rsidRPr="001E5D82" w:rsidRDefault="00A7762D" w:rsidP="007148DB">
            <w:pPr>
              <w:jc w:val="center"/>
              <w:rPr>
                <w:lang w:val="es-419"/>
              </w:rPr>
            </w:pPr>
            <w:sdt>
              <w:sdtPr>
                <w:rPr>
                  <w:lang w:val="es-419"/>
                </w:rPr>
                <w:id w:val="1838428718"/>
                <w14:checkbox>
                  <w14:checked w14:val="0"/>
                  <w14:checkedState w14:val="2612" w14:font="MS Gothic"/>
                  <w14:uncheckedState w14:val="2610" w14:font="MS Gothic"/>
                </w14:checkbox>
              </w:sdtPr>
              <w:sdtEndPr/>
              <w:sdtContent>
                <w:r w:rsidR="001E5D82" w:rsidRPr="001E5D82">
                  <w:rPr>
                    <w:rFonts w:ascii="MS Gothic" w:eastAsia="MS Gothic" w:hAnsi="MS Gothic"/>
                    <w:lang w:val="es-419"/>
                  </w:rPr>
                  <w:t>☐</w:t>
                </w:r>
              </w:sdtContent>
            </w:sdt>
          </w:p>
        </w:tc>
      </w:tr>
      <w:tr w:rsidR="001E5D82" w:rsidRPr="001E5D82" w:rsidTr="007148DB">
        <w:tc>
          <w:tcPr>
            <w:tcW w:w="1129" w:type="dxa"/>
          </w:tcPr>
          <w:p w:rsidR="001E5D82" w:rsidRPr="001E5D82" w:rsidRDefault="001E5D82" w:rsidP="007148DB">
            <w:pPr>
              <w:jc w:val="center"/>
              <w:rPr>
                <w:lang w:val="es-419"/>
              </w:rPr>
            </w:pPr>
            <w:r w:rsidRPr="001E5D82">
              <w:rPr>
                <w:lang w:val="es-419"/>
              </w:rPr>
              <w:t>6</w:t>
            </w:r>
          </w:p>
        </w:tc>
        <w:tc>
          <w:tcPr>
            <w:tcW w:w="3119" w:type="dxa"/>
          </w:tcPr>
          <w:p w:rsidR="001E5D82" w:rsidRPr="001E5D82" w:rsidRDefault="001E5D82" w:rsidP="007148DB">
            <w:pPr>
              <w:rPr>
                <w:lang w:val="es-419"/>
              </w:rPr>
            </w:pPr>
            <w:r w:rsidRPr="001E5D82">
              <w:rPr>
                <w:lang w:val="es-419"/>
              </w:rPr>
              <w:t>Comenzar los debates sobre la elaboración del proyecto de secciones de la Norma</w:t>
            </w:r>
          </w:p>
        </w:tc>
        <w:tc>
          <w:tcPr>
            <w:tcW w:w="2009" w:type="dxa"/>
          </w:tcPr>
          <w:p w:rsidR="001E5D82" w:rsidRPr="001E5D82" w:rsidRDefault="00915075" w:rsidP="007148DB">
            <w:pPr>
              <w:rPr>
                <w:lang w:val="es-419"/>
              </w:rPr>
            </w:pPr>
            <w:r>
              <w:rPr>
                <w:lang w:val="es-419"/>
              </w:rPr>
              <w:t>Enero de</w:t>
            </w:r>
            <w:r w:rsidR="00AD063D">
              <w:rPr>
                <w:lang w:val="es-419"/>
              </w:rPr>
              <w:t xml:space="preserve"> </w:t>
            </w:r>
            <w:r>
              <w:rPr>
                <w:lang w:val="es-419"/>
              </w:rPr>
              <w:t>2020</w:t>
            </w:r>
          </w:p>
        </w:tc>
        <w:tc>
          <w:tcPr>
            <w:tcW w:w="1393" w:type="dxa"/>
          </w:tcPr>
          <w:p w:rsidR="001E5D82" w:rsidRPr="001E5D82" w:rsidRDefault="00A7762D" w:rsidP="007148DB">
            <w:pPr>
              <w:jc w:val="center"/>
              <w:rPr>
                <w:lang w:val="es-419"/>
              </w:rPr>
            </w:pPr>
            <w:sdt>
              <w:sdtPr>
                <w:rPr>
                  <w:lang w:val="es-419"/>
                </w:rPr>
                <w:id w:val="-963274259"/>
                <w14:checkbox>
                  <w14:checked w14:val="0"/>
                  <w14:checkedState w14:val="2612" w14:font="MS Gothic"/>
                  <w14:uncheckedState w14:val="2610" w14:font="MS Gothic"/>
                </w14:checkbox>
              </w:sdtPr>
              <w:sdtEndPr/>
              <w:sdtContent>
                <w:r w:rsidR="001E5D82" w:rsidRPr="001E5D82">
                  <w:rPr>
                    <w:rFonts w:ascii="MS Gothic" w:eastAsia="MS Gothic" w:hAnsi="MS Gothic"/>
                    <w:lang w:val="es-419"/>
                  </w:rPr>
                  <w:t>☐</w:t>
                </w:r>
              </w:sdtContent>
            </w:sdt>
          </w:p>
        </w:tc>
        <w:tc>
          <w:tcPr>
            <w:tcW w:w="1366" w:type="dxa"/>
          </w:tcPr>
          <w:p w:rsidR="001E5D82" w:rsidRPr="001E5D82" w:rsidRDefault="00A7762D" w:rsidP="007148DB">
            <w:pPr>
              <w:jc w:val="center"/>
              <w:rPr>
                <w:lang w:val="es-419"/>
              </w:rPr>
            </w:pPr>
            <w:sdt>
              <w:sdtPr>
                <w:rPr>
                  <w:lang w:val="es-419"/>
                </w:rPr>
                <w:id w:val="-549002749"/>
                <w14:checkbox>
                  <w14:checked w14:val="0"/>
                  <w14:checkedState w14:val="2612" w14:font="MS Gothic"/>
                  <w14:uncheckedState w14:val="2610" w14:font="MS Gothic"/>
                </w14:checkbox>
              </w:sdtPr>
              <w:sdtEndPr/>
              <w:sdtContent>
                <w:r w:rsidR="001E5D82" w:rsidRPr="001E5D82">
                  <w:rPr>
                    <w:rFonts w:ascii="MS Gothic" w:eastAsia="MS Gothic" w:hAnsi="MS Gothic"/>
                    <w:lang w:val="es-419"/>
                  </w:rPr>
                  <w:t>☐</w:t>
                </w:r>
              </w:sdtContent>
            </w:sdt>
          </w:p>
        </w:tc>
      </w:tr>
    </w:tbl>
    <w:p w:rsidR="00E31047" w:rsidRPr="001E5D82" w:rsidRDefault="00E31047" w:rsidP="00E31047">
      <w:pPr>
        <w:rPr>
          <w:szCs w:val="22"/>
          <w:lang w:val="es-419"/>
        </w:rPr>
      </w:pPr>
    </w:p>
    <w:p w:rsidR="00E31047" w:rsidRPr="001E5D82" w:rsidRDefault="00E31047" w:rsidP="00E31047">
      <w:pPr>
        <w:pStyle w:val="ONUME"/>
        <w:numPr>
          <w:ilvl w:val="0"/>
          <w:numId w:val="0"/>
        </w:numPr>
        <w:ind w:left="5534"/>
        <w:rPr>
          <w:i/>
          <w:lang w:val="es-419"/>
        </w:rPr>
      </w:pPr>
      <w:r w:rsidRPr="001E5D82">
        <w:rPr>
          <w:i/>
          <w:lang w:val="es-419"/>
        </w:rPr>
        <w:fldChar w:fldCharType="begin"/>
      </w:r>
      <w:r w:rsidRPr="001E5D82">
        <w:rPr>
          <w:i/>
          <w:lang w:val="es-419"/>
        </w:rPr>
        <w:instrText xml:space="preserve"> AUTONUM  </w:instrText>
      </w:r>
      <w:r w:rsidRPr="001E5D82">
        <w:rPr>
          <w:i/>
          <w:lang w:val="es-419"/>
        </w:rPr>
        <w:fldChar w:fldCharType="end"/>
      </w:r>
      <w:r w:rsidRPr="001E5D82">
        <w:rPr>
          <w:i/>
          <w:lang w:val="es-419"/>
        </w:rPr>
        <w:tab/>
      </w:r>
      <w:r w:rsidR="001E5D82" w:rsidRPr="001E5D82">
        <w:rPr>
          <w:i/>
          <w:lang w:val="es-419"/>
        </w:rPr>
        <w:t>Se invita al</w:t>
      </w:r>
      <w:r w:rsidRPr="001E5D82">
        <w:rPr>
          <w:i/>
          <w:lang w:val="es-419"/>
        </w:rPr>
        <w:t xml:space="preserve"> CWS</w:t>
      </w:r>
      <w:r w:rsidR="001E5D82" w:rsidRPr="001E5D82">
        <w:rPr>
          <w:i/>
          <w:lang w:val="es-419"/>
        </w:rPr>
        <w:t xml:space="preserve"> a:</w:t>
      </w:r>
    </w:p>
    <w:p w:rsidR="00E31047" w:rsidRPr="001E5D82" w:rsidRDefault="00E31047" w:rsidP="00E31047">
      <w:pPr>
        <w:pStyle w:val="BodyText"/>
        <w:tabs>
          <w:tab w:val="left" w:pos="6050"/>
          <w:tab w:val="left" w:pos="6600"/>
        </w:tabs>
        <w:ind w:left="5530"/>
        <w:rPr>
          <w:i/>
          <w:szCs w:val="22"/>
          <w:lang w:val="es-419"/>
        </w:rPr>
      </w:pPr>
      <w:r w:rsidRPr="001E5D82">
        <w:rPr>
          <w:i/>
          <w:lang w:val="es-419"/>
        </w:rPr>
        <w:tab/>
        <w:t>a)</w:t>
      </w:r>
      <w:r w:rsidRPr="001E5D82">
        <w:rPr>
          <w:i/>
          <w:lang w:val="es-419"/>
        </w:rPr>
        <w:tab/>
      </w:r>
      <w:r w:rsidR="001E5D82" w:rsidRPr="001E5D82">
        <w:rPr>
          <w:i/>
          <w:lang w:val="es-419"/>
        </w:rPr>
        <w:t xml:space="preserve">tomar nota del contenido del </w:t>
      </w:r>
      <w:r w:rsidR="001E5D82" w:rsidRPr="001E5D82">
        <w:rPr>
          <w:i/>
          <w:szCs w:val="22"/>
          <w:lang w:val="es-419"/>
        </w:rPr>
        <w:t>presente</w:t>
      </w:r>
      <w:r w:rsidRPr="001E5D82">
        <w:rPr>
          <w:i/>
          <w:szCs w:val="22"/>
          <w:lang w:val="es-419"/>
        </w:rPr>
        <w:t xml:space="preserve"> </w:t>
      </w:r>
      <w:r w:rsidR="001E5D82" w:rsidRPr="001E5D82">
        <w:rPr>
          <w:i/>
          <w:szCs w:val="22"/>
          <w:lang w:val="es-419"/>
        </w:rPr>
        <w:t>documento</w:t>
      </w:r>
      <w:r w:rsidRPr="001E5D82">
        <w:rPr>
          <w:i/>
          <w:szCs w:val="22"/>
          <w:lang w:val="es-419"/>
        </w:rPr>
        <w:t>;</w:t>
      </w:r>
    </w:p>
    <w:p w:rsidR="00E31047" w:rsidRPr="001E5D82" w:rsidRDefault="001E5D82" w:rsidP="00E31047">
      <w:pPr>
        <w:pStyle w:val="BodyText"/>
        <w:tabs>
          <w:tab w:val="left" w:pos="6050"/>
          <w:tab w:val="left" w:pos="6600"/>
        </w:tabs>
        <w:spacing w:after="0"/>
        <w:ind w:left="5530"/>
        <w:rPr>
          <w:i/>
          <w:szCs w:val="22"/>
          <w:lang w:val="es-419"/>
        </w:rPr>
      </w:pPr>
      <w:r w:rsidRPr="001E5D82">
        <w:rPr>
          <w:i/>
          <w:szCs w:val="22"/>
          <w:lang w:val="es-419"/>
        </w:rPr>
        <w:tab/>
      </w:r>
      <w:r w:rsidR="00E31047" w:rsidRPr="001E5D82">
        <w:rPr>
          <w:i/>
          <w:szCs w:val="22"/>
          <w:lang w:val="es-419"/>
        </w:rPr>
        <w:t>b)</w:t>
      </w:r>
      <w:r w:rsidR="00E31047" w:rsidRPr="001E5D82">
        <w:rPr>
          <w:i/>
          <w:szCs w:val="22"/>
          <w:lang w:val="es-419"/>
        </w:rPr>
        <w:tab/>
      </w:r>
      <w:r w:rsidRPr="001E5D82">
        <w:rPr>
          <w:i/>
          <w:lang w:val="es-419"/>
        </w:rPr>
        <w:t xml:space="preserve">tomar nota del </w:t>
      </w:r>
      <w:r w:rsidR="00E31047" w:rsidRPr="001E5D82">
        <w:rPr>
          <w:i/>
          <w:szCs w:val="22"/>
          <w:lang w:val="es-419"/>
        </w:rPr>
        <w:t xml:space="preserve">plan </w:t>
      </w:r>
      <w:r w:rsidRPr="001E5D82">
        <w:rPr>
          <w:i/>
          <w:szCs w:val="22"/>
          <w:lang w:val="es-419"/>
        </w:rPr>
        <w:t>de trabajo del Equipo Técnico</w:t>
      </w:r>
      <w:r w:rsidR="00E31047" w:rsidRPr="001E5D82">
        <w:rPr>
          <w:i/>
          <w:szCs w:val="22"/>
          <w:lang w:val="es-419"/>
        </w:rPr>
        <w:t xml:space="preserve"> </w:t>
      </w:r>
      <w:r w:rsidRPr="001E5D82">
        <w:rPr>
          <w:i/>
          <w:szCs w:val="22"/>
          <w:lang w:val="es-419"/>
        </w:rPr>
        <w:t>de Representación de Dibujos y Modelos</w:t>
      </w:r>
      <w:r w:rsidR="00E31047" w:rsidRPr="001E5D82">
        <w:rPr>
          <w:i/>
          <w:szCs w:val="22"/>
          <w:lang w:val="es-419"/>
        </w:rPr>
        <w:t xml:space="preserve"> </w:t>
      </w:r>
      <w:r w:rsidRPr="001E5D82">
        <w:rPr>
          <w:i/>
          <w:szCs w:val="22"/>
          <w:lang w:val="es-419"/>
        </w:rPr>
        <w:t>y alentar a las oficinas de PI a participar</w:t>
      </w:r>
      <w:r w:rsidR="00E31047" w:rsidRPr="001E5D82">
        <w:rPr>
          <w:i/>
          <w:szCs w:val="22"/>
          <w:lang w:val="es-419"/>
        </w:rPr>
        <w:t xml:space="preserve"> </w:t>
      </w:r>
      <w:r w:rsidRPr="001E5D82">
        <w:rPr>
          <w:i/>
          <w:szCs w:val="22"/>
          <w:lang w:val="es-419"/>
        </w:rPr>
        <w:t>e</w:t>
      </w:r>
      <w:r w:rsidR="00E31047" w:rsidRPr="001E5D82">
        <w:rPr>
          <w:i/>
          <w:szCs w:val="22"/>
          <w:lang w:val="es-419"/>
        </w:rPr>
        <w:t xml:space="preserve">n </w:t>
      </w:r>
      <w:r w:rsidRPr="001E5D82">
        <w:rPr>
          <w:i/>
          <w:szCs w:val="22"/>
          <w:lang w:val="es-419"/>
        </w:rPr>
        <w:t>los debates del Equipo Técnico</w:t>
      </w:r>
      <w:r w:rsidR="00E31047" w:rsidRPr="001E5D82">
        <w:rPr>
          <w:i/>
          <w:szCs w:val="22"/>
          <w:lang w:val="es-419"/>
        </w:rPr>
        <w:t>.</w:t>
      </w:r>
    </w:p>
    <w:p w:rsidR="00E31047" w:rsidRPr="001E5D82" w:rsidRDefault="00E31047" w:rsidP="00E31047">
      <w:pPr>
        <w:pStyle w:val="BodyText"/>
        <w:tabs>
          <w:tab w:val="left" w:pos="6101"/>
          <w:tab w:val="left" w:pos="6668"/>
        </w:tabs>
        <w:spacing w:after="0"/>
        <w:ind w:left="5530"/>
        <w:rPr>
          <w:i/>
          <w:lang w:val="es-419"/>
        </w:rPr>
      </w:pPr>
    </w:p>
    <w:p w:rsidR="00E31047" w:rsidRPr="001E5D82" w:rsidRDefault="00E31047" w:rsidP="00E31047">
      <w:pPr>
        <w:pStyle w:val="BodyText"/>
        <w:tabs>
          <w:tab w:val="left" w:pos="6101"/>
          <w:tab w:val="left" w:pos="6668"/>
        </w:tabs>
        <w:spacing w:after="0"/>
        <w:ind w:left="5530"/>
        <w:rPr>
          <w:i/>
          <w:lang w:val="es-419"/>
        </w:rPr>
      </w:pPr>
    </w:p>
    <w:p w:rsidR="00152CEA" w:rsidRPr="001E5D82" w:rsidRDefault="00E31047" w:rsidP="00E31047">
      <w:pPr>
        <w:ind w:firstLine="5580"/>
        <w:rPr>
          <w:lang w:val="es-419"/>
        </w:rPr>
      </w:pPr>
      <w:r w:rsidRPr="001E5D82">
        <w:rPr>
          <w:szCs w:val="22"/>
          <w:lang w:val="es-419"/>
        </w:rPr>
        <w:t>[</w:t>
      </w:r>
      <w:r w:rsidR="001E5D82" w:rsidRPr="001E5D82">
        <w:rPr>
          <w:szCs w:val="22"/>
          <w:lang w:val="es-419"/>
        </w:rPr>
        <w:t>Fin del</w:t>
      </w:r>
      <w:r w:rsidRPr="001E5D82">
        <w:rPr>
          <w:szCs w:val="22"/>
          <w:lang w:val="es-419"/>
        </w:rPr>
        <w:t xml:space="preserve"> </w:t>
      </w:r>
      <w:r w:rsidR="001E5D82" w:rsidRPr="001E5D82">
        <w:rPr>
          <w:szCs w:val="22"/>
          <w:lang w:val="es-419"/>
        </w:rPr>
        <w:t>documento</w:t>
      </w:r>
      <w:r w:rsidRPr="001E5D82">
        <w:rPr>
          <w:szCs w:val="22"/>
          <w:lang w:val="es-419"/>
        </w:rPr>
        <w:t>]</w:t>
      </w:r>
    </w:p>
    <w:sectPr w:rsidR="00152CEA" w:rsidRPr="001E5D82" w:rsidSect="00E31047">
      <w:headerReference w:type="default" r:id="rId8"/>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047" w:rsidRDefault="00E31047">
      <w:r>
        <w:separator/>
      </w:r>
    </w:p>
  </w:endnote>
  <w:endnote w:type="continuationSeparator" w:id="0">
    <w:p w:rsidR="00E31047" w:rsidRPr="009D30E6" w:rsidRDefault="00E31047" w:rsidP="007E663E">
      <w:pPr>
        <w:rPr>
          <w:sz w:val="17"/>
          <w:szCs w:val="17"/>
        </w:rPr>
      </w:pPr>
      <w:r w:rsidRPr="009D30E6">
        <w:rPr>
          <w:sz w:val="17"/>
          <w:szCs w:val="17"/>
        </w:rPr>
        <w:separator/>
      </w:r>
    </w:p>
    <w:p w:rsidR="00E31047" w:rsidRPr="007E663E" w:rsidRDefault="00E31047" w:rsidP="007E663E">
      <w:pPr>
        <w:spacing w:after="60"/>
        <w:rPr>
          <w:sz w:val="17"/>
          <w:szCs w:val="17"/>
        </w:rPr>
      </w:pPr>
      <w:r>
        <w:rPr>
          <w:sz w:val="17"/>
        </w:rPr>
        <w:t>[Continuación de la nota de la página anterior]</w:t>
      </w:r>
    </w:p>
  </w:endnote>
  <w:endnote w:type="continuationNotice" w:id="1">
    <w:p w:rsidR="00E31047" w:rsidRPr="007E663E" w:rsidRDefault="00E31047"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altName w:val="??Ўю¬в?¬рЎю¬µ??¬рЎю¬У??¬рЎю????"/>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047" w:rsidRDefault="00E31047">
      <w:r>
        <w:separator/>
      </w:r>
    </w:p>
  </w:footnote>
  <w:footnote w:type="continuationSeparator" w:id="0">
    <w:p w:rsidR="00E31047" w:rsidRPr="009D30E6" w:rsidRDefault="00E31047" w:rsidP="007E663E">
      <w:pPr>
        <w:rPr>
          <w:sz w:val="17"/>
          <w:szCs w:val="17"/>
        </w:rPr>
      </w:pPr>
      <w:r w:rsidRPr="009D30E6">
        <w:rPr>
          <w:sz w:val="17"/>
          <w:szCs w:val="17"/>
        </w:rPr>
        <w:separator/>
      </w:r>
    </w:p>
    <w:p w:rsidR="00E31047" w:rsidRPr="007E663E" w:rsidRDefault="00E31047" w:rsidP="007E663E">
      <w:pPr>
        <w:spacing w:after="60"/>
        <w:rPr>
          <w:sz w:val="17"/>
          <w:szCs w:val="17"/>
        </w:rPr>
      </w:pPr>
      <w:r>
        <w:rPr>
          <w:sz w:val="17"/>
        </w:rPr>
        <w:t>[Continuación de la nota de la página anterior]</w:t>
      </w:r>
    </w:p>
  </w:footnote>
  <w:footnote w:type="continuationNotice" w:id="1">
    <w:p w:rsidR="00E31047" w:rsidRPr="007E663E" w:rsidRDefault="00E31047"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Default="00E31047" w:rsidP="00477D6B">
    <w:pPr>
      <w:jc w:val="right"/>
    </w:pPr>
    <w:bookmarkStart w:id="6" w:name="Code2"/>
    <w:bookmarkEnd w:id="6"/>
    <w:r>
      <w:t>CWS/7/20</w:t>
    </w:r>
  </w:p>
  <w:p w:rsidR="00AE7F20" w:rsidRDefault="00AE7F20" w:rsidP="00477D6B">
    <w:pPr>
      <w:jc w:val="right"/>
    </w:pPr>
    <w:r>
      <w:t xml:space="preserve">página </w:t>
    </w:r>
    <w:r>
      <w:fldChar w:fldCharType="begin"/>
    </w:r>
    <w:r>
      <w:instrText xml:space="preserve"> PAGE  \* MERGEFORMAT </w:instrText>
    </w:r>
    <w:r>
      <w:fldChar w:fldCharType="separate"/>
    </w:r>
    <w:r w:rsidR="00A7762D">
      <w:rPr>
        <w:noProof/>
      </w:rPr>
      <w:t>3</w:t>
    </w:r>
    <w:r>
      <w:fldChar w:fldCharType="end"/>
    </w:r>
  </w:p>
  <w:p w:rsidR="00AE7F20" w:rsidRDefault="00AE7F20" w:rsidP="00477D6B">
    <w:pPr>
      <w:jc w:val="right"/>
    </w:pPr>
  </w:p>
  <w:p w:rsidR="00EC1AA7" w:rsidRDefault="00EC1AA7"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21B4400"/>
    <w:multiLevelType w:val="hybridMultilevel"/>
    <w:tmpl w:val="DFCC42D6"/>
    <w:lvl w:ilvl="0" w:tplc="040A0017">
      <w:start w:val="1"/>
      <w:numFmt w:val="lowerLetter"/>
      <w:lvlText w:val="%1)"/>
      <w:lvlJc w:val="left"/>
      <w:pPr>
        <w:ind w:left="900" w:hanging="360"/>
      </w:pPr>
      <w:rPr>
        <w:rFonts w:hint="default"/>
        <w:i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E72B5E"/>
    <w:multiLevelType w:val="hybridMultilevel"/>
    <w:tmpl w:val="D1C878C2"/>
    <w:lvl w:ilvl="0" w:tplc="040A0017">
      <w:start w:val="1"/>
      <w:numFmt w:val="lowerLetter"/>
      <w:lvlText w:val="%1)"/>
      <w:lvlJc w:val="left"/>
      <w:pPr>
        <w:ind w:left="900" w:hanging="360"/>
      </w:pPr>
      <w:rPr>
        <w:rFonts w:hint="default"/>
        <w:i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7"/>
  </w:num>
  <w:num w:numId="5">
    <w:abstractNumId w:val="1"/>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047"/>
    <w:rsid w:val="00010686"/>
    <w:rsid w:val="00052915"/>
    <w:rsid w:val="000E3BB3"/>
    <w:rsid w:val="000F5E56"/>
    <w:rsid w:val="001362EE"/>
    <w:rsid w:val="00152CEA"/>
    <w:rsid w:val="001832A6"/>
    <w:rsid w:val="001E5D82"/>
    <w:rsid w:val="002634C4"/>
    <w:rsid w:val="00283E1F"/>
    <w:rsid w:val="002A7006"/>
    <w:rsid w:val="002C2E2F"/>
    <w:rsid w:val="002D7E2D"/>
    <w:rsid w:val="002E0F47"/>
    <w:rsid w:val="002F4E68"/>
    <w:rsid w:val="00310826"/>
    <w:rsid w:val="003151D5"/>
    <w:rsid w:val="00354647"/>
    <w:rsid w:val="00377273"/>
    <w:rsid w:val="003845C1"/>
    <w:rsid w:val="00387287"/>
    <w:rsid w:val="003E48F1"/>
    <w:rsid w:val="003F347A"/>
    <w:rsid w:val="00423E3E"/>
    <w:rsid w:val="00427AF4"/>
    <w:rsid w:val="0045231F"/>
    <w:rsid w:val="004647DA"/>
    <w:rsid w:val="0046793F"/>
    <w:rsid w:val="00477808"/>
    <w:rsid w:val="00477D6B"/>
    <w:rsid w:val="004A6C37"/>
    <w:rsid w:val="004E297D"/>
    <w:rsid w:val="00531B02"/>
    <w:rsid w:val="005332F0"/>
    <w:rsid w:val="0055013B"/>
    <w:rsid w:val="00571B99"/>
    <w:rsid w:val="00605827"/>
    <w:rsid w:val="00675021"/>
    <w:rsid w:val="006A06C6"/>
    <w:rsid w:val="007224C8"/>
    <w:rsid w:val="00794BE2"/>
    <w:rsid w:val="007A5581"/>
    <w:rsid w:val="007B71FE"/>
    <w:rsid w:val="007D781E"/>
    <w:rsid w:val="007E663E"/>
    <w:rsid w:val="00815082"/>
    <w:rsid w:val="0088395E"/>
    <w:rsid w:val="008B2CC1"/>
    <w:rsid w:val="008E6BD6"/>
    <w:rsid w:val="0090731E"/>
    <w:rsid w:val="00915075"/>
    <w:rsid w:val="00966A22"/>
    <w:rsid w:val="00972F03"/>
    <w:rsid w:val="009A0C8B"/>
    <w:rsid w:val="009A20CD"/>
    <w:rsid w:val="009B6241"/>
    <w:rsid w:val="00A16FC0"/>
    <w:rsid w:val="00A32C9E"/>
    <w:rsid w:val="00A7762D"/>
    <w:rsid w:val="00AB613D"/>
    <w:rsid w:val="00AD063D"/>
    <w:rsid w:val="00AE7F20"/>
    <w:rsid w:val="00B534D5"/>
    <w:rsid w:val="00B65A0A"/>
    <w:rsid w:val="00B67CDC"/>
    <w:rsid w:val="00B72D36"/>
    <w:rsid w:val="00B8095C"/>
    <w:rsid w:val="00BC4164"/>
    <w:rsid w:val="00BD2DCC"/>
    <w:rsid w:val="00C44C6D"/>
    <w:rsid w:val="00C60A95"/>
    <w:rsid w:val="00C90559"/>
    <w:rsid w:val="00CA2251"/>
    <w:rsid w:val="00D56C7C"/>
    <w:rsid w:val="00D71B4D"/>
    <w:rsid w:val="00D90289"/>
    <w:rsid w:val="00D93D55"/>
    <w:rsid w:val="00DC4C60"/>
    <w:rsid w:val="00E0079A"/>
    <w:rsid w:val="00E31047"/>
    <w:rsid w:val="00E444DA"/>
    <w:rsid w:val="00E45C84"/>
    <w:rsid w:val="00E504E5"/>
    <w:rsid w:val="00EB7A3E"/>
    <w:rsid w:val="00EC1AA7"/>
    <w:rsid w:val="00EC401A"/>
    <w:rsid w:val="00EF530A"/>
    <w:rsid w:val="00EF6622"/>
    <w:rsid w:val="00EF78A9"/>
    <w:rsid w:val="00F239E8"/>
    <w:rsid w:val="00F55408"/>
    <w:rsid w:val="00F66152"/>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E94E97D-7769-47FB-9D30-E5AFA627D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uiPriority w:val="9"/>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uiPriority w:val="99"/>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semiHidden/>
    <w:unhideWhenUsed/>
    <w:rsid w:val="002A7006"/>
    <w:rPr>
      <w:rFonts w:ascii="Segoe UI" w:hAnsi="Segoe UI" w:cs="Segoe UI"/>
      <w:sz w:val="18"/>
      <w:szCs w:val="18"/>
    </w:rPr>
  </w:style>
  <w:style w:type="character" w:customStyle="1" w:styleId="BalloonTextChar">
    <w:name w:val="Balloon Text Char"/>
    <w:basedOn w:val="DefaultParagraphFont"/>
    <w:link w:val="BalloonText"/>
    <w:semiHidden/>
    <w:rsid w:val="002A7006"/>
    <w:rPr>
      <w:rFonts w:ascii="Segoe UI" w:eastAsia="SimSun" w:hAnsi="Segoe UI" w:cs="Segoe UI"/>
      <w:sz w:val="18"/>
      <w:szCs w:val="18"/>
      <w:lang w:val="es-ES" w:eastAsia="zh-CN"/>
    </w:rPr>
  </w:style>
  <w:style w:type="character" w:customStyle="1" w:styleId="Heading2Char">
    <w:name w:val="Heading 2 Char"/>
    <w:basedOn w:val="DefaultParagraphFont"/>
    <w:link w:val="Heading2"/>
    <w:rsid w:val="00E31047"/>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uiPriority w:val="9"/>
    <w:rsid w:val="00E31047"/>
    <w:rPr>
      <w:rFonts w:ascii="Arial" w:eastAsia="SimSun" w:hAnsi="Arial" w:cs="Arial"/>
      <w:bCs/>
      <w:sz w:val="22"/>
      <w:szCs w:val="26"/>
      <w:u w:val="single"/>
      <w:lang w:val="es-ES" w:eastAsia="zh-CN"/>
    </w:rPr>
  </w:style>
  <w:style w:type="character" w:customStyle="1" w:styleId="BodyTextChar">
    <w:name w:val="Body Text Char"/>
    <w:basedOn w:val="DefaultParagraphFont"/>
    <w:link w:val="BodyText"/>
    <w:rsid w:val="00E31047"/>
    <w:rPr>
      <w:rFonts w:ascii="Arial" w:eastAsia="SimSun" w:hAnsi="Arial" w:cs="Arial"/>
      <w:sz w:val="22"/>
      <w:lang w:val="es-ES" w:eastAsia="zh-CN"/>
    </w:rPr>
  </w:style>
  <w:style w:type="paragraph" w:styleId="ListParagraph">
    <w:name w:val="List Paragraph"/>
    <w:basedOn w:val="Normal"/>
    <w:uiPriority w:val="34"/>
    <w:qFormat/>
    <w:rsid w:val="00E31047"/>
    <w:pPr>
      <w:spacing w:after="160" w:line="259" w:lineRule="auto"/>
      <w:ind w:left="720"/>
      <w:contextualSpacing/>
    </w:pPr>
    <w:rPr>
      <w:rFonts w:asciiTheme="minorHAnsi" w:eastAsiaTheme="minorHAnsi" w:hAnsiTheme="minorHAnsi" w:cstheme="minorBidi"/>
      <w:szCs w:val="22"/>
      <w:lang w:val="en-AU" w:eastAsia="en-US"/>
    </w:rPr>
  </w:style>
  <w:style w:type="table" w:styleId="TableGrid">
    <w:name w:val="Table Grid"/>
    <w:basedOn w:val="TableNormal"/>
    <w:uiPriority w:val="39"/>
    <w:rsid w:val="00E31047"/>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UMEChar">
    <w:name w:val="ONUM E Char"/>
    <w:basedOn w:val="DefaultParagraphFont"/>
    <w:link w:val="ONUME"/>
    <w:uiPriority w:val="99"/>
    <w:rsid w:val="00E31047"/>
    <w:rPr>
      <w:rFonts w:ascii="Arial" w:eastAsia="SimSun" w:hAnsi="Arial" w:cs="Arial"/>
      <w:sz w:val="22"/>
      <w:lang w:val="es-ES" w:eastAsia="zh-CN"/>
    </w:rPr>
  </w:style>
  <w:style w:type="table" w:customStyle="1" w:styleId="TableGrid1">
    <w:name w:val="Table Grid1"/>
    <w:basedOn w:val="TableNormal"/>
    <w:next w:val="TableGrid"/>
    <w:uiPriority w:val="39"/>
    <w:rsid w:val="001E5D82"/>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68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207%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 7 (S).dotm</Template>
  <TotalTime>0</TotalTime>
  <Pages>3</Pages>
  <Words>877</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CWS/7/20 (in Spanish)</vt:lpstr>
    </vt:vector>
  </TitlesOfParts>
  <Company>WIPO</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CWS/7/20 (in Spanish)</dc:title>
  <dc:subject>INFORME SOBRE LA TAREA N.º 57</dc:subject>
  <dc:creator>WIPO</dc:creator>
  <cp:keywords>CWS, WIPO</cp:keywords>
  <cp:lastModifiedBy>DRAKE Sophie</cp:lastModifiedBy>
  <cp:revision>7</cp:revision>
  <dcterms:created xsi:type="dcterms:W3CDTF">2019-05-22T13:34:00Z</dcterms:created>
  <dcterms:modified xsi:type="dcterms:W3CDTF">2019-06-11T12:51:00Z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aff5008f-d42b-4168-87c9-d83ca7c05be6</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