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B3218F" w14:paraId="2CAF3D97" w14:textId="77777777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3C1C9128" w14:textId="77777777" w:rsidR="00EC4E49" w:rsidRPr="00B3218F" w:rsidRDefault="00EC4E49" w:rsidP="00916EE2">
            <w:pPr>
              <w:rPr>
                <w:lang w:val="es-ES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EF9812D" w14:textId="17A67379" w:rsidR="00EC4E49" w:rsidRPr="00B3218F" w:rsidRDefault="00650A84" w:rsidP="00916EE2">
            <w:pPr>
              <w:rPr>
                <w:lang w:val="es-ES"/>
              </w:rPr>
            </w:pPr>
            <w:r w:rsidRPr="00B3218F">
              <w:rPr>
                <w:noProof/>
                <w:lang w:val="de-DE" w:eastAsia="de-DE"/>
              </w:rPr>
              <w:drawing>
                <wp:inline distT="0" distB="0" distL="0" distR="0" wp14:anchorId="67A89D2E" wp14:editId="4AA2DEB4">
                  <wp:extent cx="1857375" cy="1323975"/>
                  <wp:effectExtent l="0" t="0" r="9525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4DD666D" w14:textId="11A6C5C1" w:rsidR="00EC4E49" w:rsidRPr="00B3218F" w:rsidRDefault="00650A84" w:rsidP="00916EE2">
            <w:pPr>
              <w:jc w:val="right"/>
              <w:rPr>
                <w:lang w:val="es-ES"/>
              </w:rPr>
            </w:pPr>
            <w:r w:rsidRPr="00B3218F">
              <w:rPr>
                <w:b/>
                <w:bCs/>
                <w:sz w:val="40"/>
                <w:szCs w:val="40"/>
                <w:lang w:val="es-ES"/>
              </w:rPr>
              <w:t>S</w:t>
            </w:r>
          </w:p>
        </w:tc>
      </w:tr>
      <w:tr w:rsidR="008B2CC1" w:rsidRPr="00B3218F" w14:paraId="2EE44D98" w14:textId="77777777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59DA8319" w14:textId="13856139" w:rsidR="008B2CC1" w:rsidRPr="00B3218F" w:rsidRDefault="00C0065B" w:rsidP="000C4D4F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B3218F">
              <w:rPr>
                <w:rFonts w:ascii="Arial Black" w:hAnsi="Arial Black"/>
                <w:caps/>
                <w:sz w:val="15"/>
                <w:lang w:val="es-ES"/>
              </w:rPr>
              <w:t>CWS/7</w:t>
            </w:r>
            <w:r w:rsidR="00CD59F2" w:rsidRPr="00B3218F">
              <w:rPr>
                <w:rFonts w:ascii="Arial Black" w:hAnsi="Arial Black"/>
                <w:caps/>
                <w:sz w:val="15"/>
                <w:lang w:val="es-ES"/>
              </w:rPr>
              <w:t>/</w:t>
            </w:r>
            <w:bookmarkStart w:id="0" w:name="Code"/>
            <w:bookmarkEnd w:id="0"/>
            <w:r w:rsidR="000C4D4F" w:rsidRPr="00B3218F">
              <w:rPr>
                <w:rFonts w:ascii="Arial Black" w:hAnsi="Arial Black"/>
                <w:caps/>
                <w:sz w:val="15"/>
                <w:lang w:val="es-ES"/>
              </w:rPr>
              <w:t>19</w:t>
            </w:r>
          </w:p>
        </w:tc>
      </w:tr>
      <w:tr w:rsidR="008B2CC1" w:rsidRPr="00B3218F" w14:paraId="105F35E0" w14:textId="7777777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07818F32" w14:textId="32C50A17" w:rsidR="008B2CC1" w:rsidRPr="00B3218F" w:rsidRDefault="008B2CC1" w:rsidP="00A6013E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B3218F">
              <w:rPr>
                <w:rFonts w:ascii="Arial Black" w:hAnsi="Arial Black"/>
                <w:caps/>
                <w:sz w:val="15"/>
                <w:lang w:val="es-ES"/>
              </w:rPr>
              <w:t>ORIGINAL:</w:t>
            </w:r>
            <w:r w:rsidR="001647D5" w:rsidRPr="00B3218F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r w:rsidR="00A6013E" w:rsidRPr="00B3218F">
              <w:rPr>
                <w:rFonts w:ascii="Arial Black" w:hAnsi="Arial Black"/>
                <w:caps/>
                <w:sz w:val="15"/>
                <w:lang w:val="es-ES"/>
              </w:rPr>
              <w:t>inglés</w:t>
            </w:r>
            <w:bookmarkStart w:id="1" w:name="Original"/>
            <w:bookmarkEnd w:id="1"/>
            <w:r w:rsidRPr="00B3218F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</w:p>
        </w:tc>
      </w:tr>
      <w:tr w:rsidR="008B2CC1" w:rsidRPr="00B3218F" w14:paraId="0C34887F" w14:textId="77777777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2FA29B82" w14:textId="6B75AC77" w:rsidR="008B2CC1" w:rsidRPr="00B3218F" w:rsidRDefault="00A6013E" w:rsidP="000C4D4F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B3218F">
              <w:rPr>
                <w:rFonts w:ascii="Arial Black" w:hAnsi="Arial Black"/>
                <w:caps/>
                <w:sz w:val="15"/>
                <w:lang w:val="es-ES"/>
              </w:rPr>
              <w:t>fecha</w:t>
            </w:r>
            <w:r w:rsidR="008B2CC1" w:rsidRPr="00B3218F">
              <w:rPr>
                <w:rFonts w:ascii="Arial Black" w:hAnsi="Arial Black"/>
                <w:caps/>
                <w:sz w:val="15"/>
                <w:lang w:val="es-ES"/>
              </w:rPr>
              <w:t>:</w:t>
            </w:r>
            <w:r w:rsidR="001647D5" w:rsidRPr="00B3218F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r w:rsidRPr="00B3218F">
              <w:rPr>
                <w:rFonts w:ascii="Arial Black" w:hAnsi="Arial Black"/>
                <w:caps/>
                <w:sz w:val="15"/>
                <w:lang w:val="es-ES"/>
              </w:rPr>
              <w:t>2</w:t>
            </w:r>
            <w:r w:rsidR="000C4D4F" w:rsidRPr="00B3218F">
              <w:rPr>
                <w:rFonts w:ascii="Arial Black" w:hAnsi="Arial Black"/>
                <w:caps/>
                <w:sz w:val="15"/>
                <w:lang w:val="es-ES"/>
              </w:rPr>
              <w:t>2</w:t>
            </w:r>
            <w:r w:rsidRPr="00B3218F">
              <w:rPr>
                <w:rFonts w:ascii="Arial Black" w:hAnsi="Arial Black"/>
                <w:caps/>
                <w:sz w:val="15"/>
                <w:lang w:val="es-ES"/>
              </w:rPr>
              <w:t xml:space="preserve"> de mayo de</w:t>
            </w:r>
            <w:bookmarkStart w:id="2" w:name="Date"/>
            <w:bookmarkEnd w:id="2"/>
            <w:r w:rsidR="008B3E95" w:rsidRPr="00B3218F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r w:rsidR="00CD3C82" w:rsidRPr="00B3218F">
              <w:rPr>
                <w:rFonts w:ascii="Arial Black" w:hAnsi="Arial Black"/>
                <w:caps/>
                <w:sz w:val="15"/>
                <w:lang w:val="es-ES"/>
              </w:rPr>
              <w:t>2019</w:t>
            </w:r>
            <w:r w:rsidR="008B2CC1" w:rsidRPr="00B3218F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</w:p>
        </w:tc>
      </w:tr>
    </w:tbl>
    <w:p w14:paraId="1E448EB0" w14:textId="77777777" w:rsidR="003329C0" w:rsidRPr="00B3218F" w:rsidRDefault="003329C0" w:rsidP="008B2CC1">
      <w:pPr>
        <w:rPr>
          <w:lang w:val="es-ES"/>
        </w:rPr>
      </w:pPr>
    </w:p>
    <w:p w14:paraId="4722A54B" w14:textId="77777777" w:rsidR="003329C0" w:rsidRPr="00B3218F" w:rsidRDefault="003329C0" w:rsidP="008B2CC1">
      <w:pPr>
        <w:rPr>
          <w:lang w:val="es-ES"/>
        </w:rPr>
      </w:pPr>
    </w:p>
    <w:p w14:paraId="172C004C" w14:textId="77777777" w:rsidR="003329C0" w:rsidRPr="00B3218F" w:rsidRDefault="003329C0" w:rsidP="008B2CC1">
      <w:pPr>
        <w:rPr>
          <w:lang w:val="es-ES"/>
        </w:rPr>
      </w:pPr>
    </w:p>
    <w:p w14:paraId="0E14131E" w14:textId="77777777" w:rsidR="003329C0" w:rsidRPr="00B3218F" w:rsidRDefault="003329C0" w:rsidP="008B2CC1">
      <w:pPr>
        <w:rPr>
          <w:lang w:val="es-ES"/>
        </w:rPr>
      </w:pPr>
    </w:p>
    <w:p w14:paraId="332E1F85" w14:textId="77777777" w:rsidR="003329C0" w:rsidRPr="00B3218F" w:rsidRDefault="003329C0" w:rsidP="008B2CC1">
      <w:pPr>
        <w:rPr>
          <w:lang w:val="es-ES"/>
        </w:rPr>
      </w:pPr>
    </w:p>
    <w:p w14:paraId="2EF04449" w14:textId="77777777" w:rsidR="003329C0" w:rsidRPr="00B3218F" w:rsidRDefault="00A6013E" w:rsidP="008B2CC1">
      <w:pPr>
        <w:rPr>
          <w:b/>
          <w:sz w:val="28"/>
          <w:szCs w:val="28"/>
          <w:lang w:val="es-ES"/>
        </w:rPr>
      </w:pPr>
      <w:r w:rsidRPr="00B3218F">
        <w:rPr>
          <w:b/>
          <w:sz w:val="28"/>
          <w:szCs w:val="28"/>
          <w:lang w:val="es-ES"/>
        </w:rPr>
        <w:t>Comité de Normas Técnicas de la OMPI</w:t>
      </w:r>
      <w:r w:rsidR="00CD59F2" w:rsidRPr="00B3218F">
        <w:rPr>
          <w:b/>
          <w:sz w:val="28"/>
          <w:szCs w:val="28"/>
          <w:lang w:val="es-ES"/>
        </w:rPr>
        <w:t xml:space="preserve"> (CWS)</w:t>
      </w:r>
    </w:p>
    <w:p w14:paraId="52786B1A" w14:textId="77777777" w:rsidR="003329C0" w:rsidRPr="00B3218F" w:rsidRDefault="003329C0" w:rsidP="003845C1">
      <w:pPr>
        <w:rPr>
          <w:lang w:val="es-ES"/>
        </w:rPr>
      </w:pPr>
    </w:p>
    <w:p w14:paraId="70B1A254" w14:textId="77777777" w:rsidR="003329C0" w:rsidRPr="00B3218F" w:rsidRDefault="003329C0" w:rsidP="003845C1">
      <w:pPr>
        <w:rPr>
          <w:lang w:val="es-ES"/>
        </w:rPr>
      </w:pPr>
    </w:p>
    <w:p w14:paraId="3B770F49" w14:textId="77777777" w:rsidR="003329C0" w:rsidRPr="00B3218F" w:rsidRDefault="00A6013E" w:rsidP="00CD59F2">
      <w:pPr>
        <w:rPr>
          <w:b/>
          <w:sz w:val="24"/>
          <w:szCs w:val="24"/>
          <w:lang w:val="es-ES"/>
        </w:rPr>
      </w:pPr>
      <w:r w:rsidRPr="00B3218F">
        <w:rPr>
          <w:b/>
          <w:sz w:val="24"/>
          <w:szCs w:val="24"/>
          <w:lang w:val="es-ES"/>
        </w:rPr>
        <w:t>Séptima sesión</w:t>
      </w:r>
    </w:p>
    <w:p w14:paraId="43935539" w14:textId="77777777" w:rsidR="003329C0" w:rsidRPr="00B3218F" w:rsidRDefault="00A6013E" w:rsidP="00CD59F2">
      <w:pPr>
        <w:rPr>
          <w:b/>
          <w:sz w:val="24"/>
          <w:szCs w:val="24"/>
          <w:lang w:val="es-ES"/>
        </w:rPr>
      </w:pPr>
      <w:r w:rsidRPr="00B3218F">
        <w:rPr>
          <w:b/>
          <w:sz w:val="24"/>
          <w:szCs w:val="24"/>
          <w:lang w:val="es-ES"/>
        </w:rPr>
        <w:t>Ginebra, 1 a 5 de julio de</w:t>
      </w:r>
      <w:r w:rsidR="00C0065B" w:rsidRPr="00B3218F">
        <w:rPr>
          <w:b/>
          <w:sz w:val="24"/>
          <w:szCs w:val="24"/>
          <w:lang w:val="es-ES"/>
        </w:rPr>
        <w:t xml:space="preserve"> 2019</w:t>
      </w:r>
    </w:p>
    <w:p w14:paraId="0639378A" w14:textId="77777777" w:rsidR="003329C0" w:rsidRPr="00B3218F" w:rsidRDefault="003329C0" w:rsidP="008B2CC1">
      <w:pPr>
        <w:rPr>
          <w:lang w:val="es-ES"/>
        </w:rPr>
      </w:pPr>
    </w:p>
    <w:p w14:paraId="5C1455B7" w14:textId="77777777" w:rsidR="003329C0" w:rsidRPr="00B3218F" w:rsidRDefault="003329C0" w:rsidP="008B2CC1">
      <w:pPr>
        <w:rPr>
          <w:lang w:val="es-ES"/>
        </w:rPr>
      </w:pPr>
    </w:p>
    <w:p w14:paraId="13292A3F" w14:textId="77777777" w:rsidR="003329C0" w:rsidRPr="00B3218F" w:rsidRDefault="003329C0" w:rsidP="008B2CC1">
      <w:pPr>
        <w:rPr>
          <w:lang w:val="es-ES"/>
        </w:rPr>
      </w:pPr>
    </w:p>
    <w:p w14:paraId="2C6F9BED" w14:textId="18FA4778" w:rsidR="000C4D4F" w:rsidRPr="000C4D4F" w:rsidRDefault="00B3218F" w:rsidP="000C4D4F">
      <w:pPr>
        <w:rPr>
          <w:caps/>
          <w:sz w:val="24"/>
          <w:lang w:val="es-ES"/>
        </w:rPr>
      </w:pPr>
      <w:bookmarkStart w:id="3" w:name="TitleOfDoc"/>
      <w:bookmarkStart w:id="4" w:name="_GoBack"/>
      <w:bookmarkEnd w:id="3"/>
      <w:r>
        <w:rPr>
          <w:caps/>
          <w:sz w:val="24"/>
          <w:lang w:val="es-ES"/>
        </w:rPr>
        <w:t>revisiÓN DE LA NORMA</w:t>
      </w:r>
      <w:r w:rsidR="000C4D4F" w:rsidRPr="000C4D4F">
        <w:rPr>
          <w:caps/>
          <w:sz w:val="24"/>
          <w:lang w:val="es-ES"/>
        </w:rPr>
        <w:t xml:space="preserve"> ST.60</w:t>
      </w:r>
      <w:r>
        <w:rPr>
          <w:caps/>
          <w:sz w:val="24"/>
          <w:lang w:val="es-ES"/>
        </w:rPr>
        <w:t xml:space="preserve"> DE LA OMPI</w:t>
      </w:r>
    </w:p>
    <w:p w14:paraId="50BD9D0D" w14:textId="77777777" w:rsidR="000C4D4F" w:rsidRPr="000C4D4F" w:rsidRDefault="000C4D4F" w:rsidP="000C4D4F">
      <w:pPr>
        <w:rPr>
          <w:lang w:val="es-ES"/>
        </w:rPr>
      </w:pPr>
    </w:p>
    <w:p w14:paraId="153EE048" w14:textId="7F00B88C" w:rsidR="000C4D4F" w:rsidRPr="000C4D4F" w:rsidRDefault="000C4D4F" w:rsidP="000C4D4F">
      <w:pPr>
        <w:rPr>
          <w:i/>
          <w:lang w:val="es-ES"/>
        </w:rPr>
      </w:pPr>
      <w:bookmarkStart w:id="5" w:name="Prepared"/>
      <w:bookmarkEnd w:id="5"/>
      <w:bookmarkEnd w:id="4"/>
      <w:r w:rsidRPr="000C4D4F">
        <w:rPr>
          <w:i/>
          <w:lang w:val="es-ES"/>
        </w:rPr>
        <w:t>Document</w:t>
      </w:r>
      <w:r w:rsidR="00B3218F">
        <w:rPr>
          <w:i/>
          <w:lang w:val="es-ES"/>
        </w:rPr>
        <w:t>o preparado por la Oficina Internacional</w:t>
      </w:r>
    </w:p>
    <w:p w14:paraId="282ED47E" w14:textId="77777777" w:rsidR="000C4D4F" w:rsidRPr="000C4D4F" w:rsidRDefault="000C4D4F" w:rsidP="000C4D4F">
      <w:pPr>
        <w:rPr>
          <w:lang w:val="es-ES"/>
        </w:rPr>
      </w:pPr>
    </w:p>
    <w:p w14:paraId="279AB14E" w14:textId="77777777" w:rsidR="000C4D4F" w:rsidRPr="000C4D4F" w:rsidRDefault="000C4D4F" w:rsidP="000C4D4F">
      <w:pPr>
        <w:rPr>
          <w:lang w:val="es-ES"/>
        </w:rPr>
      </w:pPr>
    </w:p>
    <w:p w14:paraId="7490B468" w14:textId="77777777" w:rsidR="000C4D4F" w:rsidRPr="000C4D4F" w:rsidRDefault="000C4D4F" w:rsidP="000C4D4F">
      <w:pPr>
        <w:rPr>
          <w:u w:val="single"/>
          <w:lang w:val="es-ES"/>
        </w:rPr>
      </w:pPr>
    </w:p>
    <w:p w14:paraId="6E65E706" w14:textId="77777777" w:rsidR="000C4D4F" w:rsidRPr="000C4D4F" w:rsidRDefault="000C4D4F" w:rsidP="000C4D4F">
      <w:pPr>
        <w:rPr>
          <w:lang w:val="es-ES"/>
        </w:rPr>
      </w:pPr>
    </w:p>
    <w:p w14:paraId="565CCB16" w14:textId="77777777" w:rsidR="000C4D4F" w:rsidRPr="000C4D4F" w:rsidRDefault="000C4D4F" w:rsidP="000C4D4F">
      <w:pPr>
        <w:rPr>
          <w:lang w:val="es-ES"/>
        </w:rPr>
      </w:pPr>
    </w:p>
    <w:p w14:paraId="40E7F936" w14:textId="2D3646E3" w:rsidR="000C4D4F" w:rsidRPr="000C4D4F" w:rsidRDefault="00843264" w:rsidP="000C4D4F">
      <w:pPr>
        <w:keepNext/>
        <w:spacing w:after="60"/>
        <w:outlineLvl w:val="1"/>
        <w:rPr>
          <w:rFonts w:eastAsia="Malgun Gothic"/>
          <w:bCs/>
          <w:iCs/>
          <w:caps/>
          <w:szCs w:val="22"/>
          <w:lang w:val="es-ES"/>
        </w:rPr>
      </w:pPr>
      <w:r>
        <w:rPr>
          <w:rFonts w:eastAsia="Malgun Gothic"/>
          <w:bCs/>
          <w:iCs/>
          <w:szCs w:val="22"/>
          <w:lang w:val="es-ES"/>
        </w:rPr>
        <w:t>ANTECEDENTES</w:t>
      </w:r>
    </w:p>
    <w:p w14:paraId="1E506DE0" w14:textId="51464141" w:rsidR="000C4D4F" w:rsidRPr="000C4D4F" w:rsidRDefault="000C4D4F" w:rsidP="000C4D4F">
      <w:pPr>
        <w:spacing w:after="220"/>
        <w:rPr>
          <w:iCs/>
          <w:szCs w:val="22"/>
          <w:lang w:val="es-ES"/>
        </w:rPr>
      </w:pPr>
      <w:r w:rsidRPr="000C4D4F">
        <w:rPr>
          <w:lang w:val="es-ES"/>
        </w:rPr>
        <w:fldChar w:fldCharType="begin"/>
      </w:r>
      <w:r w:rsidRPr="000C4D4F">
        <w:rPr>
          <w:lang w:val="es-ES"/>
        </w:rPr>
        <w:instrText xml:space="preserve"> AUTONUM  </w:instrText>
      </w:r>
      <w:r w:rsidRPr="000C4D4F">
        <w:rPr>
          <w:lang w:val="es-ES"/>
        </w:rPr>
        <w:fldChar w:fldCharType="end"/>
      </w:r>
      <w:r w:rsidRPr="000C4D4F">
        <w:rPr>
          <w:lang w:val="es-ES"/>
        </w:rPr>
        <w:tab/>
      </w:r>
      <w:r w:rsidR="001B1003" w:rsidRPr="001B1003">
        <w:rPr>
          <w:iCs/>
          <w:szCs w:val="22"/>
          <w:lang w:val="es-ES_tradnl"/>
        </w:rPr>
        <w:t>En la sexta sesión del Comité de N</w:t>
      </w:r>
      <w:r w:rsidR="001B1003">
        <w:rPr>
          <w:iCs/>
          <w:szCs w:val="22"/>
          <w:lang w:val="es-ES_tradnl"/>
        </w:rPr>
        <w:t xml:space="preserve">ormas Técnicas de la OMPI (CWS), celebrada </w:t>
      </w:r>
      <w:r w:rsidR="001B1003" w:rsidRPr="001B1003">
        <w:rPr>
          <w:iCs/>
          <w:szCs w:val="22"/>
          <w:lang w:val="es-ES_tradnl"/>
        </w:rPr>
        <w:t xml:space="preserve">en 2018, el Comité examinó propuestas para actualizar la Norma </w:t>
      </w:r>
      <w:r w:rsidR="001B1003">
        <w:rPr>
          <w:iCs/>
          <w:szCs w:val="22"/>
          <w:lang w:val="es-ES_tradnl"/>
        </w:rPr>
        <w:t xml:space="preserve">ST.60 de la OMPI relativa a la </w:t>
      </w:r>
      <w:r w:rsidR="001B1003" w:rsidRPr="001B1003">
        <w:rPr>
          <w:i/>
          <w:szCs w:val="22"/>
          <w:lang w:val="es-ES_tradnl"/>
        </w:rPr>
        <w:t>“Recomendación relativa a los datos bibliográficos sobre marcas”</w:t>
      </w:r>
      <w:r w:rsidR="001B1003" w:rsidRPr="001B1003">
        <w:rPr>
          <w:iCs/>
          <w:szCs w:val="22"/>
          <w:lang w:val="es-ES_tradnl"/>
        </w:rPr>
        <w:t xml:space="preserve"> </w:t>
      </w:r>
      <w:r w:rsidR="001B1003">
        <w:rPr>
          <w:iCs/>
          <w:szCs w:val="22"/>
          <w:lang w:val="es-ES_tradnl"/>
        </w:rPr>
        <w:t xml:space="preserve">de </w:t>
      </w:r>
      <w:r w:rsidR="001B1003" w:rsidRPr="001B1003">
        <w:rPr>
          <w:iCs/>
          <w:szCs w:val="22"/>
          <w:lang w:val="es-ES_tradnl"/>
        </w:rPr>
        <w:t>la Oficina de Propiedad Intelectual de la Unión Europea (EUIPO) (véase el documento CWS/6/20).</w:t>
      </w:r>
      <w:r w:rsidR="001B1003" w:rsidRPr="002C5159">
        <w:rPr>
          <w:iCs/>
          <w:szCs w:val="22"/>
          <w:lang w:val="fr-CH"/>
        </w:rPr>
        <w:t xml:space="preserve"> </w:t>
      </w:r>
      <w:r w:rsidR="001B1003">
        <w:rPr>
          <w:iCs/>
          <w:szCs w:val="22"/>
          <w:lang w:val="es-ES_tradnl"/>
        </w:rPr>
        <w:t>El CWS aprobó la propuesta “óptima”</w:t>
      </w:r>
      <w:r w:rsidR="001B1003" w:rsidRPr="001B1003">
        <w:rPr>
          <w:iCs/>
          <w:szCs w:val="22"/>
          <w:lang w:val="es-ES_tradnl"/>
        </w:rPr>
        <w:t xml:space="preserve"> de la EUIPO, excepto la asignación de números de código INID </w:t>
      </w:r>
      <w:r w:rsidR="001B1003">
        <w:rPr>
          <w:iCs/>
          <w:szCs w:val="22"/>
          <w:lang w:val="es-ES_tradnl"/>
        </w:rPr>
        <w:t>para</w:t>
      </w:r>
      <w:r w:rsidR="001B1003" w:rsidRPr="001B1003">
        <w:rPr>
          <w:iCs/>
          <w:szCs w:val="22"/>
          <w:lang w:val="es-ES_tradnl"/>
        </w:rPr>
        <w:t xml:space="preserve"> las marcas denominativas y las marcas figurativas.</w:t>
      </w:r>
      <w:r w:rsidR="001B1003" w:rsidRPr="002C5159">
        <w:rPr>
          <w:iCs/>
          <w:szCs w:val="22"/>
          <w:lang w:val="fr-CH"/>
        </w:rPr>
        <w:t xml:space="preserve"> </w:t>
      </w:r>
      <w:r w:rsidR="001B1003" w:rsidRPr="001B1003">
        <w:rPr>
          <w:iCs/>
          <w:szCs w:val="22"/>
          <w:lang w:val="es-ES_tradnl"/>
        </w:rPr>
        <w:t xml:space="preserve">Durante la sesión plenaria se hicieron varias otras propuestas que requerían </w:t>
      </w:r>
      <w:r w:rsidR="001B1003">
        <w:rPr>
          <w:iCs/>
          <w:szCs w:val="22"/>
          <w:lang w:val="es-ES_tradnl"/>
        </w:rPr>
        <w:t>volver a ser examinadas</w:t>
      </w:r>
      <w:r w:rsidR="001B1003" w:rsidRPr="001B1003">
        <w:rPr>
          <w:iCs/>
          <w:szCs w:val="22"/>
          <w:lang w:val="es-ES_tradnl"/>
        </w:rPr>
        <w:t xml:space="preserve"> (véanse los párrafos 128 a 130 del documento CWS/6/34).</w:t>
      </w:r>
    </w:p>
    <w:p w14:paraId="0E93FB60" w14:textId="4CB64419" w:rsidR="000C4D4F" w:rsidRPr="000C4D4F" w:rsidRDefault="000C4D4F" w:rsidP="000C4D4F">
      <w:pPr>
        <w:spacing w:after="220"/>
        <w:rPr>
          <w:iCs/>
          <w:szCs w:val="22"/>
          <w:lang w:val="es-ES"/>
        </w:rPr>
      </w:pPr>
      <w:r w:rsidRPr="000C4D4F">
        <w:rPr>
          <w:lang w:val="es-ES"/>
        </w:rPr>
        <w:fldChar w:fldCharType="begin"/>
      </w:r>
      <w:r w:rsidRPr="000C4D4F">
        <w:rPr>
          <w:lang w:val="es-ES"/>
        </w:rPr>
        <w:instrText xml:space="preserve"> AUTONUM  </w:instrText>
      </w:r>
      <w:r w:rsidRPr="000C4D4F">
        <w:rPr>
          <w:lang w:val="es-ES"/>
        </w:rPr>
        <w:fldChar w:fldCharType="end"/>
      </w:r>
      <w:r w:rsidRPr="000C4D4F">
        <w:rPr>
          <w:lang w:val="es-ES"/>
        </w:rPr>
        <w:tab/>
      </w:r>
      <w:r w:rsidR="001B1003">
        <w:rPr>
          <w:lang w:val="es-ES"/>
        </w:rPr>
        <w:t>Como consecuencia de esas propuestas</w:t>
      </w:r>
      <w:r w:rsidRPr="000C4D4F">
        <w:rPr>
          <w:iCs/>
          <w:szCs w:val="22"/>
          <w:lang w:val="es-ES"/>
        </w:rPr>
        <w:t xml:space="preserve">, </w:t>
      </w:r>
      <w:r w:rsidR="001B1003">
        <w:rPr>
          <w:iCs/>
          <w:szCs w:val="22"/>
          <w:lang w:val="es-ES"/>
        </w:rPr>
        <w:t>el CWS creó la nueva Tarea</w:t>
      </w:r>
      <w:r w:rsidRPr="000C4D4F">
        <w:rPr>
          <w:iCs/>
          <w:szCs w:val="22"/>
          <w:lang w:val="es-ES"/>
        </w:rPr>
        <w:t xml:space="preserve"> </w:t>
      </w:r>
      <w:r w:rsidR="001B1003">
        <w:rPr>
          <w:iCs/>
          <w:szCs w:val="22"/>
          <w:lang w:val="es-ES"/>
        </w:rPr>
        <w:t>N</w:t>
      </w:r>
      <w:r w:rsidRPr="000C4D4F">
        <w:rPr>
          <w:iCs/>
          <w:szCs w:val="22"/>
          <w:lang w:val="es-ES"/>
        </w:rPr>
        <w:t>.</w:t>
      </w:r>
      <w:r w:rsidR="001B1003">
        <w:rPr>
          <w:iCs/>
          <w:szCs w:val="22"/>
          <w:lang w:val="es-ES"/>
        </w:rPr>
        <w:t>º</w:t>
      </w:r>
      <w:r w:rsidRPr="000C4D4F">
        <w:rPr>
          <w:iCs/>
          <w:szCs w:val="22"/>
          <w:lang w:val="es-ES"/>
        </w:rPr>
        <w:t xml:space="preserve"> 60, </w:t>
      </w:r>
      <w:r w:rsidR="001B1003">
        <w:rPr>
          <w:iCs/>
          <w:szCs w:val="22"/>
          <w:lang w:val="es-ES"/>
        </w:rPr>
        <w:t>que se describe de la manera siguiente</w:t>
      </w:r>
      <w:r w:rsidRPr="000C4D4F">
        <w:rPr>
          <w:iCs/>
          <w:szCs w:val="22"/>
          <w:lang w:val="es-ES"/>
        </w:rPr>
        <w:t>:</w:t>
      </w:r>
    </w:p>
    <w:p w14:paraId="5551DA83" w14:textId="1FC3265A" w:rsidR="006A1221" w:rsidRPr="00481309" w:rsidRDefault="006A1221" w:rsidP="00481309">
      <w:pPr>
        <w:pStyle w:val="ONUME"/>
        <w:ind w:left="567"/>
        <w:rPr>
          <w:iCs/>
          <w:szCs w:val="22"/>
          <w:lang w:val="es-ES_tradnl"/>
        </w:rPr>
      </w:pPr>
      <w:r>
        <w:rPr>
          <w:iCs/>
          <w:szCs w:val="22"/>
          <w:lang w:val="es-ES_tradnl"/>
        </w:rPr>
        <w:t>“</w:t>
      </w:r>
      <w:r w:rsidRPr="0069017B">
        <w:rPr>
          <w:iCs/>
          <w:szCs w:val="22"/>
          <w:lang w:val="es-ES_tradnl"/>
        </w:rPr>
        <w:t>Preparar una propuesta para la numeración de los códigos INID relativos a las marcas denominativas y a las marcas figurativas, la</w:t>
      </w:r>
      <w:r w:rsidR="00481309">
        <w:rPr>
          <w:iCs/>
          <w:szCs w:val="22"/>
          <w:lang w:val="es-ES_tradnl"/>
        </w:rPr>
        <w:t xml:space="preserve"> división del código INID (551)</w:t>
      </w:r>
      <w:r w:rsidRPr="0069017B">
        <w:rPr>
          <w:iCs/>
          <w:szCs w:val="22"/>
          <w:lang w:val="es-ES_tradnl"/>
        </w:rPr>
        <w:t xml:space="preserve"> y un </w:t>
      </w:r>
      <w:r w:rsidR="00830F65">
        <w:rPr>
          <w:iCs/>
          <w:szCs w:val="22"/>
          <w:lang w:val="es-ES_tradnl"/>
        </w:rPr>
        <w:t xml:space="preserve">posible </w:t>
      </w:r>
      <w:r w:rsidRPr="0069017B">
        <w:rPr>
          <w:iCs/>
          <w:szCs w:val="22"/>
          <w:lang w:val="es-ES_tradnl"/>
        </w:rPr>
        <w:t>código INID para las marcas combinadas.</w:t>
      </w:r>
      <w:r>
        <w:rPr>
          <w:iCs/>
          <w:szCs w:val="22"/>
          <w:lang w:val="es-ES_tradnl"/>
        </w:rPr>
        <w:t>”</w:t>
      </w:r>
    </w:p>
    <w:p w14:paraId="72BCA7F5" w14:textId="3D6CA311" w:rsidR="000C4D4F" w:rsidRPr="000C4D4F" w:rsidRDefault="002071BA" w:rsidP="000C4D4F">
      <w:pPr>
        <w:spacing w:after="220"/>
        <w:rPr>
          <w:iCs/>
          <w:szCs w:val="22"/>
          <w:lang w:val="es-ES"/>
        </w:rPr>
      </w:pPr>
      <w:r>
        <w:rPr>
          <w:iCs/>
          <w:szCs w:val="22"/>
          <w:lang w:val="es-ES"/>
        </w:rPr>
        <w:t xml:space="preserve">El CWS </w:t>
      </w:r>
      <w:r w:rsidRPr="002071BA">
        <w:rPr>
          <w:iCs/>
          <w:szCs w:val="22"/>
          <w:lang w:val="es-ES_tradnl"/>
        </w:rPr>
        <w:t>asignó la nueva Tarea N.º 60 al Equipo Técnico sobre Normas relativas a las Marcas para su ulterior examen y pidió al Equipo Técnico que presentara una propuesta o un informe sobre la marcha de la labor en su séptima sesión (véanse los párrafos 128 a 133 del documento CWS/6/34).</w:t>
      </w:r>
    </w:p>
    <w:p w14:paraId="79513A6A" w14:textId="465C3F70" w:rsidR="002071BA" w:rsidRPr="002C5159" w:rsidRDefault="002071BA" w:rsidP="002071BA">
      <w:pPr>
        <w:pStyle w:val="Heading2"/>
        <w:keepLines/>
        <w:rPr>
          <w:lang w:val="fr-CH"/>
        </w:rPr>
      </w:pPr>
      <w:r w:rsidRPr="0069017B">
        <w:rPr>
          <w:lang w:val="es-ES_tradnl"/>
        </w:rPr>
        <w:lastRenderedPageBreak/>
        <w:t>Propuesta de revisión</w:t>
      </w:r>
    </w:p>
    <w:p w14:paraId="511A9B35" w14:textId="7F4142BA" w:rsidR="000C4D4F" w:rsidRPr="000C4D4F" w:rsidRDefault="000C4D4F" w:rsidP="000C4D4F">
      <w:pPr>
        <w:keepLines/>
        <w:spacing w:after="220"/>
        <w:rPr>
          <w:lang w:val="es-ES"/>
        </w:rPr>
      </w:pPr>
      <w:r w:rsidRPr="000C4D4F">
        <w:rPr>
          <w:lang w:val="es-ES"/>
        </w:rPr>
        <w:fldChar w:fldCharType="begin"/>
      </w:r>
      <w:r w:rsidRPr="000C4D4F">
        <w:rPr>
          <w:lang w:val="es-ES"/>
        </w:rPr>
        <w:instrText xml:space="preserve"> AUTONUM  </w:instrText>
      </w:r>
      <w:r w:rsidRPr="000C4D4F">
        <w:rPr>
          <w:lang w:val="es-ES"/>
        </w:rPr>
        <w:fldChar w:fldCharType="end"/>
      </w:r>
      <w:r w:rsidRPr="000C4D4F">
        <w:rPr>
          <w:lang w:val="es-ES"/>
        </w:rPr>
        <w:tab/>
      </w:r>
      <w:r w:rsidR="002071BA">
        <w:rPr>
          <w:lang w:val="es-ES_tradnl"/>
        </w:rPr>
        <w:t>En el marco de la Tarea N.º</w:t>
      </w:r>
      <w:r w:rsidR="002071BA" w:rsidRPr="002071BA">
        <w:rPr>
          <w:lang w:val="es-ES_tradnl"/>
        </w:rPr>
        <w:t xml:space="preserve"> 60, el Equipo Técnico sobre normas relativas a </w:t>
      </w:r>
      <w:r w:rsidR="002071BA">
        <w:rPr>
          <w:lang w:val="es-ES_tradnl"/>
        </w:rPr>
        <w:t xml:space="preserve">las </w:t>
      </w:r>
      <w:r w:rsidR="002071BA" w:rsidRPr="002071BA">
        <w:rPr>
          <w:lang w:val="es-ES_tradnl"/>
        </w:rPr>
        <w:t>marcas examinó las tres cuest</w:t>
      </w:r>
      <w:r w:rsidR="002071BA">
        <w:rPr>
          <w:lang w:val="es-ES_tradnl"/>
        </w:rPr>
        <w:t>iones que figuran en la Tarea N.º</w:t>
      </w:r>
      <w:r w:rsidR="002071BA" w:rsidRPr="002071BA">
        <w:rPr>
          <w:lang w:val="es-ES_tradnl"/>
        </w:rPr>
        <w:t xml:space="preserve"> 60 y celebró debates en línea sobre ellos.</w:t>
      </w:r>
      <w:r w:rsidR="002071BA" w:rsidRPr="002C5159">
        <w:rPr>
          <w:lang w:val="fr-CH"/>
        </w:rPr>
        <w:t xml:space="preserve"> </w:t>
      </w:r>
      <w:r w:rsidR="002071BA" w:rsidRPr="002071BA">
        <w:rPr>
          <w:lang w:val="es-ES_tradnl"/>
        </w:rPr>
        <w:t xml:space="preserve">La Oficina Internacional también mantuvo debates internos sobre las cuestiones entre las dependencias de trabajo pertinentes, </w:t>
      </w:r>
      <w:r w:rsidR="00C0742A">
        <w:rPr>
          <w:lang w:val="es-ES_tradnl"/>
        </w:rPr>
        <w:t>entre ellas,</w:t>
      </w:r>
      <w:r w:rsidR="002071BA" w:rsidRPr="002071BA">
        <w:rPr>
          <w:lang w:val="es-ES_tradnl"/>
        </w:rPr>
        <w:t xml:space="preserve"> el Sistema de Madrid.</w:t>
      </w:r>
    </w:p>
    <w:p w14:paraId="1139122B" w14:textId="21F2B393" w:rsidR="00FF34A9" w:rsidRPr="002C5159" w:rsidRDefault="000C4D4F" w:rsidP="00FF34A9">
      <w:pPr>
        <w:spacing w:after="220"/>
        <w:rPr>
          <w:lang w:val="fr-CH"/>
        </w:rPr>
      </w:pPr>
      <w:r w:rsidRPr="000C4D4F">
        <w:rPr>
          <w:lang w:val="es-ES"/>
        </w:rPr>
        <w:fldChar w:fldCharType="begin"/>
      </w:r>
      <w:r w:rsidRPr="000C4D4F">
        <w:rPr>
          <w:lang w:val="es-ES"/>
        </w:rPr>
        <w:instrText xml:space="preserve"> AUTONUM  </w:instrText>
      </w:r>
      <w:r w:rsidRPr="000C4D4F">
        <w:rPr>
          <w:lang w:val="es-ES"/>
        </w:rPr>
        <w:fldChar w:fldCharType="end"/>
      </w:r>
      <w:r w:rsidRPr="000C4D4F">
        <w:rPr>
          <w:lang w:val="es-ES"/>
        </w:rPr>
        <w:tab/>
      </w:r>
      <w:r w:rsidR="00FF34A9" w:rsidRPr="00FF34A9">
        <w:rPr>
          <w:lang w:val="es-ES_tradnl"/>
        </w:rPr>
        <w:t xml:space="preserve">Con respecto a la búsqueda de códigos INID </w:t>
      </w:r>
      <w:r w:rsidR="00CF4797">
        <w:rPr>
          <w:lang w:val="es-ES_tradnl"/>
        </w:rPr>
        <w:t>que resultara</w:t>
      </w:r>
      <w:r w:rsidR="00FF34A9">
        <w:rPr>
          <w:lang w:val="es-ES_tradnl"/>
        </w:rPr>
        <w:t xml:space="preserve">n </w:t>
      </w:r>
      <w:r w:rsidR="00FF34A9" w:rsidRPr="00FF34A9">
        <w:rPr>
          <w:lang w:val="es-ES_tradnl"/>
        </w:rPr>
        <w:t xml:space="preserve">adecuados para las marcas denominativas y las marcas figurativas, el Equipo Técnico consideró </w:t>
      </w:r>
      <w:r w:rsidR="00FF34A9">
        <w:rPr>
          <w:lang w:val="es-ES_tradnl"/>
        </w:rPr>
        <w:t>lo</w:t>
      </w:r>
      <w:r w:rsidR="00FF34A9" w:rsidRPr="00FF34A9">
        <w:rPr>
          <w:lang w:val="es-ES_tradnl"/>
        </w:rPr>
        <w:t>s posibles</w:t>
      </w:r>
      <w:r w:rsidR="00FF34A9">
        <w:rPr>
          <w:lang w:val="es-ES_tradnl"/>
        </w:rPr>
        <w:t xml:space="preserve"> ámbitos</w:t>
      </w:r>
      <w:r w:rsidR="00FF34A9" w:rsidRPr="00FF34A9">
        <w:rPr>
          <w:lang w:val="es-ES_tradnl"/>
        </w:rPr>
        <w:t xml:space="preserve"> </w:t>
      </w:r>
      <w:r w:rsidR="00FF34A9">
        <w:rPr>
          <w:lang w:val="es-ES_tradnl"/>
        </w:rPr>
        <w:t xml:space="preserve">existentes </w:t>
      </w:r>
      <w:r w:rsidR="00FF34A9" w:rsidRPr="00FF34A9">
        <w:rPr>
          <w:lang w:val="es-ES_tradnl"/>
        </w:rPr>
        <w:t xml:space="preserve">dentro de la </w:t>
      </w:r>
      <w:r w:rsidR="00FF34A9">
        <w:rPr>
          <w:lang w:val="es-ES_tradnl"/>
        </w:rPr>
        <w:t xml:space="preserve">Norma </w:t>
      </w:r>
      <w:r w:rsidR="00FF34A9" w:rsidRPr="00FF34A9">
        <w:rPr>
          <w:lang w:val="es-ES_tradnl"/>
        </w:rPr>
        <w:t>ST</w:t>
      </w:r>
      <w:r w:rsidR="00FF34A9">
        <w:rPr>
          <w:lang w:val="es-ES_tradnl"/>
        </w:rPr>
        <w:t>.</w:t>
      </w:r>
      <w:r w:rsidR="00FF34A9" w:rsidRPr="00FF34A9">
        <w:rPr>
          <w:lang w:val="es-ES_tradnl"/>
        </w:rPr>
        <w:t>60</w:t>
      </w:r>
      <w:r w:rsidR="00FF34A9">
        <w:rPr>
          <w:lang w:val="es-ES_tradnl"/>
        </w:rPr>
        <w:t xml:space="preserve"> de la OMPI. El ámbito correspondiente </w:t>
      </w:r>
      <w:r w:rsidR="00FF34A9" w:rsidRPr="00FF34A9">
        <w:rPr>
          <w:lang w:val="es-ES_tradnl"/>
        </w:rPr>
        <w:t xml:space="preserve">a la </w:t>
      </w:r>
      <w:r w:rsidR="00FF34A9">
        <w:rPr>
          <w:lang w:val="es-ES_tradnl"/>
        </w:rPr>
        <w:t>gama</w:t>
      </w:r>
      <w:r w:rsidR="00FF34A9" w:rsidRPr="00FF34A9">
        <w:rPr>
          <w:lang w:val="es-ES_tradnl"/>
        </w:rPr>
        <w:t xml:space="preserve"> 59x parece ser la ubicación más adecuada para los nuevos códigos.</w:t>
      </w:r>
      <w:r w:rsidR="00A12479" w:rsidRPr="002C5159">
        <w:rPr>
          <w:lang w:val="fr-CH"/>
        </w:rPr>
        <w:t xml:space="preserve"> </w:t>
      </w:r>
      <w:r w:rsidR="00FF34A9" w:rsidRPr="00FF34A9">
        <w:rPr>
          <w:lang w:val="es-ES_tradnl"/>
        </w:rPr>
        <w:t xml:space="preserve">En la Norma ST.60 de la OMPI ya se está utilizando toda la gama </w:t>
      </w:r>
      <w:r w:rsidR="00FF34A9">
        <w:rPr>
          <w:lang w:val="es-ES_tradnl"/>
        </w:rPr>
        <w:t>que va de 53x a 59x:</w:t>
      </w:r>
    </w:p>
    <w:p w14:paraId="0143632D" w14:textId="1F30FFD8" w:rsidR="000C4D4F" w:rsidRPr="000C4D4F" w:rsidRDefault="00FF34A9" w:rsidP="000C4D4F">
      <w:pPr>
        <w:numPr>
          <w:ilvl w:val="0"/>
          <w:numId w:val="15"/>
        </w:numPr>
        <w:contextualSpacing/>
        <w:rPr>
          <w:lang w:val="es-ES"/>
        </w:rPr>
      </w:pPr>
      <w:r>
        <w:rPr>
          <w:lang w:val="es-ES"/>
        </w:rPr>
        <w:t xml:space="preserve">Los códigos </w:t>
      </w:r>
      <w:r w:rsidR="000C4D4F" w:rsidRPr="000C4D4F">
        <w:rPr>
          <w:lang w:val="es-ES"/>
        </w:rPr>
        <w:t xml:space="preserve">INID 531 </w:t>
      </w:r>
      <w:r>
        <w:rPr>
          <w:lang w:val="es-ES"/>
        </w:rPr>
        <w:t>a</w:t>
      </w:r>
      <w:r w:rsidR="000C4D4F" w:rsidRPr="000C4D4F">
        <w:rPr>
          <w:lang w:val="es-ES"/>
        </w:rPr>
        <w:t xml:space="preserve"> 591 </w:t>
      </w:r>
      <w:r>
        <w:rPr>
          <w:lang w:val="es-ES"/>
        </w:rPr>
        <w:t>se utilizan para las descripciones de los elementos de la marca</w:t>
      </w:r>
      <w:r w:rsidR="000C4D4F" w:rsidRPr="000C4D4F">
        <w:rPr>
          <w:lang w:val="es-ES"/>
        </w:rPr>
        <w:t xml:space="preserve"> </w:t>
      </w:r>
    </w:p>
    <w:p w14:paraId="11406A66" w14:textId="0CEE691B" w:rsidR="000C4D4F" w:rsidRPr="000C4D4F" w:rsidRDefault="00FF34A9" w:rsidP="000C4D4F">
      <w:pPr>
        <w:numPr>
          <w:ilvl w:val="0"/>
          <w:numId w:val="15"/>
        </w:numPr>
        <w:contextualSpacing/>
        <w:rPr>
          <w:lang w:val="es-ES"/>
        </w:rPr>
      </w:pPr>
      <w:r>
        <w:rPr>
          <w:lang w:val="es-ES"/>
        </w:rPr>
        <w:t xml:space="preserve">Los códigos </w:t>
      </w:r>
      <w:r w:rsidR="000C4D4F" w:rsidRPr="000C4D4F">
        <w:rPr>
          <w:lang w:val="es-ES"/>
        </w:rPr>
        <w:t xml:space="preserve">53x </w:t>
      </w:r>
      <w:r w:rsidR="00A12479">
        <w:rPr>
          <w:lang w:val="es-ES"/>
        </w:rPr>
        <w:t>se utilizan para el tipo de clasificación</w:t>
      </w:r>
      <w:r w:rsidR="000C4D4F" w:rsidRPr="000C4D4F">
        <w:rPr>
          <w:lang w:val="es-ES"/>
        </w:rPr>
        <w:t xml:space="preserve"> </w:t>
      </w:r>
    </w:p>
    <w:p w14:paraId="6F3E959B" w14:textId="72E92103" w:rsidR="000C4D4F" w:rsidRPr="000C4D4F" w:rsidRDefault="00FF34A9" w:rsidP="000C4D4F">
      <w:pPr>
        <w:numPr>
          <w:ilvl w:val="0"/>
          <w:numId w:val="15"/>
        </w:numPr>
        <w:contextualSpacing/>
        <w:rPr>
          <w:lang w:val="es-ES"/>
        </w:rPr>
      </w:pPr>
      <w:r>
        <w:rPr>
          <w:lang w:val="es-ES"/>
        </w:rPr>
        <w:t>Los códigos</w:t>
      </w:r>
      <w:r w:rsidR="000C4D4F" w:rsidRPr="000C4D4F">
        <w:rPr>
          <w:lang w:val="es-ES"/>
        </w:rPr>
        <w:t xml:space="preserve"> 54x </w:t>
      </w:r>
      <w:r w:rsidR="00A12479">
        <w:rPr>
          <w:lang w:val="es-ES"/>
        </w:rPr>
        <w:t xml:space="preserve">se utilizan para las reproducciones de la marca </w:t>
      </w:r>
    </w:p>
    <w:p w14:paraId="4EFE5CBF" w14:textId="6E86B349" w:rsidR="000C4D4F" w:rsidRPr="000C4D4F" w:rsidRDefault="00FF34A9" w:rsidP="000C4D4F">
      <w:pPr>
        <w:numPr>
          <w:ilvl w:val="0"/>
          <w:numId w:val="15"/>
        </w:numPr>
        <w:contextualSpacing/>
        <w:rPr>
          <w:lang w:val="es-ES"/>
        </w:rPr>
      </w:pPr>
      <w:r>
        <w:rPr>
          <w:lang w:val="es-ES"/>
        </w:rPr>
        <w:t>Los códigos</w:t>
      </w:r>
      <w:r w:rsidR="00A12479">
        <w:rPr>
          <w:lang w:val="es-ES"/>
        </w:rPr>
        <w:t xml:space="preserve"> 55x indican el tipo de marca</w:t>
      </w:r>
      <w:r w:rsidR="00730887">
        <w:rPr>
          <w:lang w:val="es-ES"/>
        </w:rPr>
        <w:t xml:space="preserve">. </w:t>
      </w:r>
      <w:r w:rsidR="00A12479">
        <w:rPr>
          <w:lang w:val="es-ES"/>
        </w:rPr>
        <w:t>Todos l</w:t>
      </w:r>
      <w:r>
        <w:rPr>
          <w:lang w:val="es-ES"/>
        </w:rPr>
        <w:t>os códigos</w:t>
      </w:r>
      <w:r w:rsidR="00A12479">
        <w:rPr>
          <w:lang w:val="es-ES"/>
        </w:rPr>
        <w:t xml:space="preserve"> se hallan en uso</w:t>
      </w:r>
      <w:r w:rsidR="000C4D4F" w:rsidRPr="000C4D4F">
        <w:rPr>
          <w:lang w:val="es-ES"/>
        </w:rPr>
        <w:t>.</w:t>
      </w:r>
    </w:p>
    <w:p w14:paraId="0F38F02B" w14:textId="50549537" w:rsidR="000C4D4F" w:rsidRPr="000C4D4F" w:rsidRDefault="00FF34A9" w:rsidP="000C4D4F">
      <w:pPr>
        <w:numPr>
          <w:ilvl w:val="0"/>
          <w:numId w:val="15"/>
        </w:numPr>
        <w:contextualSpacing/>
        <w:rPr>
          <w:lang w:val="es-ES"/>
        </w:rPr>
      </w:pPr>
      <w:r>
        <w:rPr>
          <w:lang w:val="es-ES"/>
        </w:rPr>
        <w:t>Los códigos</w:t>
      </w:r>
      <w:r w:rsidR="000C4D4F" w:rsidRPr="000C4D4F">
        <w:rPr>
          <w:lang w:val="es-ES"/>
        </w:rPr>
        <w:t xml:space="preserve"> 561 </w:t>
      </w:r>
      <w:r>
        <w:rPr>
          <w:lang w:val="es-ES"/>
        </w:rPr>
        <w:t xml:space="preserve">y </w:t>
      </w:r>
      <w:r w:rsidR="000C4D4F" w:rsidRPr="000C4D4F">
        <w:rPr>
          <w:lang w:val="es-ES"/>
        </w:rPr>
        <w:t xml:space="preserve">566 </w:t>
      </w:r>
      <w:r w:rsidR="00A12479">
        <w:rPr>
          <w:lang w:val="es-ES"/>
        </w:rPr>
        <w:t xml:space="preserve">corresponden a la traducción o transliteración </w:t>
      </w:r>
    </w:p>
    <w:p w14:paraId="166260DD" w14:textId="3DE8EB44" w:rsidR="000C4D4F" w:rsidRPr="000C4D4F" w:rsidRDefault="00A12479" w:rsidP="000C4D4F">
      <w:pPr>
        <w:numPr>
          <w:ilvl w:val="0"/>
          <w:numId w:val="15"/>
        </w:numPr>
        <w:contextualSpacing/>
        <w:rPr>
          <w:lang w:val="es-ES"/>
        </w:rPr>
      </w:pPr>
      <w:r>
        <w:rPr>
          <w:lang w:val="es-ES"/>
        </w:rPr>
        <w:t xml:space="preserve">El código </w:t>
      </w:r>
      <w:r w:rsidR="000C4D4F" w:rsidRPr="000C4D4F">
        <w:rPr>
          <w:lang w:val="es-ES"/>
        </w:rPr>
        <w:t xml:space="preserve">571 </w:t>
      </w:r>
      <w:r>
        <w:rPr>
          <w:lang w:val="es-ES"/>
        </w:rPr>
        <w:t xml:space="preserve">corresponde a la descripción de la marca </w:t>
      </w:r>
    </w:p>
    <w:p w14:paraId="572ABD73" w14:textId="4A9ABB36" w:rsidR="000C4D4F" w:rsidRPr="000C4D4F" w:rsidRDefault="00FF34A9" w:rsidP="000C4D4F">
      <w:pPr>
        <w:numPr>
          <w:ilvl w:val="0"/>
          <w:numId w:val="15"/>
        </w:numPr>
        <w:contextualSpacing/>
        <w:rPr>
          <w:lang w:val="es-ES"/>
        </w:rPr>
      </w:pPr>
      <w:r>
        <w:rPr>
          <w:lang w:val="es-ES"/>
        </w:rPr>
        <w:t>Los códigos</w:t>
      </w:r>
      <w:r w:rsidR="000C4D4F" w:rsidRPr="000C4D4F">
        <w:rPr>
          <w:lang w:val="es-ES"/>
        </w:rPr>
        <w:t xml:space="preserve"> 58x </w:t>
      </w:r>
      <w:r w:rsidR="00A12479">
        <w:rPr>
          <w:lang w:val="es-ES"/>
        </w:rPr>
        <w:t>se utilizan para proporcionar información sobre la fecha</w:t>
      </w:r>
    </w:p>
    <w:p w14:paraId="1DB2C357" w14:textId="32C2FAA2" w:rsidR="000C4D4F" w:rsidRPr="000C4D4F" w:rsidRDefault="00A12479" w:rsidP="000C4D4F">
      <w:pPr>
        <w:numPr>
          <w:ilvl w:val="0"/>
          <w:numId w:val="15"/>
        </w:numPr>
        <w:spacing w:after="220"/>
        <w:ind w:left="922"/>
        <w:rPr>
          <w:lang w:val="es-ES"/>
        </w:rPr>
      </w:pPr>
      <w:r>
        <w:rPr>
          <w:lang w:val="es-ES"/>
        </w:rPr>
        <w:t xml:space="preserve">El código </w:t>
      </w:r>
      <w:r w:rsidR="000C4D4F" w:rsidRPr="000C4D4F">
        <w:rPr>
          <w:lang w:val="es-ES"/>
        </w:rPr>
        <w:t xml:space="preserve">591 </w:t>
      </w:r>
      <w:r>
        <w:rPr>
          <w:lang w:val="es-ES"/>
        </w:rPr>
        <w:t>corresponde a los colores de la marca</w:t>
      </w:r>
      <w:r w:rsidR="000C4D4F" w:rsidRPr="000C4D4F">
        <w:rPr>
          <w:lang w:val="es-ES"/>
        </w:rPr>
        <w:t xml:space="preserve">. </w:t>
      </w:r>
      <w:r>
        <w:rPr>
          <w:lang w:val="es-ES"/>
        </w:rPr>
        <w:t>El resto de la gama</w:t>
      </w:r>
      <w:r w:rsidR="000C4D4F" w:rsidRPr="000C4D4F">
        <w:rPr>
          <w:lang w:val="es-ES"/>
        </w:rPr>
        <w:t xml:space="preserve"> 59x</w:t>
      </w:r>
      <w:r>
        <w:rPr>
          <w:lang w:val="es-ES"/>
        </w:rPr>
        <w:t xml:space="preserve"> está sin utilizar</w:t>
      </w:r>
      <w:r w:rsidR="000C4D4F" w:rsidRPr="000C4D4F">
        <w:rPr>
          <w:lang w:val="es-ES"/>
        </w:rPr>
        <w:t>.</w:t>
      </w:r>
    </w:p>
    <w:p w14:paraId="6DFC9CEC" w14:textId="311EC892" w:rsidR="000C4D4F" w:rsidRPr="000C4D4F" w:rsidRDefault="000C4D4F" w:rsidP="000C4D4F">
      <w:pPr>
        <w:spacing w:after="220"/>
        <w:rPr>
          <w:lang w:val="es-ES"/>
        </w:rPr>
      </w:pPr>
      <w:r w:rsidRPr="000C4D4F">
        <w:rPr>
          <w:lang w:val="es-ES"/>
        </w:rPr>
        <w:fldChar w:fldCharType="begin"/>
      </w:r>
      <w:r w:rsidRPr="000C4D4F">
        <w:rPr>
          <w:lang w:val="es-ES"/>
        </w:rPr>
        <w:instrText xml:space="preserve"> AUTONUM  </w:instrText>
      </w:r>
      <w:r w:rsidRPr="000C4D4F">
        <w:rPr>
          <w:lang w:val="es-ES"/>
        </w:rPr>
        <w:fldChar w:fldCharType="end"/>
      </w:r>
      <w:r w:rsidRPr="000C4D4F">
        <w:rPr>
          <w:lang w:val="es-ES"/>
        </w:rPr>
        <w:tab/>
      </w:r>
      <w:r w:rsidR="00730887">
        <w:rPr>
          <w:lang w:val="es-ES"/>
        </w:rPr>
        <w:t>Como toda la gama 55x se halla en uso, y las otras gamas comprendidas entre la 53x y la 58x se utilizan para distintos tipos de información, aparte del tipo de marca, el Equipo Técnico consideró que la gama 59x e</w:t>
      </w:r>
      <w:r w:rsidR="00CF4797">
        <w:rPr>
          <w:lang w:val="es-ES"/>
        </w:rPr>
        <w:t>ra</w:t>
      </w:r>
      <w:r w:rsidR="00730887">
        <w:rPr>
          <w:lang w:val="es-ES"/>
        </w:rPr>
        <w:t xml:space="preserve"> la ubicación más adecuada para los nuevos códigos correspondientes a las marcas denominativas y figurativas.</w:t>
      </w:r>
    </w:p>
    <w:p w14:paraId="0F1CEC0B" w14:textId="1A69B601" w:rsidR="000C4D4F" w:rsidRPr="000C4D4F" w:rsidRDefault="000C4D4F" w:rsidP="000C4D4F">
      <w:pPr>
        <w:rPr>
          <w:lang w:val="es-ES"/>
        </w:rPr>
      </w:pPr>
      <w:r w:rsidRPr="000C4D4F">
        <w:rPr>
          <w:lang w:val="es-ES"/>
        </w:rPr>
        <w:fldChar w:fldCharType="begin"/>
      </w:r>
      <w:r w:rsidRPr="000C4D4F">
        <w:rPr>
          <w:lang w:val="es-ES"/>
        </w:rPr>
        <w:instrText xml:space="preserve"> AUTONUM  </w:instrText>
      </w:r>
      <w:r w:rsidRPr="000C4D4F">
        <w:rPr>
          <w:lang w:val="es-ES"/>
        </w:rPr>
        <w:fldChar w:fldCharType="end"/>
      </w:r>
      <w:r w:rsidRPr="000C4D4F">
        <w:rPr>
          <w:lang w:val="es-ES"/>
        </w:rPr>
        <w:tab/>
      </w:r>
      <w:r w:rsidR="00980775">
        <w:rPr>
          <w:lang w:val="es-ES"/>
        </w:rPr>
        <w:t xml:space="preserve">El Equipo Técnico propone añadir los códigos siguientes a la Norma ST.60 de la OMPI, y una nota conexa en el registro de cambios del Apéndice 2 de dicha norma: </w:t>
      </w:r>
    </w:p>
    <w:p w14:paraId="63982175" w14:textId="77777777" w:rsidR="000C4D4F" w:rsidRPr="000C4D4F" w:rsidRDefault="000C4D4F" w:rsidP="000C4D4F">
      <w:pPr>
        <w:rPr>
          <w:lang w:val="es-ES"/>
        </w:rPr>
      </w:pPr>
    </w:p>
    <w:p w14:paraId="5E487FEF" w14:textId="1B70E04F" w:rsidR="000C4D4F" w:rsidRPr="000C4D4F" w:rsidRDefault="00980775" w:rsidP="000C4D4F">
      <w:pPr>
        <w:rPr>
          <w:lang w:val="es-ES"/>
        </w:rPr>
      </w:pPr>
      <w:r>
        <w:rPr>
          <w:lang w:val="es-ES"/>
        </w:rPr>
        <w:t>página</w:t>
      </w:r>
      <w:r w:rsidR="000C4D4F" w:rsidRPr="000C4D4F">
        <w:rPr>
          <w:lang w:val="es-ES"/>
        </w:rPr>
        <w:t xml:space="preserve"> 4:</w:t>
      </w:r>
    </w:p>
    <w:p w14:paraId="1E60EC63" w14:textId="3133C2E8" w:rsidR="000C4D4F" w:rsidRPr="000C4D4F" w:rsidRDefault="000C4D4F" w:rsidP="000C4D4F">
      <w:pPr>
        <w:keepNext/>
        <w:ind w:left="567"/>
        <w:rPr>
          <w:lang w:val="es-ES"/>
        </w:rPr>
      </w:pPr>
      <w:r w:rsidRPr="000C4D4F">
        <w:rPr>
          <w:lang w:val="es-ES"/>
        </w:rPr>
        <w:t>Descrip</w:t>
      </w:r>
      <w:r w:rsidR="00980775">
        <w:rPr>
          <w:lang w:val="es-ES"/>
        </w:rPr>
        <w:t>ción de los elementos figurativos de la marca</w:t>
      </w:r>
    </w:p>
    <w:p w14:paraId="07594F69" w14:textId="77777777" w:rsidR="000C4D4F" w:rsidRPr="000C4D4F" w:rsidRDefault="000C4D4F" w:rsidP="000C4D4F">
      <w:pPr>
        <w:keepNext/>
        <w:ind w:left="567"/>
        <w:rPr>
          <w:lang w:val="es-ES"/>
        </w:rPr>
      </w:pPr>
      <w:r w:rsidRPr="000C4D4F">
        <w:rPr>
          <w:lang w:val="es-ES"/>
        </w:rPr>
        <w:tab/>
        <w:t>…</w:t>
      </w:r>
    </w:p>
    <w:p w14:paraId="734F044D" w14:textId="77777777" w:rsidR="00980775" w:rsidRPr="00980775" w:rsidRDefault="000C4D4F" w:rsidP="000C4D4F">
      <w:pPr>
        <w:keepNext/>
        <w:ind w:left="1134"/>
        <w:rPr>
          <w:lang w:val="es-ES"/>
        </w:rPr>
      </w:pPr>
      <w:r w:rsidRPr="000C4D4F">
        <w:rPr>
          <w:lang w:val="es-ES"/>
        </w:rPr>
        <w:tab/>
      </w:r>
      <w:r w:rsidR="00980775" w:rsidRPr="00980775">
        <w:rPr>
          <w:lang w:val="es-ES"/>
        </w:rPr>
        <w:t xml:space="preserve">(581) Fecha de notificación por la Oficina Internacional a las Partes Contratantes designadas </w:t>
      </w:r>
    </w:p>
    <w:p w14:paraId="37203002" w14:textId="3E34312B" w:rsidR="00980775" w:rsidRPr="00980775" w:rsidRDefault="00980775" w:rsidP="000C4D4F">
      <w:pPr>
        <w:keepNext/>
        <w:ind w:left="1134"/>
        <w:rPr>
          <w:lang w:val="es-ES"/>
        </w:rPr>
      </w:pPr>
      <w:r w:rsidRPr="00980775">
        <w:rPr>
          <w:lang w:val="es-ES"/>
        </w:rPr>
        <w:t>(591) Información relativa a los colores reivindicados</w:t>
      </w:r>
    </w:p>
    <w:p w14:paraId="5214830E" w14:textId="28518C45" w:rsidR="000C4D4F" w:rsidRPr="000C4D4F" w:rsidRDefault="000C4D4F" w:rsidP="000C4D4F">
      <w:pPr>
        <w:keepNext/>
        <w:ind w:left="1134"/>
        <w:rPr>
          <w:u w:val="single"/>
          <w:lang w:val="es-ES"/>
        </w:rPr>
      </w:pPr>
      <w:r w:rsidRPr="000C4D4F">
        <w:rPr>
          <w:lang w:val="es-ES"/>
        </w:rPr>
        <w:t>(</w:t>
      </w:r>
      <w:r w:rsidRPr="000C4D4F">
        <w:rPr>
          <w:u w:val="single"/>
          <w:lang w:val="es-ES"/>
        </w:rPr>
        <w:t>592)</w:t>
      </w:r>
      <w:r w:rsidR="00980775" w:rsidRPr="00980775">
        <w:rPr>
          <w:u w:val="single"/>
          <w:lang w:val="es-ES"/>
        </w:rPr>
        <w:t xml:space="preserve"> Marca denominativa</w:t>
      </w:r>
    </w:p>
    <w:p w14:paraId="77F489C6" w14:textId="2E0A2095" w:rsidR="000C4D4F" w:rsidRPr="000C4D4F" w:rsidRDefault="000C4D4F" w:rsidP="000C4D4F">
      <w:pPr>
        <w:ind w:left="1139"/>
        <w:rPr>
          <w:u w:val="single"/>
          <w:lang w:val="es-ES"/>
        </w:rPr>
      </w:pPr>
      <w:r w:rsidRPr="000C4D4F">
        <w:rPr>
          <w:u w:val="single"/>
          <w:lang w:val="es-ES"/>
        </w:rPr>
        <w:t xml:space="preserve">(593) </w:t>
      </w:r>
      <w:r w:rsidR="00980775" w:rsidRPr="00980775">
        <w:rPr>
          <w:u w:val="single"/>
          <w:lang w:val="es-ES"/>
        </w:rPr>
        <w:t>Marca figurativa</w:t>
      </w:r>
    </w:p>
    <w:p w14:paraId="7B565B06" w14:textId="77777777" w:rsidR="000C4D4F" w:rsidRPr="000C4D4F" w:rsidRDefault="000C4D4F" w:rsidP="000C4D4F">
      <w:pPr>
        <w:ind w:left="572"/>
        <w:rPr>
          <w:u w:val="single"/>
          <w:lang w:val="es-ES"/>
        </w:rPr>
      </w:pPr>
    </w:p>
    <w:p w14:paraId="3AEEFD2D" w14:textId="68D75AF6" w:rsidR="000C4D4F" w:rsidRPr="000C4D4F" w:rsidRDefault="000C4D4F" w:rsidP="000C4D4F">
      <w:pPr>
        <w:ind w:left="572" w:firstLine="562"/>
        <w:rPr>
          <w:i/>
          <w:lang w:val="es-ES"/>
        </w:rPr>
      </w:pPr>
      <w:r w:rsidRPr="000C4D4F">
        <w:rPr>
          <w:i/>
          <w:lang w:val="es-ES"/>
        </w:rPr>
        <w:t>(600)</w:t>
      </w:r>
      <w:r w:rsidRPr="000C4D4F">
        <w:rPr>
          <w:i/>
          <w:lang w:val="es-ES"/>
        </w:rPr>
        <w:tab/>
      </w:r>
      <w:r w:rsidR="00980775" w:rsidRPr="00980775">
        <w:rPr>
          <w:i/>
          <w:lang w:val="es-ES"/>
        </w:rPr>
        <w:t>Referencias a otra(s) solicitud(es) y registro(s) relacionados legalmente</w:t>
      </w:r>
    </w:p>
    <w:p w14:paraId="7D7374E5" w14:textId="77777777" w:rsidR="000C4D4F" w:rsidRPr="000C4D4F" w:rsidRDefault="000C4D4F" w:rsidP="000C4D4F">
      <w:pPr>
        <w:rPr>
          <w:u w:val="single"/>
          <w:lang w:val="es-ES"/>
        </w:rPr>
      </w:pPr>
    </w:p>
    <w:p w14:paraId="51587551" w14:textId="4A7D1AF9" w:rsidR="000C4D4F" w:rsidRPr="000C4D4F" w:rsidRDefault="00980775" w:rsidP="000C4D4F">
      <w:pPr>
        <w:rPr>
          <w:lang w:val="es-ES"/>
        </w:rPr>
      </w:pPr>
      <w:r>
        <w:rPr>
          <w:lang w:val="es-ES"/>
        </w:rPr>
        <w:t>página</w:t>
      </w:r>
      <w:r w:rsidR="000C4D4F" w:rsidRPr="000C4D4F">
        <w:rPr>
          <w:lang w:val="es-ES"/>
        </w:rPr>
        <w:t xml:space="preserve"> 11:</w:t>
      </w:r>
    </w:p>
    <w:p w14:paraId="499995A4" w14:textId="72D78350" w:rsidR="000C4D4F" w:rsidRPr="000C4D4F" w:rsidRDefault="00843264" w:rsidP="000C4D4F">
      <w:pPr>
        <w:keepNext/>
        <w:spacing w:before="240" w:after="60"/>
        <w:outlineLvl w:val="1"/>
        <w:rPr>
          <w:bCs/>
          <w:iCs/>
          <w:caps/>
          <w:szCs w:val="28"/>
          <w:lang w:val="es-ES"/>
        </w:rPr>
      </w:pPr>
      <w:r>
        <w:rPr>
          <w:bCs/>
          <w:iCs/>
          <w:caps/>
          <w:szCs w:val="28"/>
          <w:lang w:val="es-ES"/>
        </w:rPr>
        <w:t>APÉ</w:t>
      </w:r>
      <w:r w:rsidR="000C4D4F" w:rsidRPr="000C4D4F">
        <w:rPr>
          <w:bCs/>
          <w:iCs/>
          <w:caps/>
          <w:szCs w:val="28"/>
          <w:lang w:val="es-ES"/>
        </w:rPr>
        <w:t>NDI</w:t>
      </w:r>
      <w:r>
        <w:rPr>
          <w:bCs/>
          <w:iCs/>
          <w:caps/>
          <w:szCs w:val="28"/>
          <w:lang w:val="es-ES"/>
        </w:rPr>
        <w:t>CE</w:t>
      </w:r>
      <w:r w:rsidR="000C4D4F" w:rsidRPr="000C4D4F">
        <w:rPr>
          <w:bCs/>
          <w:iCs/>
          <w:caps/>
          <w:szCs w:val="28"/>
          <w:lang w:val="es-ES"/>
        </w:rPr>
        <w:t xml:space="preserve"> 2</w:t>
      </w:r>
    </w:p>
    <w:p w14:paraId="240EA007" w14:textId="77777777" w:rsidR="000C4D4F" w:rsidRPr="000C4D4F" w:rsidRDefault="000C4D4F" w:rsidP="000C4D4F">
      <w:pPr>
        <w:rPr>
          <w:lang w:val="es-ES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748"/>
        <w:gridCol w:w="2552"/>
        <w:gridCol w:w="1874"/>
        <w:gridCol w:w="1701"/>
        <w:gridCol w:w="2268"/>
      </w:tblGrid>
      <w:tr w:rsidR="000C4D4F" w:rsidRPr="000C4D4F" w14:paraId="30DFAEE2" w14:textId="77777777" w:rsidTr="0092066F">
        <w:trPr>
          <w:trHeight w:val="400"/>
          <w:tblHeader/>
          <w:jc w:val="center"/>
        </w:trPr>
        <w:tc>
          <w:tcPr>
            <w:tcW w:w="7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01DF226" w14:textId="547AAA95" w:rsidR="000C4D4F" w:rsidRPr="000C4D4F" w:rsidRDefault="00980775" w:rsidP="00980775">
            <w:pPr>
              <w:spacing w:before="60" w:after="60"/>
              <w:jc w:val="center"/>
              <w:rPr>
                <w:rFonts w:eastAsia="Times New Roman" w:cs="Times New Roman"/>
                <w:b/>
                <w:sz w:val="17"/>
                <w:lang w:val="es-ES" w:eastAsia="en-US"/>
              </w:rPr>
            </w:pPr>
            <w:r>
              <w:rPr>
                <w:rFonts w:eastAsia="Times New Roman" w:cs="Times New Roman"/>
                <w:b/>
                <w:sz w:val="17"/>
                <w:lang w:val="es-ES" w:eastAsia="en-US"/>
              </w:rPr>
              <w:t xml:space="preserve">Código </w:t>
            </w:r>
            <w:r w:rsidR="000C4D4F" w:rsidRPr="000C4D4F">
              <w:rPr>
                <w:rFonts w:eastAsia="Times New Roman" w:cs="Times New Roman"/>
                <w:b/>
                <w:sz w:val="17"/>
                <w:lang w:val="es-ES" w:eastAsia="en-US"/>
              </w:rPr>
              <w:t xml:space="preserve">INID 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14:paraId="77DF9230" w14:textId="4C9587CB" w:rsidR="000C4D4F" w:rsidRPr="000C4D4F" w:rsidRDefault="00AC4DDE" w:rsidP="000C4D4F">
            <w:pPr>
              <w:spacing w:before="60" w:after="60"/>
              <w:jc w:val="center"/>
              <w:rPr>
                <w:rFonts w:eastAsia="Times New Roman" w:cs="Times New Roman"/>
                <w:b/>
                <w:sz w:val="17"/>
                <w:lang w:val="es-ES" w:eastAsia="en-US"/>
              </w:rPr>
            </w:pPr>
            <w:proofErr w:type="spellStart"/>
            <w:r w:rsidRPr="002C5159">
              <w:rPr>
                <w:rFonts w:eastAsia="Times New Roman" w:cs="Times New Roman"/>
                <w:b/>
                <w:sz w:val="17"/>
                <w:lang w:val="de-DE" w:eastAsia="en-US"/>
              </w:rPr>
              <w:t>Definición</w:t>
            </w:r>
            <w:proofErr w:type="spellEnd"/>
            <w:r w:rsidRPr="002C5159">
              <w:rPr>
                <w:rFonts w:eastAsia="Times New Roman" w:cs="Times New Roman"/>
                <w:b/>
                <w:sz w:val="17"/>
                <w:lang w:val="de-DE" w:eastAsia="en-US"/>
              </w:rPr>
              <w:t xml:space="preserve">(es) </w:t>
            </w:r>
            <w:proofErr w:type="spellStart"/>
            <w:r w:rsidRPr="002C5159">
              <w:rPr>
                <w:rFonts w:eastAsia="Times New Roman" w:cs="Times New Roman"/>
                <w:b/>
                <w:sz w:val="17"/>
                <w:lang w:val="de-DE" w:eastAsia="en-US"/>
              </w:rPr>
              <w:t>anterior</w:t>
            </w:r>
            <w:proofErr w:type="spellEnd"/>
            <w:r w:rsidRPr="002C5159">
              <w:rPr>
                <w:rFonts w:eastAsia="Times New Roman" w:cs="Times New Roman"/>
                <w:b/>
                <w:sz w:val="17"/>
                <w:lang w:val="de-DE" w:eastAsia="en-US"/>
              </w:rPr>
              <w:t xml:space="preserve">(es) del </w:t>
            </w:r>
            <w:proofErr w:type="spellStart"/>
            <w:r w:rsidRPr="002C5159">
              <w:rPr>
                <w:rFonts w:eastAsia="Times New Roman" w:cs="Times New Roman"/>
                <w:b/>
                <w:sz w:val="17"/>
                <w:lang w:val="de-DE" w:eastAsia="en-US"/>
              </w:rPr>
              <w:t>código</w:t>
            </w:r>
            <w:proofErr w:type="spellEnd"/>
          </w:p>
        </w:tc>
        <w:tc>
          <w:tcPr>
            <w:tcW w:w="1874" w:type="dxa"/>
            <w:tcBorders>
              <w:top w:val="single" w:sz="12" w:space="0" w:color="auto"/>
              <w:bottom w:val="single" w:sz="12" w:space="0" w:color="auto"/>
            </w:tcBorders>
          </w:tcPr>
          <w:p w14:paraId="56F83B57" w14:textId="0C7848A6" w:rsidR="000C4D4F" w:rsidRPr="000C4D4F" w:rsidRDefault="00AC4DDE" w:rsidP="000C4D4F">
            <w:pPr>
              <w:spacing w:before="60" w:after="60"/>
              <w:jc w:val="center"/>
              <w:rPr>
                <w:rFonts w:eastAsia="Times New Roman" w:cs="Times New Roman"/>
                <w:b/>
                <w:sz w:val="17"/>
                <w:lang w:val="es-ES" w:eastAsia="en-US"/>
              </w:rPr>
            </w:pPr>
            <w:r w:rsidRPr="00AC4DDE">
              <w:rPr>
                <w:rFonts w:eastAsia="Times New Roman" w:cs="Times New Roman"/>
                <w:b/>
                <w:sz w:val="17"/>
                <w:lang w:eastAsia="en-US"/>
              </w:rPr>
              <w:t>Nota(s) anterior(es) pertinentes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14:paraId="0C0954D8" w14:textId="66A74779" w:rsidR="000C4D4F" w:rsidRPr="000C4D4F" w:rsidRDefault="00AC4DDE" w:rsidP="00AC4DDE">
            <w:pPr>
              <w:spacing w:before="60" w:after="60"/>
              <w:jc w:val="center"/>
              <w:rPr>
                <w:rFonts w:eastAsia="Times New Roman" w:cs="Times New Roman"/>
                <w:b/>
                <w:sz w:val="17"/>
                <w:lang w:val="es-ES" w:eastAsia="en-US"/>
              </w:rPr>
            </w:pPr>
            <w:r>
              <w:rPr>
                <w:rFonts w:eastAsia="Times New Roman" w:cs="Times New Roman"/>
                <w:b/>
                <w:sz w:val="17"/>
                <w:lang w:val="es-ES" w:eastAsia="en-US"/>
              </w:rPr>
              <w:t>Fecha de supresión o de modificación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08ACF2" w14:textId="4B272D71" w:rsidR="000C4D4F" w:rsidRPr="000C4D4F" w:rsidRDefault="00AC4DDE" w:rsidP="00AC4DDE">
            <w:pPr>
              <w:spacing w:before="60" w:after="60"/>
              <w:jc w:val="center"/>
              <w:rPr>
                <w:rFonts w:eastAsia="Times New Roman" w:cs="Times New Roman"/>
                <w:b/>
                <w:sz w:val="17"/>
                <w:lang w:val="es-ES" w:eastAsia="en-US"/>
              </w:rPr>
            </w:pPr>
            <w:r>
              <w:rPr>
                <w:rFonts w:eastAsia="Times New Roman" w:cs="Times New Roman"/>
                <w:b/>
                <w:sz w:val="17"/>
                <w:lang w:val="es-ES" w:eastAsia="en-US"/>
              </w:rPr>
              <w:t>Tipo de cambio</w:t>
            </w:r>
          </w:p>
        </w:tc>
      </w:tr>
      <w:tr w:rsidR="000C4D4F" w:rsidRPr="000C4D4F" w14:paraId="7DD371CA" w14:textId="77777777" w:rsidTr="0092066F">
        <w:trPr>
          <w:trHeight w:val="400"/>
          <w:jc w:val="center"/>
        </w:trPr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4EE52" w14:textId="77777777" w:rsidR="000C4D4F" w:rsidRPr="000C4D4F" w:rsidRDefault="000C4D4F" w:rsidP="000C4D4F">
            <w:pPr>
              <w:spacing w:before="60"/>
              <w:rPr>
                <w:rFonts w:eastAsia="Times New Roman" w:cs="Times New Roman"/>
                <w:sz w:val="17"/>
                <w:u w:val="single"/>
                <w:lang w:val="es-ES" w:eastAsia="en-US"/>
              </w:rPr>
            </w:pPr>
            <w:r w:rsidRPr="000C4D4F">
              <w:rPr>
                <w:rFonts w:eastAsia="Times New Roman" w:cs="Times New Roman"/>
                <w:sz w:val="17"/>
                <w:u w:val="single"/>
                <w:lang w:val="es-ES" w:eastAsia="en-US"/>
              </w:rPr>
              <w:t>(592)</w:t>
            </w:r>
          </w:p>
          <w:p w14:paraId="3F776794" w14:textId="01DC5A9F" w:rsidR="000C4D4F" w:rsidRPr="000C4D4F" w:rsidRDefault="00980775" w:rsidP="000C4D4F">
            <w:pPr>
              <w:spacing w:before="60"/>
              <w:rPr>
                <w:rFonts w:eastAsia="Times New Roman" w:cs="Times New Roman"/>
                <w:sz w:val="17"/>
                <w:u w:val="single"/>
                <w:lang w:val="es-ES" w:eastAsia="en-US"/>
              </w:rPr>
            </w:pPr>
            <w:r>
              <w:rPr>
                <w:rFonts w:eastAsia="Times New Roman" w:cs="Times New Roman"/>
                <w:sz w:val="17"/>
                <w:u w:val="single"/>
                <w:lang w:val="es-ES" w:eastAsia="en-US"/>
              </w:rPr>
              <w:t>y</w:t>
            </w:r>
          </w:p>
          <w:p w14:paraId="62CD5D8C" w14:textId="77777777" w:rsidR="000C4D4F" w:rsidRPr="000C4D4F" w:rsidRDefault="000C4D4F" w:rsidP="000C4D4F">
            <w:pPr>
              <w:spacing w:before="60"/>
              <w:rPr>
                <w:rFonts w:eastAsia="Times New Roman" w:cs="Times New Roman"/>
                <w:sz w:val="17"/>
                <w:u w:val="single"/>
                <w:lang w:val="es-ES" w:eastAsia="en-US"/>
              </w:rPr>
            </w:pPr>
            <w:r w:rsidRPr="000C4D4F">
              <w:rPr>
                <w:rFonts w:eastAsia="Times New Roman" w:cs="Times New Roman"/>
                <w:sz w:val="17"/>
                <w:u w:val="single"/>
                <w:lang w:val="es-ES" w:eastAsia="en-US"/>
              </w:rPr>
              <w:t>(593)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ABA51" w14:textId="77777777" w:rsidR="000C4D4F" w:rsidRPr="000C4D4F" w:rsidRDefault="000C4D4F" w:rsidP="000C4D4F">
            <w:pPr>
              <w:spacing w:before="60"/>
              <w:rPr>
                <w:rFonts w:eastAsia="Times New Roman" w:cs="Times New Roman"/>
                <w:sz w:val="17"/>
                <w:u w:val="single"/>
                <w:lang w:val="es-ES" w:eastAsia="en-US"/>
              </w:rPr>
            </w:pPr>
            <w:r w:rsidRPr="000C4D4F">
              <w:rPr>
                <w:rFonts w:eastAsia="Times New Roman" w:cs="Times New Roman"/>
                <w:sz w:val="17"/>
                <w:u w:val="single"/>
                <w:lang w:val="es-ES" w:eastAsia="en-US"/>
              </w:rPr>
              <w:t>–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ABC4D" w14:textId="77777777" w:rsidR="000C4D4F" w:rsidRPr="000C4D4F" w:rsidRDefault="000C4D4F" w:rsidP="000C4D4F">
            <w:pPr>
              <w:spacing w:before="60"/>
              <w:rPr>
                <w:rFonts w:eastAsia="Times New Roman" w:cs="Times New Roman"/>
                <w:sz w:val="17"/>
                <w:u w:val="single"/>
                <w:lang w:val="es-ES" w:eastAsia="en-US"/>
              </w:rPr>
            </w:pPr>
            <w:r w:rsidRPr="000C4D4F">
              <w:rPr>
                <w:rFonts w:eastAsia="Times New Roman" w:cs="Times New Roman"/>
                <w:sz w:val="17"/>
                <w:u w:val="single"/>
                <w:lang w:val="es-ES" w:eastAsia="en-US"/>
              </w:rPr>
              <w:t>–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687A6" w14:textId="1E3AB508" w:rsidR="000C4D4F" w:rsidRPr="000C4D4F" w:rsidRDefault="000C4D4F" w:rsidP="00980775">
            <w:pPr>
              <w:spacing w:before="60"/>
              <w:rPr>
                <w:rFonts w:eastAsia="Times New Roman" w:cs="Times New Roman"/>
                <w:sz w:val="17"/>
                <w:u w:val="single"/>
                <w:lang w:val="es-ES" w:eastAsia="en-US"/>
              </w:rPr>
            </w:pPr>
            <w:r w:rsidRPr="000C4D4F">
              <w:rPr>
                <w:rFonts w:eastAsia="Times New Roman" w:cs="Times New Roman"/>
                <w:sz w:val="17"/>
                <w:u w:val="single"/>
                <w:lang w:val="es-ES" w:eastAsia="en-US"/>
              </w:rPr>
              <w:t>xx</w:t>
            </w:r>
            <w:r w:rsidR="00980775">
              <w:rPr>
                <w:rFonts w:eastAsia="Times New Roman" w:cs="Times New Roman"/>
                <w:sz w:val="17"/>
                <w:u w:val="single"/>
                <w:lang w:val="es-ES" w:eastAsia="en-US"/>
              </w:rPr>
              <w:t xml:space="preserve"> de julio de</w:t>
            </w:r>
            <w:r w:rsidRPr="000C4D4F">
              <w:rPr>
                <w:rFonts w:eastAsia="Times New Roman" w:cs="Times New Roman"/>
                <w:sz w:val="17"/>
                <w:u w:val="single"/>
                <w:lang w:val="es-ES" w:eastAsia="en-US"/>
              </w:rPr>
              <w:t xml:space="preserve"> 2019, </w:t>
            </w:r>
            <w:r w:rsidR="00980775">
              <w:rPr>
                <w:rFonts w:eastAsia="Times New Roman" w:cs="Times New Roman"/>
                <w:sz w:val="17"/>
                <w:u w:val="single"/>
                <w:lang w:val="es-ES" w:eastAsia="en-US"/>
              </w:rPr>
              <w:t xml:space="preserve">por </w:t>
            </w:r>
            <w:r w:rsidRPr="000C4D4F">
              <w:rPr>
                <w:rFonts w:eastAsia="Times New Roman" w:cs="Times New Roman"/>
                <w:sz w:val="17"/>
                <w:u w:val="single"/>
                <w:lang w:val="es-ES" w:eastAsia="en-US"/>
              </w:rPr>
              <w:t>CWS/7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ED58D" w14:textId="6B605018" w:rsidR="000C4D4F" w:rsidRPr="000C4D4F" w:rsidRDefault="000C4D4F" w:rsidP="00AC4DDE">
            <w:pPr>
              <w:spacing w:before="60"/>
              <w:rPr>
                <w:rFonts w:eastAsia="Times New Roman" w:cs="Times New Roman"/>
                <w:sz w:val="17"/>
                <w:u w:val="single"/>
                <w:lang w:val="es-ES" w:eastAsia="en-US"/>
              </w:rPr>
            </w:pPr>
            <w:r w:rsidRPr="000C4D4F">
              <w:rPr>
                <w:rFonts w:eastAsia="Times New Roman" w:cs="Times New Roman"/>
                <w:sz w:val="17"/>
                <w:u w:val="single"/>
                <w:lang w:val="es-ES" w:eastAsia="en-US"/>
              </w:rPr>
              <w:t>C</w:t>
            </w:r>
            <w:r w:rsidR="00AC4DDE">
              <w:rPr>
                <w:rFonts w:eastAsia="Times New Roman" w:cs="Times New Roman"/>
                <w:sz w:val="17"/>
                <w:u w:val="single"/>
                <w:lang w:val="es-ES" w:eastAsia="en-US"/>
              </w:rPr>
              <w:t>ódigo añadido</w:t>
            </w:r>
          </w:p>
        </w:tc>
      </w:tr>
    </w:tbl>
    <w:p w14:paraId="33C13DFB" w14:textId="77777777" w:rsidR="000C4D4F" w:rsidRPr="000C4D4F" w:rsidRDefault="000C4D4F" w:rsidP="000C4D4F">
      <w:pPr>
        <w:rPr>
          <w:u w:val="single"/>
          <w:lang w:val="es-ES"/>
        </w:rPr>
      </w:pPr>
    </w:p>
    <w:p w14:paraId="177399BB" w14:textId="40D3A80A" w:rsidR="000C4D4F" w:rsidRPr="000C4D4F" w:rsidRDefault="000C4D4F" w:rsidP="002C5159">
      <w:pPr>
        <w:spacing w:after="220"/>
        <w:rPr>
          <w:lang w:val="es-ES"/>
        </w:rPr>
      </w:pPr>
      <w:r w:rsidRPr="000C4D4F">
        <w:rPr>
          <w:lang w:val="es-ES"/>
        </w:rPr>
        <w:lastRenderedPageBreak/>
        <w:fldChar w:fldCharType="begin"/>
      </w:r>
      <w:r w:rsidRPr="000C4D4F">
        <w:rPr>
          <w:lang w:val="es-ES"/>
        </w:rPr>
        <w:instrText xml:space="preserve"> AUTONUM  </w:instrText>
      </w:r>
      <w:r w:rsidRPr="000C4D4F">
        <w:rPr>
          <w:lang w:val="es-ES"/>
        </w:rPr>
        <w:fldChar w:fldCharType="end"/>
      </w:r>
      <w:r w:rsidRPr="000C4D4F">
        <w:rPr>
          <w:lang w:val="es-ES"/>
        </w:rPr>
        <w:tab/>
      </w:r>
      <w:r w:rsidR="00AC4DDE">
        <w:rPr>
          <w:lang w:val="es-ES"/>
        </w:rPr>
        <w:t xml:space="preserve">En cuanto a los otros dos elementos de la Tarea N.º 60, la división del código INID (551) y un posible código </w:t>
      </w:r>
      <w:r w:rsidR="00830F65">
        <w:rPr>
          <w:lang w:val="es-ES"/>
        </w:rPr>
        <w:t xml:space="preserve">INID </w:t>
      </w:r>
      <w:r w:rsidR="00AC4DDE">
        <w:rPr>
          <w:lang w:val="es-ES"/>
        </w:rPr>
        <w:t xml:space="preserve">para las marcas combinadas, el Equipo Técnico no propone cambios (véase el documento </w:t>
      </w:r>
      <w:r w:rsidRPr="000C4D4F">
        <w:rPr>
          <w:lang w:val="es-ES"/>
        </w:rPr>
        <w:t>CWS/7/18).</w:t>
      </w:r>
      <w:r w:rsidR="00AC4DDE">
        <w:rPr>
          <w:lang w:val="es-ES"/>
        </w:rPr>
        <w:t xml:space="preserve"> </w:t>
      </w:r>
    </w:p>
    <w:p w14:paraId="7020E0C4" w14:textId="64A2381E" w:rsidR="000C4D4F" w:rsidRPr="000C4D4F" w:rsidRDefault="000C4D4F" w:rsidP="001921CD">
      <w:pPr>
        <w:spacing w:after="220"/>
        <w:ind w:left="4966" w:firstLine="567"/>
        <w:rPr>
          <w:i/>
          <w:lang w:val="es-ES"/>
        </w:rPr>
      </w:pPr>
      <w:r w:rsidRPr="000C4D4F">
        <w:rPr>
          <w:i/>
          <w:lang w:val="es-ES"/>
        </w:rPr>
        <w:fldChar w:fldCharType="begin"/>
      </w:r>
      <w:r w:rsidRPr="000C4D4F">
        <w:rPr>
          <w:i/>
          <w:lang w:val="es-ES"/>
        </w:rPr>
        <w:instrText xml:space="preserve"> AUTONUM  </w:instrText>
      </w:r>
      <w:r w:rsidRPr="000C4D4F">
        <w:rPr>
          <w:i/>
          <w:lang w:val="es-ES"/>
        </w:rPr>
        <w:fldChar w:fldCharType="end"/>
      </w:r>
      <w:r w:rsidRPr="000C4D4F">
        <w:rPr>
          <w:i/>
          <w:lang w:val="es-ES"/>
        </w:rPr>
        <w:tab/>
      </w:r>
      <w:r w:rsidR="00843264">
        <w:rPr>
          <w:i/>
          <w:lang w:val="es-ES"/>
        </w:rPr>
        <w:t xml:space="preserve">Se invita al </w:t>
      </w:r>
      <w:r w:rsidRPr="000C4D4F">
        <w:rPr>
          <w:i/>
          <w:lang w:val="es-ES"/>
        </w:rPr>
        <w:t>CWS</w:t>
      </w:r>
      <w:r w:rsidR="00843264">
        <w:rPr>
          <w:i/>
          <w:lang w:val="es-ES"/>
        </w:rPr>
        <w:t xml:space="preserve"> a</w:t>
      </w:r>
      <w:r w:rsidRPr="000C4D4F">
        <w:rPr>
          <w:i/>
          <w:lang w:val="es-ES"/>
        </w:rPr>
        <w:t xml:space="preserve">: </w:t>
      </w:r>
    </w:p>
    <w:p w14:paraId="385BBAB0" w14:textId="4CDD4428" w:rsidR="000C4D4F" w:rsidRPr="000C4D4F" w:rsidRDefault="000C4D4F" w:rsidP="001921CD">
      <w:pPr>
        <w:tabs>
          <w:tab w:val="left" w:pos="6160"/>
          <w:tab w:val="left" w:pos="6710"/>
        </w:tabs>
        <w:spacing w:after="220"/>
        <w:ind w:left="5533"/>
        <w:rPr>
          <w:i/>
          <w:lang w:val="es-ES"/>
        </w:rPr>
      </w:pPr>
      <w:r w:rsidRPr="000C4D4F">
        <w:rPr>
          <w:i/>
          <w:lang w:val="es-ES"/>
        </w:rPr>
        <w:tab/>
        <w:t>a)</w:t>
      </w:r>
      <w:r w:rsidRPr="000C4D4F">
        <w:rPr>
          <w:i/>
          <w:lang w:val="es-ES"/>
        </w:rPr>
        <w:tab/>
      </w:r>
      <w:r w:rsidR="00843264">
        <w:rPr>
          <w:i/>
          <w:lang w:val="es-ES"/>
        </w:rPr>
        <w:t xml:space="preserve">tomar nota del contenido del presente </w:t>
      </w:r>
      <w:r w:rsidRPr="000C4D4F">
        <w:rPr>
          <w:i/>
          <w:lang w:val="es-ES"/>
        </w:rPr>
        <w:t>document</w:t>
      </w:r>
      <w:r w:rsidR="00843264">
        <w:rPr>
          <w:i/>
          <w:lang w:val="es-ES"/>
        </w:rPr>
        <w:t>o</w:t>
      </w:r>
      <w:r w:rsidRPr="000C4D4F">
        <w:rPr>
          <w:i/>
          <w:lang w:val="es-ES"/>
        </w:rPr>
        <w:t>;</w:t>
      </w:r>
      <w:r w:rsidR="00843264">
        <w:rPr>
          <w:i/>
          <w:lang w:val="es-ES"/>
        </w:rPr>
        <w:t xml:space="preserve"> y</w:t>
      </w:r>
    </w:p>
    <w:p w14:paraId="3215B29A" w14:textId="12FFBCF1" w:rsidR="000C4D4F" w:rsidRPr="000C4D4F" w:rsidRDefault="000C4D4F" w:rsidP="001921CD">
      <w:pPr>
        <w:tabs>
          <w:tab w:val="left" w:pos="6160"/>
          <w:tab w:val="left" w:pos="6710"/>
        </w:tabs>
        <w:ind w:left="5530"/>
        <w:rPr>
          <w:i/>
          <w:lang w:val="es-ES"/>
        </w:rPr>
      </w:pPr>
      <w:r w:rsidRPr="000C4D4F">
        <w:rPr>
          <w:i/>
          <w:lang w:val="es-ES"/>
        </w:rPr>
        <w:tab/>
      </w:r>
      <w:r w:rsidR="00843264">
        <w:rPr>
          <w:i/>
          <w:lang w:val="es-ES"/>
        </w:rPr>
        <w:t>b)</w:t>
      </w:r>
      <w:r w:rsidR="00843264">
        <w:rPr>
          <w:i/>
          <w:lang w:val="es-ES"/>
        </w:rPr>
        <w:tab/>
        <w:t>aprobar la propuesta de creación de nuevos códigos</w:t>
      </w:r>
      <w:r w:rsidRPr="000C4D4F">
        <w:rPr>
          <w:i/>
          <w:lang w:val="es-ES"/>
        </w:rPr>
        <w:t xml:space="preserve"> INID </w:t>
      </w:r>
      <w:r w:rsidR="00843264">
        <w:rPr>
          <w:i/>
          <w:lang w:val="es-ES"/>
        </w:rPr>
        <w:t xml:space="preserve">para las marcas denominativas y las marcas figurativas que figura en el párrafo </w:t>
      </w:r>
      <w:r w:rsidRPr="000C4D4F">
        <w:rPr>
          <w:i/>
          <w:lang w:val="es-ES"/>
        </w:rPr>
        <w:t>6.</w:t>
      </w:r>
    </w:p>
    <w:p w14:paraId="05718E6C" w14:textId="77777777" w:rsidR="000C4D4F" w:rsidRPr="000C4D4F" w:rsidRDefault="000C4D4F" w:rsidP="001921CD">
      <w:pPr>
        <w:tabs>
          <w:tab w:val="left" w:pos="6160"/>
          <w:tab w:val="left" w:pos="6710"/>
        </w:tabs>
        <w:ind w:left="5530"/>
        <w:rPr>
          <w:i/>
          <w:lang w:val="es-ES"/>
        </w:rPr>
      </w:pPr>
    </w:p>
    <w:p w14:paraId="70717BDB" w14:textId="77777777" w:rsidR="000C4D4F" w:rsidRPr="000C4D4F" w:rsidRDefault="000C4D4F" w:rsidP="001921CD">
      <w:pPr>
        <w:tabs>
          <w:tab w:val="left" w:pos="6160"/>
          <w:tab w:val="left" w:pos="6710"/>
        </w:tabs>
        <w:ind w:left="5530"/>
        <w:rPr>
          <w:i/>
          <w:lang w:val="es-ES"/>
        </w:rPr>
      </w:pPr>
    </w:p>
    <w:p w14:paraId="4CA96A5B" w14:textId="4BE9126B" w:rsidR="000C4D4F" w:rsidRPr="000C4D4F" w:rsidRDefault="000C4D4F" w:rsidP="001921CD">
      <w:pPr>
        <w:tabs>
          <w:tab w:val="left" w:pos="6160"/>
          <w:tab w:val="left" w:pos="6710"/>
        </w:tabs>
        <w:spacing w:after="220"/>
        <w:ind w:left="5533"/>
        <w:rPr>
          <w:lang w:val="es-ES"/>
        </w:rPr>
      </w:pPr>
      <w:r w:rsidRPr="000C4D4F">
        <w:rPr>
          <w:lang w:val="es-ES"/>
        </w:rPr>
        <w:t>[</w:t>
      </w:r>
      <w:r w:rsidR="00843264">
        <w:rPr>
          <w:lang w:val="es-ES"/>
        </w:rPr>
        <w:t>Fin del</w:t>
      </w:r>
      <w:r w:rsidRPr="000C4D4F">
        <w:rPr>
          <w:lang w:val="es-ES"/>
        </w:rPr>
        <w:t xml:space="preserve"> document</w:t>
      </w:r>
      <w:r w:rsidR="00843264">
        <w:rPr>
          <w:lang w:val="es-ES"/>
        </w:rPr>
        <w:t>o</w:t>
      </w:r>
      <w:r w:rsidRPr="000C4D4F">
        <w:rPr>
          <w:lang w:val="es-ES"/>
        </w:rPr>
        <w:t>]</w:t>
      </w:r>
    </w:p>
    <w:sectPr w:rsidR="000C4D4F" w:rsidRPr="000C4D4F" w:rsidSect="00CD3C82">
      <w:headerReference w:type="default" r:id="rId8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F5EB6C" w14:textId="77777777" w:rsidR="009521C2" w:rsidRDefault="009521C2">
      <w:r>
        <w:separator/>
      </w:r>
    </w:p>
  </w:endnote>
  <w:endnote w:type="continuationSeparator" w:id="0">
    <w:p w14:paraId="6C9D4607" w14:textId="77777777" w:rsidR="009521C2" w:rsidRDefault="009521C2" w:rsidP="003B38C1">
      <w:r>
        <w:separator/>
      </w:r>
    </w:p>
    <w:p w14:paraId="68946A2F" w14:textId="77777777" w:rsidR="009521C2" w:rsidRPr="003B38C1" w:rsidRDefault="009521C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2DC545BF" w14:textId="77777777" w:rsidR="009521C2" w:rsidRPr="003B38C1" w:rsidRDefault="009521C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lgun Gothic">
    <w:altName w:val="??Ўю¬в?¬рЎю¬µ??¬рЎю¬У??¬рЎю????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ngsana New">
    <w:altName w:val="Leelawadee UI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3537E3" w14:textId="77777777" w:rsidR="009521C2" w:rsidRDefault="009521C2">
      <w:r>
        <w:separator/>
      </w:r>
    </w:p>
  </w:footnote>
  <w:footnote w:type="continuationSeparator" w:id="0">
    <w:p w14:paraId="5617D24B" w14:textId="77777777" w:rsidR="009521C2" w:rsidRDefault="009521C2" w:rsidP="008B60B2">
      <w:r>
        <w:separator/>
      </w:r>
    </w:p>
    <w:p w14:paraId="6AEB7A42" w14:textId="77777777" w:rsidR="009521C2" w:rsidRPr="00ED77FB" w:rsidRDefault="009521C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29260090" w14:textId="77777777" w:rsidR="009521C2" w:rsidRPr="00ED77FB" w:rsidRDefault="009521C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0E117E" w14:textId="5CB0521B" w:rsidR="00EC4E49" w:rsidRDefault="00CD3C82" w:rsidP="00477D6B">
    <w:pPr>
      <w:jc w:val="right"/>
    </w:pPr>
    <w:bookmarkStart w:id="6" w:name="Code2"/>
    <w:bookmarkEnd w:id="6"/>
    <w:r>
      <w:t>CWS/7/</w:t>
    </w:r>
    <w:r w:rsidR="00843264">
      <w:t>19</w:t>
    </w:r>
  </w:p>
  <w:p w14:paraId="32C1C83F" w14:textId="27461763" w:rsidR="00EC4E49" w:rsidRDefault="00A6013E" w:rsidP="00477D6B">
    <w:pPr>
      <w:jc w:val="right"/>
    </w:pPr>
    <w:r>
      <w:t>página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9E0F47">
      <w:rPr>
        <w:noProof/>
      </w:rPr>
      <w:t>3</w:t>
    </w:r>
    <w:r w:rsidR="00EC4E49">
      <w:fldChar w:fldCharType="end"/>
    </w:r>
  </w:p>
  <w:p w14:paraId="4F2BD893" w14:textId="77777777" w:rsidR="00EC4E49" w:rsidRDefault="00EC4E49" w:rsidP="00477D6B">
    <w:pPr>
      <w:jc w:val="right"/>
    </w:pPr>
  </w:p>
  <w:p w14:paraId="60206860" w14:textId="77777777" w:rsidR="008A134B" w:rsidRDefault="008A134B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7B67F4"/>
    <w:multiLevelType w:val="hybridMultilevel"/>
    <w:tmpl w:val="42B6D5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5160370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096352C1"/>
    <w:multiLevelType w:val="hybridMultilevel"/>
    <w:tmpl w:val="0B4E3086"/>
    <w:lvl w:ilvl="0" w:tplc="51603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E2639E"/>
    <w:multiLevelType w:val="hybridMultilevel"/>
    <w:tmpl w:val="DB386FDA"/>
    <w:lvl w:ilvl="0" w:tplc="5160370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91D19DF"/>
    <w:multiLevelType w:val="hybridMultilevel"/>
    <w:tmpl w:val="708E68B0"/>
    <w:lvl w:ilvl="0" w:tplc="51603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16037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8" w15:restartNumberingAfterBreak="0">
    <w:nsid w:val="29491AB4"/>
    <w:multiLevelType w:val="hybridMultilevel"/>
    <w:tmpl w:val="4B7E9CC4"/>
    <w:lvl w:ilvl="0" w:tplc="04090017">
      <w:start w:val="1"/>
      <w:numFmt w:val="lowerLetter"/>
      <w:lvlText w:val="%1)"/>
      <w:lvlJc w:val="left"/>
      <w:pPr>
        <w:ind w:left="4896" w:hanging="360"/>
      </w:pPr>
      <w:rPr>
        <w:rFonts w:hint="default"/>
        <w:lang w:val="es-ES"/>
      </w:rPr>
    </w:lvl>
    <w:lvl w:ilvl="1" w:tplc="04090019" w:tentative="1">
      <w:start w:val="1"/>
      <w:numFmt w:val="lowerLetter"/>
      <w:lvlText w:val="%2."/>
      <w:lvlJc w:val="left"/>
      <w:pPr>
        <w:ind w:left="5616" w:hanging="360"/>
      </w:pPr>
    </w:lvl>
    <w:lvl w:ilvl="2" w:tplc="0409001B" w:tentative="1">
      <w:start w:val="1"/>
      <w:numFmt w:val="lowerRoman"/>
      <w:lvlText w:val="%3."/>
      <w:lvlJc w:val="right"/>
      <w:pPr>
        <w:ind w:left="6336" w:hanging="180"/>
      </w:pPr>
    </w:lvl>
    <w:lvl w:ilvl="3" w:tplc="0409000F" w:tentative="1">
      <w:start w:val="1"/>
      <w:numFmt w:val="decimal"/>
      <w:lvlText w:val="%4."/>
      <w:lvlJc w:val="left"/>
      <w:pPr>
        <w:ind w:left="7056" w:hanging="360"/>
      </w:pPr>
    </w:lvl>
    <w:lvl w:ilvl="4" w:tplc="04090019" w:tentative="1">
      <w:start w:val="1"/>
      <w:numFmt w:val="lowerLetter"/>
      <w:lvlText w:val="%5."/>
      <w:lvlJc w:val="left"/>
      <w:pPr>
        <w:ind w:left="7776" w:hanging="360"/>
      </w:pPr>
    </w:lvl>
    <w:lvl w:ilvl="5" w:tplc="0409001B" w:tentative="1">
      <w:start w:val="1"/>
      <w:numFmt w:val="lowerRoman"/>
      <w:lvlText w:val="%6."/>
      <w:lvlJc w:val="right"/>
      <w:pPr>
        <w:ind w:left="8496" w:hanging="180"/>
      </w:pPr>
    </w:lvl>
    <w:lvl w:ilvl="6" w:tplc="0409000F" w:tentative="1">
      <w:start w:val="1"/>
      <w:numFmt w:val="decimal"/>
      <w:lvlText w:val="%7."/>
      <w:lvlJc w:val="left"/>
      <w:pPr>
        <w:ind w:left="9216" w:hanging="360"/>
      </w:pPr>
    </w:lvl>
    <w:lvl w:ilvl="7" w:tplc="04090019" w:tentative="1">
      <w:start w:val="1"/>
      <w:numFmt w:val="lowerLetter"/>
      <w:lvlText w:val="%8."/>
      <w:lvlJc w:val="left"/>
      <w:pPr>
        <w:ind w:left="9936" w:hanging="360"/>
      </w:pPr>
    </w:lvl>
    <w:lvl w:ilvl="8" w:tplc="0409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9" w15:restartNumberingAfterBreak="0">
    <w:nsid w:val="3BDF273E"/>
    <w:multiLevelType w:val="hybridMultilevel"/>
    <w:tmpl w:val="79460802"/>
    <w:lvl w:ilvl="0" w:tplc="51603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16037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1AD6277"/>
    <w:multiLevelType w:val="hybridMultilevel"/>
    <w:tmpl w:val="64CED25A"/>
    <w:lvl w:ilvl="0" w:tplc="4E0A23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8C2693"/>
    <w:multiLevelType w:val="hybridMultilevel"/>
    <w:tmpl w:val="3F585D9A"/>
    <w:lvl w:ilvl="0" w:tplc="E1D8A5F4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763C2F06"/>
    <w:multiLevelType w:val="hybridMultilevel"/>
    <w:tmpl w:val="6ACC6D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0"/>
  </w:num>
  <w:num w:numId="3">
    <w:abstractNumId w:val="0"/>
  </w:num>
  <w:num w:numId="4">
    <w:abstractNumId w:val="11"/>
  </w:num>
  <w:num w:numId="5">
    <w:abstractNumId w:val="2"/>
  </w:num>
  <w:num w:numId="6">
    <w:abstractNumId w:val="7"/>
  </w:num>
  <w:num w:numId="7">
    <w:abstractNumId w:val="1"/>
  </w:num>
  <w:num w:numId="8">
    <w:abstractNumId w:val="8"/>
  </w:num>
  <w:num w:numId="9">
    <w:abstractNumId w:val="14"/>
  </w:num>
  <w:num w:numId="10">
    <w:abstractNumId w:val="12"/>
  </w:num>
  <w:num w:numId="11">
    <w:abstractNumId w:val="9"/>
  </w:num>
  <w:num w:numId="12">
    <w:abstractNumId w:val="4"/>
  </w:num>
  <w:num w:numId="13">
    <w:abstractNumId w:val="6"/>
  </w:num>
  <w:num w:numId="14">
    <w:abstractNumId w:val="3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spa"/>
    <w:docVar w:name="TermBases" w:val="WIPOLDTERM"/>
    <w:docVar w:name="TermBaseURL" w:val="empty"/>
    <w:docVar w:name="TextBases" w:val="Team Server TMs\Spanish|TextBase TMs\WorkspaceSTS\Patents &amp; Innovation\P Instruments|TextBase TMs\WorkspaceSTS\Patents &amp; Innovation\Patents Main|TextBase TMs\WorkspaceSTS\Patents &amp; Innovation\P Instruments|TextBase TMs\WorkspaceSTS\Patents &amp; Innovation\Patents Main"/>
    <w:docVar w:name="TextBaseURL" w:val="empty"/>
    <w:docVar w:name="UILng" w:val="en"/>
  </w:docVars>
  <w:rsids>
    <w:rsidRoot w:val="00CD3C82"/>
    <w:rsid w:val="000143A1"/>
    <w:rsid w:val="0002467B"/>
    <w:rsid w:val="00043CAA"/>
    <w:rsid w:val="00057FE8"/>
    <w:rsid w:val="00067BDC"/>
    <w:rsid w:val="00075432"/>
    <w:rsid w:val="000838B2"/>
    <w:rsid w:val="00084C62"/>
    <w:rsid w:val="000968ED"/>
    <w:rsid w:val="000C2F0A"/>
    <w:rsid w:val="000C4D4F"/>
    <w:rsid w:val="000C7377"/>
    <w:rsid w:val="000F5E56"/>
    <w:rsid w:val="00100973"/>
    <w:rsid w:val="00120E32"/>
    <w:rsid w:val="001362EE"/>
    <w:rsid w:val="001647D5"/>
    <w:rsid w:val="00166AFB"/>
    <w:rsid w:val="001832A6"/>
    <w:rsid w:val="00185C81"/>
    <w:rsid w:val="001921CD"/>
    <w:rsid w:val="001B1003"/>
    <w:rsid w:val="001C563D"/>
    <w:rsid w:val="001E5958"/>
    <w:rsid w:val="001F7D4F"/>
    <w:rsid w:val="00205732"/>
    <w:rsid w:val="002071BA"/>
    <w:rsid w:val="0021217E"/>
    <w:rsid w:val="00235941"/>
    <w:rsid w:val="0025436E"/>
    <w:rsid w:val="00262D1C"/>
    <w:rsid w:val="002634C4"/>
    <w:rsid w:val="002928D3"/>
    <w:rsid w:val="002A10AA"/>
    <w:rsid w:val="002C5159"/>
    <w:rsid w:val="002F1FE6"/>
    <w:rsid w:val="002F4E68"/>
    <w:rsid w:val="00312F7F"/>
    <w:rsid w:val="003329C0"/>
    <w:rsid w:val="00361450"/>
    <w:rsid w:val="00364BA9"/>
    <w:rsid w:val="003673CF"/>
    <w:rsid w:val="00372700"/>
    <w:rsid w:val="003845C1"/>
    <w:rsid w:val="003A6F89"/>
    <w:rsid w:val="003B38C1"/>
    <w:rsid w:val="003D5D5D"/>
    <w:rsid w:val="00410659"/>
    <w:rsid w:val="00414683"/>
    <w:rsid w:val="00423E3E"/>
    <w:rsid w:val="00427AF4"/>
    <w:rsid w:val="00434279"/>
    <w:rsid w:val="004433DF"/>
    <w:rsid w:val="004647DA"/>
    <w:rsid w:val="00473722"/>
    <w:rsid w:val="00474062"/>
    <w:rsid w:val="00477D6B"/>
    <w:rsid w:val="00481309"/>
    <w:rsid w:val="004A7508"/>
    <w:rsid w:val="004A7875"/>
    <w:rsid w:val="004B757E"/>
    <w:rsid w:val="004B787D"/>
    <w:rsid w:val="004C539C"/>
    <w:rsid w:val="004C61EF"/>
    <w:rsid w:val="004D48A9"/>
    <w:rsid w:val="005019FF"/>
    <w:rsid w:val="00506B4A"/>
    <w:rsid w:val="00520649"/>
    <w:rsid w:val="00523D79"/>
    <w:rsid w:val="00524BA9"/>
    <w:rsid w:val="0053057A"/>
    <w:rsid w:val="00560A29"/>
    <w:rsid w:val="005B0B11"/>
    <w:rsid w:val="005C6649"/>
    <w:rsid w:val="00605827"/>
    <w:rsid w:val="00623771"/>
    <w:rsid w:val="00636B86"/>
    <w:rsid w:val="00646050"/>
    <w:rsid w:val="00650A84"/>
    <w:rsid w:val="006713CA"/>
    <w:rsid w:val="00673832"/>
    <w:rsid w:val="00676C5C"/>
    <w:rsid w:val="006A1221"/>
    <w:rsid w:val="006B388B"/>
    <w:rsid w:val="006C1C19"/>
    <w:rsid w:val="0070090A"/>
    <w:rsid w:val="0070090C"/>
    <w:rsid w:val="00730887"/>
    <w:rsid w:val="00732F39"/>
    <w:rsid w:val="007456AC"/>
    <w:rsid w:val="00752A79"/>
    <w:rsid w:val="00763191"/>
    <w:rsid w:val="00770489"/>
    <w:rsid w:val="00790637"/>
    <w:rsid w:val="007965D9"/>
    <w:rsid w:val="007D1613"/>
    <w:rsid w:val="007E0392"/>
    <w:rsid w:val="007E4C0E"/>
    <w:rsid w:val="00800B53"/>
    <w:rsid w:val="00830F65"/>
    <w:rsid w:val="0083309F"/>
    <w:rsid w:val="00843264"/>
    <w:rsid w:val="008504D0"/>
    <w:rsid w:val="0085064D"/>
    <w:rsid w:val="00851006"/>
    <w:rsid w:val="00856C16"/>
    <w:rsid w:val="0086206E"/>
    <w:rsid w:val="008A134B"/>
    <w:rsid w:val="008B2CC1"/>
    <w:rsid w:val="008B3E95"/>
    <w:rsid w:val="008B60B2"/>
    <w:rsid w:val="0090731E"/>
    <w:rsid w:val="00916EE2"/>
    <w:rsid w:val="009521C2"/>
    <w:rsid w:val="00966A22"/>
    <w:rsid w:val="0096722F"/>
    <w:rsid w:val="00971C6B"/>
    <w:rsid w:val="00973630"/>
    <w:rsid w:val="00975F33"/>
    <w:rsid w:val="00980775"/>
    <w:rsid w:val="00980843"/>
    <w:rsid w:val="009808A4"/>
    <w:rsid w:val="009B68AA"/>
    <w:rsid w:val="009C7DB0"/>
    <w:rsid w:val="009E0F47"/>
    <w:rsid w:val="009E1ADD"/>
    <w:rsid w:val="009E2791"/>
    <w:rsid w:val="009E3F6F"/>
    <w:rsid w:val="009F499F"/>
    <w:rsid w:val="00A02E40"/>
    <w:rsid w:val="00A12479"/>
    <w:rsid w:val="00A202C3"/>
    <w:rsid w:val="00A37342"/>
    <w:rsid w:val="00A42DAF"/>
    <w:rsid w:val="00A45BD8"/>
    <w:rsid w:val="00A47E90"/>
    <w:rsid w:val="00A6013E"/>
    <w:rsid w:val="00A67C43"/>
    <w:rsid w:val="00A869B7"/>
    <w:rsid w:val="00A96A69"/>
    <w:rsid w:val="00AB13C1"/>
    <w:rsid w:val="00AB5C80"/>
    <w:rsid w:val="00AC205C"/>
    <w:rsid w:val="00AC4DDE"/>
    <w:rsid w:val="00AD15BB"/>
    <w:rsid w:val="00AF0A6B"/>
    <w:rsid w:val="00B05A69"/>
    <w:rsid w:val="00B10A02"/>
    <w:rsid w:val="00B2549D"/>
    <w:rsid w:val="00B3218F"/>
    <w:rsid w:val="00B722EA"/>
    <w:rsid w:val="00B9734B"/>
    <w:rsid w:val="00BA02B9"/>
    <w:rsid w:val="00BA30E2"/>
    <w:rsid w:val="00BA3F41"/>
    <w:rsid w:val="00C0065B"/>
    <w:rsid w:val="00C0742A"/>
    <w:rsid w:val="00C11BFE"/>
    <w:rsid w:val="00C14DF5"/>
    <w:rsid w:val="00C23FD6"/>
    <w:rsid w:val="00C5068F"/>
    <w:rsid w:val="00C62737"/>
    <w:rsid w:val="00C6773D"/>
    <w:rsid w:val="00C86D74"/>
    <w:rsid w:val="00CD04F1"/>
    <w:rsid w:val="00CD2054"/>
    <w:rsid w:val="00CD3C82"/>
    <w:rsid w:val="00CD59F2"/>
    <w:rsid w:val="00CF04B0"/>
    <w:rsid w:val="00CF4797"/>
    <w:rsid w:val="00D21342"/>
    <w:rsid w:val="00D3124F"/>
    <w:rsid w:val="00D42B92"/>
    <w:rsid w:val="00D45252"/>
    <w:rsid w:val="00D71B4D"/>
    <w:rsid w:val="00D842C9"/>
    <w:rsid w:val="00D86931"/>
    <w:rsid w:val="00D93D55"/>
    <w:rsid w:val="00DB4771"/>
    <w:rsid w:val="00DB5A4D"/>
    <w:rsid w:val="00DD16A7"/>
    <w:rsid w:val="00DF4510"/>
    <w:rsid w:val="00DF7938"/>
    <w:rsid w:val="00E15015"/>
    <w:rsid w:val="00E17E62"/>
    <w:rsid w:val="00E335FE"/>
    <w:rsid w:val="00E3465E"/>
    <w:rsid w:val="00E37E88"/>
    <w:rsid w:val="00E5185E"/>
    <w:rsid w:val="00E55A30"/>
    <w:rsid w:val="00E705CA"/>
    <w:rsid w:val="00E97935"/>
    <w:rsid w:val="00EA7D6E"/>
    <w:rsid w:val="00EC4E49"/>
    <w:rsid w:val="00ED3A71"/>
    <w:rsid w:val="00ED77FB"/>
    <w:rsid w:val="00EE45FA"/>
    <w:rsid w:val="00EE6709"/>
    <w:rsid w:val="00EF2627"/>
    <w:rsid w:val="00F42614"/>
    <w:rsid w:val="00F66152"/>
    <w:rsid w:val="00FE4E89"/>
    <w:rsid w:val="00FF12AB"/>
    <w:rsid w:val="00FF3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4:docId w14:val="704F0D00"/>
  <w15:docId w15:val="{E2BBA535-83E6-4EAE-89CD-6D227889C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semiHidden/>
    <w:unhideWhenUsed/>
    <w:rsid w:val="00084C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84C62"/>
    <w:rPr>
      <w:rFonts w:ascii="Segoe UI" w:eastAsia="SimSun" w:hAnsi="Segoe UI" w:cs="Segoe UI"/>
      <w:sz w:val="18"/>
      <w:szCs w:val="18"/>
      <w:lang w:val="en-US" w:eastAsia="zh-CN"/>
    </w:rPr>
  </w:style>
  <w:style w:type="paragraph" w:styleId="ListParagraph">
    <w:name w:val="List Paragraph"/>
    <w:basedOn w:val="Normal"/>
    <w:qFormat/>
    <w:rsid w:val="00DF7938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C6773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6773D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6773D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C6773D"/>
    <w:rPr>
      <w:rFonts w:ascii="Arial" w:eastAsia="SimSun" w:hAnsi="Arial" w:cs="Arial"/>
      <w:b/>
      <w:bCs/>
      <w:sz w:val="18"/>
      <w:lang w:val="en-US" w:eastAsia="zh-CN"/>
    </w:rPr>
  </w:style>
  <w:style w:type="character" w:customStyle="1" w:styleId="ONUMEChar">
    <w:name w:val="ONUM E Char"/>
    <w:basedOn w:val="DefaultParagraphFont"/>
    <w:link w:val="ONUME"/>
    <w:rsid w:val="00E17E62"/>
    <w:rPr>
      <w:rFonts w:ascii="Arial" w:eastAsia="SimSun" w:hAnsi="Arial" w:cs="Arial"/>
      <w:sz w:val="22"/>
      <w:lang w:val="en-US" w:eastAsia="zh-CN"/>
    </w:rPr>
  </w:style>
  <w:style w:type="character" w:customStyle="1" w:styleId="BodyTextChar">
    <w:name w:val="Body Text Char"/>
    <w:basedOn w:val="DefaultParagraphFont"/>
    <w:link w:val="BodyText"/>
    <w:rsid w:val="00E17E62"/>
    <w:rPr>
      <w:rFonts w:ascii="Arial" w:eastAsia="SimSun" w:hAnsi="Arial" w:cs="Arial"/>
      <w:sz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%207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CWS 7 (E).dotm</Template>
  <TotalTime>0</TotalTime>
  <Pages>3</Pages>
  <Words>749</Words>
  <Characters>3762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CWS/7/19 (in Spanish)</vt:lpstr>
    </vt:vector>
  </TitlesOfParts>
  <Company>WIPO</Company>
  <LinksUpToDate>false</LinksUpToDate>
  <CharactersWithSpaces>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CWS/7/19 (in Spanish)</dc:title>
  <dc:subject>REVISIÓN DE LA NORMA ST.60 DE LA OMPI</dc:subject>
  <dc:creator>WIPO</dc:creator>
  <cp:keywords>CWS, WIPO</cp:keywords>
  <cp:lastModifiedBy>DRAKE Sophie</cp:lastModifiedBy>
  <cp:revision>19</cp:revision>
  <cp:lastPrinted>2019-05-22T10:18:00Z</cp:lastPrinted>
  <dcterms:created xsi:type="dcterms:W3CDTF">2019-05-22T13:28:00Z</dcterms:created>
  <dcterms:modified xsi:type="dcterms:W3CDTF">2019-06-11T12:13:00Z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393a2225-5d6b-4e4e-b796-1a4ecd225729</vt:lpwstr>
  </property>
  <property fmtid="{D5CDD505-2E9C-101B-9397-08002B2CF9AE}" pid="3" name="Classification">
    <vt:lpwstr>FOUO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