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C91777" w14:paraId="588760F3" w14:textId="77777777" w:rsidTr="00361450">
        <w:tc>
          <w:tcPr>
            <w:tcW w:w="4513" w:type="dxa"/>
            <w:tcBorders>
              <w:bottom w:val="single" w:sz="4" w:space="0" w:color="auto"/>
            </w:tcBorders>
            <w:tcMar>
              <w:bottom w:w="170" w:type="dxa"/>
            </w:tcMar>
          </w:tcPr>
          <w:p w14:paraId="2572F944" w14:textId="77777777" w:rsidR="00EC4E49" w:rsidRPr="00C91777" w:rsidRDefault="00EC4E49" w:rsidP="00916EE2">
            <w:pPr>
              <w:rPr>
                <w:lang w:val="es-ES"/>
              </w:rPr>
            </w:pPr>
          </w:p>
        </w:tc>
        <w:tc>
          <w:tcPr>
            <w:tcW w:w="4337" w:type="dxa"/>
            <w:tcBorders>
              <w:bottom w:val="single" w:sz="4" w:space="0" w:color="auto"/>
            </w:tcBorders>
            <w:tcMar>
              <w:left w:w="0" w:type="dxa"/>
              <w:right w:w="0" w:type="dxa"/>
            </w:tcMar>
          </w:tcPr>
          <w:p w14:paraId="46D16009" w14:textId="30977F48" w:rsidR="00EC4E49" w:rsidRPr="00C91777" w:rsidRDefault="004B46B0" w:rsidP="00916EE2">
            <w:pPr>
              <w:rPr>
                <w:lang w:val="es-ES"/>
              </w:rPr>
            </w:pPr>
            <w:r w:rsidRPr="00C91777">
              <w:rPr>
                <w:noProof/>
                <w:lang w:val="de-DE" w:eastAsia="de-DE"/>
              </w:rPr>
              <w:drawing>
                <wp:inline distT="0" distB="0" distL="0" distR="0" wp14:anchorId="3EFAB098" wp14:editId="32557CF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95E0F8C" w14:textId="47403167" w:rsidR="00EC4E49" w:rsidRPr="00C91777" w:rsidRDefault="004B46B0" w:rsidP="00916EE2">
            <w:pPr>
              <w:jc w:val="right"/>
              <w:rPr>
                <w:lang w:val="es-ES"/>
              </w:rPr>
            </w:pPr>
            <w:r w:rsidRPr="00C91777">
              <w:rPr>
                <w:b/>
                <w:bCs/>
                <w:sz w:val="40"/>
                <w:szCs w:val="40"/>
                <w:lang w:val="es-ES"/>
              </w:rPr>
              <w:t>S</w:t>
            </w:r>
          </w:p>
        </w:tc>
      </w:tr>
      <w:tr w:rsidR="008B2CC1" w:rsidRPr="00C91777" w14:paraId="60396492"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C9F241D" w14:textId="6F003FC1" w:rsidR="008B2CC1" w:rsidRPr="00C91777" w:rsidRDefault="00C0065B" w:rsidP="00916EE2">
            <w:pPr>
              <w:jc w:val="right"/>
              <w:rPr>
                <w:rFonts w:ascii="Arial Black" w:hAnsi="Arial Black"/>
                <w:caps/>
                <w:sz w:val="15"/>
                <w:lang w:val="es-ES"/>
              </w:rPr>
            </w:pPr>
            <w:r w:rsidRPr="00C91777">
              <w:rPr>
                <w:rFonts w:ascii="Arial Black" w:hAnsi="Arial Black"/>
                <w:caps/>
                <w:sz w:val="15"/>
                <w:lang w:val="es-ES"/>
              </w:rPr>
              <w:t>CWS/7</w:t>
            </w:r>
            <w:r w:rsidR="00CD59F2" w:rsidRPr="00C91777">
              <w:rPr>
                <w:rFonts w:ascii="Arial Black" w:hAnsi="Arial Black"/>
                <w:caps/>
                <w:sz w:val="15"/>
                <w:lang w:val="es-ES"/>
              </w:rPr>
              <w:t>/</w:t>
            </w:r>
            <w:bookmarkStart w:id="0" w:name="Code"/>
            <w:bookmarkEnd w:id="0"/>
            <w:r w:rsidR="003D38D1" w:rsidRPr="00C91777">
              <w:rPr>
                <w:rFonts w:ascii="Arial Black" w:hAnsi="Arial Black"/>
                <w:caps/>
                <w:sz w:val="15"/>
                <w:lang w:val="es-ES"/>
              </w:rPr>
              <w:t>18</w:t>
            </w:r>
            <w:r w:rsidR="00886B30">
              <w:rPr>
                <w:rFonts w:ascii="Arial Black" w:hAnsi="Arial Black"/>
                <w:caps/>
                <w:sz w:val="15"/>
                <w:lang w:val="es-ES"/>
              </w:rPr>
              <w:t xml:space="preserve"> Corr.</w:t>
            </w:r>
          </w:p>
        </w:tc>
      </w:tr>
      <w:tr w:rsidR="008B2CC1" w:rsidRPr="00C91777" w14:paraId="263A6030" w14:textId="77777777" w:rsidTr="00916EE2">
        <w:trPr>
          <w:trHeight w:hRule="exact" w:val="170"/>
        </w:trPr>
        <w:tc>
          <w:tcPr>
            <w:tcW w:w="9356" w:type="dxa"/>
            <w:gridSpan w:val="3"/>
            <w:noWrap/>
            <w:tcMar>
              <w:left w:w="0" w:type="dxa"/>
              <w:right w:w="0" w:type="dxa"/>
            </w:tcMar>
            <w:vAlign w:val="bottom"/>
          </w:tcPr>
          <w:p w14:paraId="14D40E6E" w14:textId="3325C2B5" w:rsidR="008B2CC1" w:rsidRPr="00C91777" w:rsidRDefault="008B2CC1" w:rsidP="00DA6D94">
            <w:pPr>
              <w:jc w:val="right"/>
              <w:rPr>
                <w:rFonts w:ascii="Arial Black" w:hAnsi="Arial Black"/>
                <w:caps/>
                <w:sz w:val="15"/>
                <w:lang w:val="es-ES"/>
              </w:rPr>
            </w:pPr>
            <w:r w:rsidRPr="00C91777">
              <w:rPr>
                <w:rFonts w:ascii="Arial Black" w:hAnsi="Arial Black"/>
                <w:caps/>
                <w:sz w:val="15"/>
                <w:lang w:val="es-ES"/>
              </w:rPr>
              <w:t>ORIGINAL:</w:t>
            </w:r>
            <w:r w:rsidR="001647D5" w:rsidRPr="00C91777">
              <w:rPr>
                <w:rFonts w:ascii="Arial Black" w:hAnsi="Arial Black"/>
                <w:caps/>
                <w:sz w:val="15"/>
                <w:lang w:val="es-ES"/>
              </w:rPr>
              <w:t xml:space="preserve"> </w:t>
            </w:r>
            <w:bookmarkStart w:id="1" w:name="Original"/>
            <w:bookmarkEnd w:id="1"/>
            <w:r w:rsidR="00DA6D94" w:rsidRPr="00C91777">
              <w:rPr>
                <w:rFonts w:ascii="Arial Black" w:hAnsi="Arial Black"/>
                <w:caps/>
                <w:sz w:val="15"/>
                <w:lang w:val="es-ES"/>
              </w:rPr>
              <w:t>INGLÉS</w:t>
            </w:r>
            <w:r w:rsidRPr="00C91777">
              <w:rPr>
                <w:rFonts w:ascii="Arial Black" w:hAnsi="Arial Black"/>
                <w:caps/>
                <w:sz w:val="15"/>
                <w:lang w:val="es-ES"/>
              </w:rPr>
              <w:t xml:space="preserve"> </w:t>
            </w:r>
          </w:p>
        </w:tc>
      </w:tr>
      <w:tr w:rsidR="008B2CC1" w:rsidRPr="00C91777" w14:paraId="259A6CC8" w14:textId="77777777" w:rsidTr="00916EE2">
        <w:trPr>
          <w:trHeight w:hRule="exact" w:val="198"/>
        </w:trPr>
        <w:tc>
          <w:tcPr>
            <w:tcW w:w="9356" w:type="dxa"/>
            <w:gridSpan w:val="3"/>
            <w:tcMar>
              <w:left w:w="0" w:type="dxa"/>
              <w:right w:w="0" w:type="dxa"/>
            </w:tcMar>
            <w:vAlign w:val="bottom"/>
          </w:tcPr>
          <w:p w14:paraId="2888DD31" w14:textId="5C8BD031" w:rsidR="008B2CC1" w:rsidRPr="00C91777" w:rsidRDefault="00DA6D94" w:rsidP="00886B30">
            <w:pPr>
              <w:jc w:val="right"/>
              <w:rPr>
                <w:rFonts w:ascii="Arial Black" w:hAnsi="Arial Black"/>
                <w:caps/>
                <w:sz w:val="15"/>
                <w:lang w:val="es-ES"/>
              </w:rPr>
            </w:pPr>
            <w:r w:rsidRPr="00C91777">
              <w:rPr>
                <w:rFonts w:ascii="Arial Black" w:hAnsi="Arial Black"/>
                <w:caps/>
                <w:sz w:val="15"/>
                <w:lang w:val="es-ES"/>
              </w:rPr>
              <w:t>FECHA</w:t>
            </w:r>
            <w:r w:rsidR="008B2CC1" w:rsidRPr="00C91777">
              <w:rPr>
                <w:rFonts w:ascii="Arial Black" w:hAnsi="Arial Black"/>
                <w:caps/>
                <w:sz w:val="15"/>
                <w:lang w:val="es-ES"/>
              </w:rPr>
              <w:t>:</w:t>
            </w:r>
            <w:r w:rsidR="001647D5" w:rsidRPr="00C91777">
              <w:rPr>
                <w:rFonts w:ascii="Arial Black" w:hAnsi="Arial Black"/>
                <w:caps/>
                <w:sz w:val="15"/>
                <w:lang w:val="es-ES"/>
              </w:rPr>
              <w:t xml:space="preserve"> </w:t>
            </w:r>
            <w:r w:rsidR="00886B30">
              <w:rPr>
                <w:rFonts w:ascii="Arial Black" w:hAnsi="Arial Black"/>
                <w:caps/>
                <w:sz w:val="15"/>
                <w:lang w:val="es-ES"/>
              </w:rPr>
              <w:t>4</w:t>
            </w:r>
            <w:r w:rsidRPr="00C91777">
              <w:rPr>
                <w:rFonts w:ascii="Arial Black" w:hAnsi="Arial Black"/>
                <w:caps/>
                <w:sz w:val="15"/>
                <w:lang w:val="es-ES"/>
              </w:rPr>
              <w:t xml:space="preserve"> DE </w:t>
            </w:r>
            <w:r w:rsidR="00886B30">
              <w:rPr>
                <w:rFonts w:ascii="Arial Black" w:hAnsi="Arial Black"/>
                <w:caps/>
                <w:sz w:val="15"/>
                <w:lang w:val="es-ES"/>
              </w:rPr>
              <w:t>juni</w:t>
            </w:r>
            <w:r w:rsidRPr="00C91777">
              <w:rPr>
                <w:rFonts w:ascii="Arial Black" w:hAnsi="Arial Black"/>
                <w:caps/>
                <w:sz w:val="15"/>
                <w:lang w:val="es-ES"/>
              </w:rPr>
              <w:t>O DE</w:t>
            </w:r>
            <w:bookmarkStart w:id="2" w:name="Date"/>
            <w:bookmarkEnd w:id="2"/>
            <w:r w:rsidR="003D38D1" w:rsidRPr="00C91777">
              <w:rPr>
                <w:rFonts w:ascii="Arial Black" w:hAnsi="Arial Black"/>
                <w:caps/>
                <w:sz w:val="15"/>
                <w:lang w:val="es-ES"/>
              </w:rPr>
              <w:t xml:space="preserve"> 2019</w:t>
            </w:r>
            <w:r w:rsidR="008B2CC1" w:rsidRPr="00C91777">
              <w:rPr>
                <w:rFonts w:ascii="Arial Black" w:hAnsi="Arial Black"/>
                <w:caps/>
                <w:sz w:val="15"/>
                <w:lang w:val="es-ES"/>
              </w:rPr>
              <w:t xml:space="preserve"> </w:t>
            </w:r>
          </w:p>
        </w:tc>
      </w:tr>
    </w:tbl>
    <w:p w14:paraId="494B94A2" w14:textId="77777777" w:rsidR="00DA6D94" w:rsidRPr="00C91777" w:rsidRDefault="00DA6D94" w:rsidP="008B2CC1">
      <w:pPr>
        <w:rPr>
          <w:lang w:val="es-ES"/>
        </w:rPr>
      </w:pPr>
    </w:p>
    <w:p w14:paraId="7391F459" w14:textId="77777777" w:rsidR="00DA6D94" w:rsidRPr="00C91777" w:rsidRDefault="00DA6D94" w:rsidP="008B2CC1">
      <w:pPr>
        <w:rPr>
          <w:lang w:val="es-ES"/>
        </w:rPr>
      </w:pPr>
    </w:p>
    <w:p w14:paraId="4157F0F2" w14:textId="77777777" w:rsidR="00DA6D94" w:rsidRPr="00C91777" w:rsidRDefault="00DA6D94" w:rsidP="008B2CC1">
      <w:pPr>
        <w:rPr>
          <w:lang w:val="es-ES"/>
        </w:rPr>
      </w:pPr>
    </w:p>
    <w:p w14:paraId="65C33C11" w14:textId="77777777" w:rsidR="00DA6D94" w:rsidRPr="00C91777" w:rsidRDefault="00DA6D94" w:rsidP="008B2CC1">
      <w:pPr>
        <w:rPr>
          <w:lang w:val="es-ES"/>
        </w:rPr>
      </w:pPr>
    </w:p>
    <w:p w14:paraId="0DE4554F" w14:textId="77777777" w:rsidR="00DA6D94" w:rsidRPr="00C91777" w:rsidRDefault="00DA6D94" w:rsidP="008B2CC1">
      <w:pPr>
        <w:rPr>
          <w:lang w:val="es-ES"/>
        </w:rPr>
      </w:pPr>
    </w:p>
    <w:p w14:paraId="7F759883" w14:textId="77777777" w:rsidR="00DA6D94" w:rsidRPr="00C91777" w:rsidRDefault="00BD4B9D" w:rsidP="008B2CC1">
      <w:pPr>
        <w:rPr>
          <w:b/>
          <w:sz w:val="28"/>
          <w:szCs w:val="28"/>
          <w:lang w:val="es-ES"/>
        </w:rPr>
      </w:pPr>
      <w:r w:rsidRPr="00C91777">
        <w:rPr>
          <w:b/>
          <w:sz w:val="28"/>
          <w:szCs w:val="28"/>
          <w:lang w:val="es-ES"/>
        </w:rPr>
        <w:t>Comité de Normas Técnicas de la OMPI (CWS)</w:t>
      </w:r>
    </w:p>
    <w:p w14:paraId="5D68E52E" w14:textId="77777777" w:rsidR="00DA6D94" w:rsidRPr="00C91777" w:rsidRDefault="00DA6D94" w:rsidP="003845C1">
      <w:pPr>
        <w:rPr>
          <w:lang w:val="es-ES"/>
        </w:rPr>
      </w:pPr>
    </w:p>
    <w:p w14:paraId="1C2CFED6" w14:textId="77777777" w:rsidR="00DA6D94" w:rsidRPr="00C91777" w:rsidRDefault="00DA6D94" w:rsidP="003845C1">
      <w:pPr>
        <w:rPr>
          <w:lang w:val="es-ES"/>
        </w:rPr>
      </w:pPr>
    </w:p>
    <w:p w14:paraId="7D471D46" w14:textId="77777777" w:rsidR="00DA6D94" w:rsidRPr="00C91777" w:rsidRDefault="00BD4B9D" w:rsidP="00CD59F2">
      <w:pPr>
        <w:rPr>
          <w:b/>
          <w:sz w:val="24"/>
          <w:szCs w:val="24"/>
          <w:lang w:val="es-ES"/>
        </w:rPr>
      </w:pPr>
      <w:r w:rsidRPr="00C91777">
        <w:rPr>
          <w:b/>
          <w:sz w:val="24"/>
          <w:szCs w:val="24"/>
          <w:lang w:val="es-ES"/>
        </w:rPr>
        <w:t>Séptima sesión</w:t>
      </w:r>
    </w:p>
    <w:p w14:paraId="6DB13B15" w14:textId="77777777" w:rsidR="00DA6D94" w:rsidRPr="00C91777" w:rsidRDefault="00BD4B9D" w:rsidP="00CD59F2">
      <w:pPr>
        <w:rPr>
          <w:b/>
          <w:sz w:val="24"/>
          <w:szCs w:val="24"/>
          <w:lang w:val="es-ES"/>
        </w:rPr>
      </w:pPr>
      <w:r w:rsidRPr="00C91777">
        <w:rPr>
          <w:b/>
          <w:sz w:val="24"/>
          <w:szCs w:val="24"/>
          <w:lang w:val="es-ES"/>
        </w:rPr>
        <w:t>Ginebra, 1 a 5 de julio de</w:t>
      </w:r>
      <w:r w:rsidR="00C0065B" w:rsidRPr="00C91777">
        <w:rPr>
          <w:b/>
          <w:sz w:val="24"/>
          <w:szCs w:val="24"/>
          <w:lang w:val="es-ES"/>
        </w:rPr>
        <w:t xml:space="preserve"> 2019</w:t>
      </w:r>
    </w:p>
    <w:p w14:paraId="43349774" w14:textId="77777777" w:rsidR="00DA6D94" w:rsidRPr="00C91777" w:rsidRDefault="00DA6D94" w:rsidP="008B2CC1">
      <w:pPr>
        <w:rPr>
          <w:lang w:val="es-ES"/>
        </w:rPr>
      </w:pPr>
    </w:p>
    <w:p w14:paraId="53A31CAC" w14:textId="77777777" w:rsidR="00DA6D94" w:rsidRPr="00C91777" w:rsidRDefault="00DA6D94" w:rsidP="008B2CC1">
      <w:pPr>
        <w:rPr>
          <w:lang w:val="es-ES"/>
        </w:rPr>
      </w:pPr>
    </w:p>
    <w:p w14:paraId="338FE307" w14:textId="77777777" w:rsidR="00DA6D94" w:rsidRPr="00C91777" w:rsidRDefault="00DA6D94" w:rsidP="008B2CC1">
      <w:pPr>
        <w:rPr>
          <w:lang w:val="es-ES"/>
        </w:rPr>
      </w:pPr>
    </w:p>
    <w:p w14:paraId="11D995EA" w14:textId="77777777" w:rsidR="00DA6D94" w:rsidRPr="00203E9C" w:rsidRDefault="00BD4B9D" w:rsidP="00BD4B9D">
      <w:pPr>
        <w:rPr>
          <w:caps/>
          <w:sz w:val="24"/>
          <w:lang w:val="es-ES"/>
        </w:rPr>
      </w:pPr>
      <w:bookmarkStart w:id="3" w:name="TitleOfDoc"/>
      <w:bookmarkStart w:id="4" w:name="_GoBack"/>
      <w:bookmarkEnd w:id="3"/>
      <w:r w:rsidRPr="00203E9C">
        <w:rPr>
          <w:caps/>
          <w:sz w:val="24"/>
          <w:lang w:val="es-ES"/>
        </w:rPr>
        <w:t>INFORME SOBRE LA TAREA N.º 60</w:t>
      </w:r>
      <w:r w:rsidR="003D38D1" w:rsidRPr="00203E9C">
        <w:rPr>
          <w:caps/>
          <w:sz w:val="24"/>
          <w:lang w:val="es-ES"/>
        </w:rPr>
        <w:t xml:space="preserve"> </w:t>
      </w:r>
    </w:p>
    <w:bookmarkEnd w:id="4"/>
    <w:p w14:paraId="6358FEA8" w14:textId="77777777" w:rsidR="00DA6D94" w:rsidRPr="00203E9C" w:rsidRDefault="00DA6D94" w:rsidP="008B2CC1">
      <w:pPr>
        <w:rPr>
          <w:lang w:val="es-ES"/>
        </w:rPr>
      </w:pPr>
    </w:p>
    <w:p w14:paraId="57FC427F" w14:textId="77777777" w:rsidR="00DA6D94" w:rsidRPr="00203E9C" w:rsidRDefault="00BD4B9D" w:rsidP="00BD4B9D">
      <w:pPr>
        <w:rPr>
          <w:i/>
          <w:lang w:val="es-ES"/>
        </w:rPr>
      </w:pPr>
      <w:bookmarkStart w:id="5" w:name="Prepared"/>
      <w:bookmarkEnd w:id="5"/>
      <w:r w:rsidRPr="00203E9C">
        <w:rPr>
          <w:i/>
          <w:lang w:val="es-ES"/>
        </w:rPr>
        <w:t>preparado por la Oficina Internacional</w:t>
      </w:r>
    </w:p>
    <w:p w14:paraId="038FDB28" w14:textId="77777777" w:rsidR="00DA6D94" w:rsidRPr="00203E9C" w:rsidRDefault="00DA6D94">
      <w:pPr>
        <w:rPr>
          <w:lang w:val="es-ES"/>
        </w:rPr>
      </w:pPr>
    </w:p>
    <w:p w14:paraId="40D738EA" w14:textId="77777777" w:rsidR="00DA6D94" w:rsidRPr="00203E9C" w:rsidRDefault="00DA6D94">
      <w:pPr>
        <w:rPr>
          <w:lang w:val="es-ES"/>
        </w:rPr>
      </w:pPr>
    </w:p>
    <w:p w14:paraId="1BAF495E" w14:textId="77777777" w:rsidR="00DA6D94" w:rsidRPr="00203E9C" w:rsidRDefault="00DA6D94" w:rsidP="0053057A">
      <w:pPr>
        <w:rPr>
          <w:u w:val="single"/>
          <w:lang w:val="es-ES"/>
        </w:rPr>
      </w:pPr>
    </w:p>
    <w:p w14:paraId="2E9E6541" w14:textId="77777777" w:rsidR="00DA6D94" w:rsidRPr="00203E9C" w:rsidRDefault="00DA6D94" w:rsidP="0053057A">
      <w:pPr>
        <w:rPr>
          <w:lang w:val="es-ES"/>
        </w:rPr>
      </w:pPr>
    </w:p>
    <w:p w14:paraId="0D9F3ABE" w14:textId="77777777" w:rsidR="00DA6D94" w:rsidRPr="00203E9C" w:rsidRDefault="00DA6D94">
      <w:pPr>
        <w:rPr>
          <w:lang w:val="es-ES"/>
        </w:rPr>
      </w:pPr>
    </w:p>
    <w:p w14:paraId="1E9861F7" w14:textId="77777777" w:rsidR="00DA6D94" w:rsidRPr="00203E9C" w:rsidRDefault="00BD4B9D" w:rsidP="00BD4B9D">
      <w:pPr>
        <w:pStyle w:val="Heading2"/>
        <w:spacing w:before="0"/>
        <w:rPr>
          <w:rFonts w:eastAsia="Malgun Gothic"/>
          <w:caps w:val="0"/>
          <w:szCs w:val="22"/>
          <w:lang w:val="es-ES"/>
        </w:rPr>
      </w:pPr>
      <w:r w:rsidRPr="00203E9C">
        <w:rPr>
          <w:rFonts w:eastAsia="Malgun Gothic"/>
          <w:caps w:val="0"/>
          <w:szCs w:val="22"/>
          <w:lang w:val="es-ES"/>
        </w:rPr>
        <w:t>ANTECEDENTES</w:t>
      </w:r>
    </w:p>
    <w:p w14:paraId="410B2CE0" w14:textId="5C9A6F92" w:rsidR="00DA6D94" w:rsidRPr="00203E9C" w:rsidRDefault="0073577B" w:rsidP="005B2011">
      <w:pPr>
        <w:pStyle w:val="ONUME"/>
        <w:numPr>
          <w:ilvl w:val="0"/>
          <w:numId w:val="11"/>
        </w:numPr>
        <w:ind w:left="0" w:firstLine="0"/>
        <w:rPr>
          <w:lang w:val="es-ES"/>
        </w:rPr>
      </w:pPr>
      <w:r w:rsidRPr="00203E9C">
        <w:rPr>
          <w:lang w:val="es-ES"/>
        </w:rPr>
        <w:t>E</w:t>
      </w:r>
      <w:r w:rsidR="00113AB2" w:rsidRPr="00203E9C">
        <w:rPr>
          <w:lang w:val="es-ES"/>
        </w:rPr>
        <w:t xml:space="preserve">l </w:t>
      </w:r>
      <w:r w:rsidR="00CC2F83">
        <w:rPr>
          <w:lang w:val="es-ES"/>
        </w:rPr>
        <w:t>Equipo Técnico sobre Normas relativas a las Marcas</w:t>
      </w:r>
      <w:r w:rsidR="00113AB2" w:rsidRPr="00203E9C">
        <w:rPr>
          <w:lang w:val="es-ES"/>
        </w:rPr>
        <w:t xml:space="preserve"> </w:t>
      </w:r>
      <w:r w:rsidR="00113AB2">
        <w:rPr>
          <w:lang w:val="es-ES"/>
        </w:rPr>
        <w:t xml:space="preserve">se creó en </w:t>
      </w:r>
      <w:r w:rsidRPr="00203E9C">
        <w:rPr>
          <w:lang w:val="es-ES"/>
        </w:rPr>
        <w:t>la tercera sesión del CWS, celebrada en abril de 2013 (véanse los párrafos 55 a 62 y el párrafo 74</w:t>
      </w:r>
      <w:r w:rsidR="00113AB2">
        <w:rPr>
          <w:lang w:val="es-ES"/>
        </w:rPr>
        <w:t>.</w:t>
      </w:r>
      <w:r w:rsidRPr="00203E9C">
        <w:rPr>
          <w:lang w:val="es-ES"/>
        </w:rPr>
        <w:t>e) del documento CWS/3/14).</w:t>
      </w:r>
      <w:r w:rsidR="00C91777" w:rsidRPr="00203E9C">
        <w:rPr>
          <w:lang w:val="es-ES"/>
        </w:rPr>
        <w:t xml:space="preserve"> </w:t>
      </w:r>
      <w:r w:rsidRPr="00203E9C">
        <w:rPr>
          <w:lang w:val="es-ES"/>
        </w:rPr>
        <w:t xml:space="preserve">En su quinta sesión, celebrada en 2017, el CWS acordó aplazar la labor pendiente del Equipo Técnico </w:t>
      </w:r>
      <w:r w:rsidR="00113AB2">
        <w:rPr>
          <w:lang w:val="es-ES"/>
        </w:rPr>
        <w:t>relativa a</w:t>
      </w:r>
      <w:r w:rsidRPr="00203E9C">
        <w:rPr>
          <w:lang w:val="es-ES"/>
        </w:rPr>
        <w:t xml:space="preserve"> la Tarea N.º 49 para preparar recomendaciones </w:t>
      </w:r>
      <w:r w:rsidR="00113AB2">
        <w:rPr>
          <w:lang w:val="es-ES"/>
        </w:rPr>
        <w:t>sobre</w:t>
      </w:r>
      <w:r w:rsidRPr="00203E9C">
        <w:rPr>
          <w:lang w:val="es-ES"/>
        </w:rPr>
        <w:t xml:space="preserve"> la gestión electrónica de marcas animadas y multimedia hasta la aplicación de la Directiva 2008/95/CE, prevista </w:t>
      </w:r>
      <w:r w:rsidR="00113AB2">
        <w:rPr>
          <w:lang w:val="es-ES"/>
        </w:rPr>
        <w:t>en</w:t>
      </w:r>
      <w:r w:rsidRPr="00203E9C">
        <w:rPr>
          <w:lang w:val="es-ES"/>
        </w:rPr>
        <w:t xml:space="preserve"> 2019 (véase el párrafo 4 del documento CWS/5/10 y el párrafo 67 del documento CWS/5/22).</w:t>
      </w:r>
    </w:p>
    <w:p w14:paraId="03ADFF50" w14:textId="3677C429" w:rsidR="00DA6D94" w:rsidRPr="00203E9C" w:rsidRDefault="00D0587F" w:rsidP="005B2011">
      <w:pPr>
        <w:pStyle w:val="ONUME"/>
        <w:numPr>
          <w:ilvl w:val="0"/>
          <w:numId w:val="11"/>
        </w:numPr>
        <w:ind w:left="0" w:firstLine="0"/>
        <w:rPr>
          <w:iCs/>
          <w:szCs w:val="22"/>
          <w:lang w:val="es-ES"/>
        </w:rPr>
      </w:pPr>
      <w:r w:rsidRPr="00203E9C">
        <w:rPr>
          <w:lang w:val="es-ES"/>
        </w:rPr>
        <w:t>En la sexta sesión del Comité de Normas Técnicas</w:t>
      </w:r>
      <w:r w:rsidR="00886B30">
        <w:rPr>
          <w:lang w:val="es-ES"/>
        </w:rPr>
        <w:t xml:space="preserve"> de la OMPI (CWS), celebrada en</w:t>
      </w:r>
      <w:r w:rsidR="005B2011">
        <w:rPr>
          <w:lang w:val="es-ES"/>
        </w:rPr>
        <w:t xml:space="preserve"> </w:t>
      </w:r>
      <w:r w:rsidRPr="00203E9C">
        <w:rPr>
          <w:lang w:val="es-ES"/>
        </w:rPr>
        <w:t xml:space="preserve">2018, el Comité examinó las propuestas de los miembros del CWS para actualizar la Norma ST.60 de la OMPI, </w:t>
      </w:r>
      <w:r w:rsidR="00886B30">
        <w:rPr>
          <w:lang w:val="es-ES"/>
        </w:rPr>
        <w:t>“</w:t>
      </w:r>
      <w:r w:rsidRPr="00203E9C">
        <w:rPr>
          <w:lang w:val="es-ES"/>
        </w:rPr>
        <w:t>Recomendación relativa a los datos bibliográficos sobre marcas</w:t>
      </w:r>
      <w:r w:rsidR="00886B30">
        <w:rPr>
          <w:lang w:val="es-ES"/>
        </w:rPr>
        <w:t>”</w:t>
      </w:r>
      <w:r w:rsidRPr="00203E9C">
        <w:rPr>
          <w:lang w:val="es-ES"/>
        </w:rPr>
        <w:t>.</w:t>
      </w:r>
      <w:r w:rsidR="00C91777" w:rsidRPr="00203E9C">
        <w:rPr>
          <w:iCs/>
          <w:szCs w:val="22"/>
          <w:lang w:val="es-ES"/>
        </w:rPr>
        <w:t xml:space="preserve"> </w:t>
      </w:r>
      <w:r w:rsidRPr="00203E9C">
        <w:rPr>
          <w:iCs/>
          <w:szCs w:val="22"/>
          <w:lang w:val="es-ES"/>
        </w:rPr>
        <w:t xml:space="preserve">El CWS </w:t>
      </w:r>
      <w:r w:rsidR="00F052A0">
        <w:rPr>
          <w:iCs/>
          <w:szCs w:val="22"/>
          <w:lang w:val="es-ES"/>
        </w:rPr>
        <w:t>estableció</w:t>
      </w:r>
      <w:r w:rsidRPr="00203E9C">
        <w:rPr>
          <w:iCs/>
          <w:szCs w:val="22"/>
          <w:lang w:val="es-ES"/>
        </w:rPr>
        <w:t xml:space="preserve"> una nueva Tarea N</w:t>
      </w:r>
      <w:r w:rsidR="00203E9C" w:rsidRPr="00203E9C">
        <w:rPr>
          <w:iCs/>
          <w:szCs w:val="22"/>
          <w:lang w:val="es-ES"/>
        </w:rPr>
        <w:t>.</w:t>
      </w:r>
      <w:r w:rsidRPr="00203E9C">
        <w:rPr>
          <w:iCs/>
          <w:szCs w:val="22"/>
          <w:lang w:val="es-ES"/>
        </w:rPr>
        <w:t xml:space="preserve">º 60, </w:t>
      </w:r>
      <w:r w:rsidR="00DE0003">
        <w:rPr>
          <w:iCs/>
          <w:szCs w:val="22"/>
          <w:lang w:val="es-ES"/>
        </w:rPr>
        <w:t>que se describe de la manera siguiente</w:t>
      </w:r>
      <w:r w:rsidRPr="00203E9C">
        <w:rPr>
          <w:iCs/>
          <w:szCs w:val="22"/>
          <w:lang w:val="es-ES"/>
        </w:rPr>
        <w:t>:</w:t>
      </w:r>
    </w:p>
    <w:p w14:paraId="3644F060" w14:textId="1AFDEAF2" w:rsidR="00DA6D94" w:rsidRPr="00CD1F3D" w:rsidRDefault="00886B30" w:rsidP="00D0587F">
      <w:pPr>
        <w:pStyle w:val="ONUME"/>
        <w:numPr>
          <w:ilvl w:val="0"/>
          <w:numId w:val="0"/>
        </w:numPr>
        <w:ind w:left="567"/>
        <w:rPr>
          <w:iCs/>
          <w:szCs w:val="22"/>
          <w:lang w:val="es-ES"/>
        </w:rPr>
      </w:pPr>
      <w:r>
        <w:rPr>
          <w:iCs/>
          <w:szCs w:val="22"/>
          <w:lang w:val="es-ES"/>
        </w:rPr>
        <w:t>“</w:t>
      </w:r>
      <w:r w:rsidR="00D0587F" w:rsidRPr="00203E9C">
        <w:rPr>
          <w:iCs/>
          <w:szCs w:val="22"/>
          <w:lang w:val="es-ES"/>
        </w:rPr>
        <w:t xml:space="preserve">Preparar una propuesta para la numeración de los códigos INID </w:t>
      </w:r>
      <w:r w:rsidR="00DE0003">
        <w:rPr>
          <w:iCs/>
          <w:szCs w:val="22"/>
          <w:lang w:val="es-ES"/>
        </w:rPr>
        <w:t>relativos a</w:t>
      </w:r>
      <w:r w:rsidR="00D0587F" w:rsidRPr="00203E9C">
        <w:rPr>
          <w:iCs/>
          <w:szCs w:val="22"/>
          <w:lang w:val="es-ES"/>
        </w:rPr>
        <w:t xml:space="preserve"> las marcas denominativas y </w:t>
      </w:r>
      <w:r w:rsidR="00DE0003">
        <w:rPr>
          <w:iCs/>
          <w:szCs w:val="22"/>
          <w:lang w:val="es-ES"/>
        </w:rPr>
        <w:t xml:space="preserve">a las </w:t>
      </w:r>
      <w:r w:rsidR="00D0587F" w:rsidRPr="00203E9C">
        <w:rPr>
          <w:iCs/>
          <w:szCs w:val="22"/>
          <w:lang w:val="es-ES"/>
        </w:rPr>
        <w:t>marcas figurativas</w:t>
      </w:r>
      <w:r w:rsidR="00DE0003">
        <w:rPr>
          <w:iCs/>
          <w:szCs w:val="22"/>
          <w:lang w:val="es-ES"/>
        </w:rPr>
        <w:t>,</w:t>
      </w:r>
      <w:r w:rsidR="00D0587F" w:rsidRPr="00203E9C">
        <w:rPr>
          <w:iCs/>
          <w:szCs w:val="22"/>
          <w:lang w:val="es-ES"/>
        </w:rPr>
        <w:t xml:space="preserve"> la división del código INID (551) y </w:t>
      </w:r>
      <w:r w:rsidR="00DE0003">
        <w:rPr>
          <w:iCs/>
          <w:szCs w:val="22"/>
          <w:lang w:val="es-ES"/>
        </w:rPr>
        <w:t>un</w:t>
      </w:r>
      <w:r w:rsidR="00203E9C" w:rsidRPr="00203E9C">
        <w:rPr>
          <w:iCs/>
          <w:szCs w:val="22"/>
          <w:lang w:val="es-ES"/>
        </w:rPr>
        <w:t xml:space="preserve"> </w:t>
      </w:r>
      <w:r w:rsidR="00203E9C" w:rsidRPr="00CD1F3D">
        <w:rPr>
          <w:iCs/>
          <w:szCs w:val="22"/>
          <w:lang w:val="es-ES"/>
        </w:rPr>
        <w:t xml:space="preserve">posible </w:t>
      </w:r>
      <w:r w:rsidR="00D0587F" w:rsidRPr="00CD1F3D">
        <w:rPr>
          <w:iCs/>
          <w:szCs w:val="22"/>
          <w:lang w:val="es-ES"/>
        </w:rPr>
        <w:t xml:space="preserve">código INID para </w:t>
      </w:r>
      <w:r w:rsidR="00DE0003">
        <w:rPr>
          <w:iCs/>
          <w:szCs w:val="22"/>
          <w:lang w:val="es-ES"/>
        </w:rPr>
        <w:t xml:space="preserve">las </w:t>
      </w:r>
      <w:r w:rsidR="00D0587F" w:rsidRPr="00CD1F3D">
        <w:rPr>
          <w:iCs/>
          <w:szCs w:val="22"/>
          <w:lang w:val="es-ES"/>
        </w:rPr>
        <w:t>marcas combinadas.</w:t>
      </w:r>
      <w:r>
        <w:rPr>
          <w:iCs/>
          <w:szCs w:val="22"/>
          <w:lang w:val="es-ES"/>
        </w:rPr>
        <w:t>”</w:t>
      </w:r>
    </w:p>
    <w:p w14:paraId="0FE97E4B" w14:textId="70C8CCE3" w:rsidR="00DA6D94" w:rsidRPr="00CD1F3D" w:rsidRDefault="00D0587F" w:rsidP="00D0587F">
      <w:pPr>
        <w:pStyle w:val="ONUME"/>
        <w:numPr>
          <w:ilvl w:val="0"/>
          <w:numId w:val="0"/>
        </w:numPr>
        <w:rPr>
          <w:iCs/>
          <w:szCs w:val="22"/>
          <w:lang w:val="es-ES"/>
        </w:rPr>
      </w:pPr>
      <w:r w:rsidRPr="00CD1F3D">
        <w:rPr>
          <w:iCs/>
          <w:szCs w:val="22"/>
          <w:lang w:val="es-ES"/>
        </w:rPr>
        <w:t xml:space="preserve">El CWS asignó la nueva tarea al </w:t>
      </w:r>
      <w:r w:rsidR="00CC2F83">
        <w:rPr>
          <w:iCs/>
          <w:szCs w:val="22"/>
          <w:lang w:val="es-ES"/>
        </w:rPr>
        <w:t>Equipo Técnico sobre Normas relativas a las Marcas</w:t>
      </w:r>
      <w:r w:rsidRPr="00CD1F3D">
        <w:rPr>
          <w:iCs/>
          <w:szCs w:val="22"/>
          <w:lang w:val="es-ES"/>
        </w:rPr>
        <w:t xml:space="preserve"> para </w:t>
      </w:r>
      <w:r w:rsidR="00290AA7">
        <w:rPr>
          <w:iCs/>
          <w:szCs w:val="22"/>
          <w:lang w:val="es-ES"/>
        </w:rPr>
        <w:t xml:space="preserve">examinarla </w:t>
      </w:r>
      <w:r w:rsidR="00DE0003">
        <w:rPr>
          <w:iCs/>
          <w:szCs w:val="22"/>
          <w:lang w:val="es-ES"/>
        </w:rPr>
        <w:t>ulteriormente</w:t>
      </w:r>
      <w:r w:rsidR="00290AA7">
        <w:rPr>
          <w:iCs/>
          <w:szCs w:val="22"/>
          <w:lang w:val="es-ES"/>
        </w:rPr>
        <w:t xml:space="preserve"> </w:t>
      </w:r>
      <w:r w:rsidRPr="00CD1F3D">
        <w:rPr>
          <w:iCs/>
          <w:szCs w:val="22"/>
          <w:lang w:val="es-ES"/>
        </w:rPr>
        <w:t>y pidió</w:t>
      </w:r>
      <w:r w:rsidR="00DE0003">
        <w:rPr>
          <w:iCs/>
          <w:szCs w:val="22"/>
          <w:lang w:val="es-ES"/>
        </w:rPr>
        <w:t xml:space="preserve"> al Equipo Técnico</w:t>
      </w:r>
      <w:r w:rsidRPr="00CD1F3D">
        <w:rPr>
          <w:iCs/>
          <w:szCs w:val="22"/>
          <w:lang w:val="es-ES"/>
        </w:rPr>
        <w:t xml:space="preserve"> que</w:t>
      </w:r>
      <w:r w:rsidR="00290AA7">
        <w:rPr>
          <w:iCs/>
          <w:szCs w:val="22"/>
          <w:lang w:val="es-ES"/>
        </w:rPr>
        <w:t xml:space="preserve"> </w:t>
      </w:r>
      <w:r w:rsidRPr="00CD1F3D">
        <w:rPr>
          <w:iCs/>
          <w:szCs w:val="22"/>
          <w:lang w:val="es-ES"/>
        </w:rPr>
        <w:t xml:space="preserve">presentara una propuesta o un informe de situación </w:t>
      </w:r>
      <w:r w:rsidR="00DE0003" w:rsidRPr="00CD1F3D">
        <w:rPr>
          <w:iCs/>
          <w:szCs w:val="22"/>
          <w:lang w:val="es-ES"/>
        </w:rPr>
        <w:t xml:space="preserve">en su séptima sesión </w:t>
      </w:r>
      <w:r w:rsidRPr="00CD1F3D">
        <w:rPr>
          <w:iCs/>
          <w:szCs w:val="22"/>
          <w:lang w:val="es-ES"/>
        </w:rPr>
        <w:t>(véanse los párrafos 128 a 133 del documento CWS/6/34).</w:t>
      </w:r>
    </w:p>
    <w:p w14:paraId="65474CAF" w14:textId="77777777" w:rsidR="00DA6D94" w:rsidRPr="00CD1F3D" w:rsidRDefault="00D0587F" w:rsidP="00D0587F">
      <w:pPr>
        <w:pStyle w:val="Heading2"/>
        <w:keepLines/>
        <w:rPr>
          <w:lang w:val="es-ES"/>
        </w:rPr>
      </w:pPr>
      <w:r w:rsidRPr="00CD1F3D">
        <w:rPr>
          <w:lang w:val="es-ES"/>
        </w:rPr>
        <w:lastRenderedPageBreak/>
        <w:t>DEBATES Y RESULTADOS: TAREA N.º 60</w:t>
      </w:r>
    </w:p>
    <w:p w14:paraId="247EA16B" w14:textId="1F1A3C91" w:rsidR="00DA6D94" w:rsidRDefault="00D0587F" w:rsidP="005B2011">
      <w:pPr>
        <w:pStyle w:val="ListParagraph"/>
        <w:keepLines/>
        <w:numPr>
          <w:ilvl w:val="0"/>
          <w:numId w:val="11"/>
        </w:numPr>
        <w:spacing w:after="220"/>
        <w:ind w:left="0" w:firstLine="0"/>
        <w:contextualSpacing w:val="0"/>
        <w:rPr>
          <w:lang w:val="es-ES"/>
        </w:rPr>
      </w:pPr>
      <w:r w:rsidRPr="005B2011">
        <w:rPr>
          <w:lang w:val="es-ES"/>
        </w:rPr>
        <w:t xml:space="preserve">El </w:t>
      </w:r>
      <w:r w:rsidR="00CC2F83" w:rsidRPr="005B2011">
        <w:rPr>
          <w:lang w:val="es-ES"/>
        </w:rPr>
        <w:t>Equipo Técnico sobre Normas relativas a las Marcas</w:t>
      </w:r>
      <w:r w:rsidRPr="005B2011">
        <w:rPr>
          <w:lang w:val="es-ES"/>
        </w:rPr>
        <w:t xml:space="preserve"> examinó las tres cuestiones </w:t>
      </w:r>
      <w:r w:rsidR="00CC2F83" w:rsidRPr="005B2011">
        <w:rPr>
          <w:lang w:val="es-ES"/>
        </w:rPr>
        <w:t>que figuran en la</w:t>
      </w:r>
      <w:r w:rsidRPr="005B2011">
        <w:rPr>
          <w:lang w:val="es-ES"/>
        </w:rPr>
        <w:t xml:space="preserve"> Tarea N</w:t>
      </w:r>
      <w:r w:rsidR="00CD1F3D" w:rsidRPr="005B2011">
        <w:rPr>
          <w:lang w:val="es-ES"/>
        </w:rPr>
        <w:t>.</w:t>
      </w:r>
      <w:r w:rsidRPr="005B2011">
        <w:rPr>
          <w:lang w:val="es-ES"/>
        </w:rPr>
        <w:t xml:space="preserve">º 60 y celebró debates </w:t>
      </w:r>
      <w:r w:rsidR="00CC2F83" w:rsidRPr="005B2011">
        <w:rPr>
          <w:lang w:val="es-ES"/>
        </w:rPr>
        <w:t>en línea</w:t>
      </w:r>
      <w:r w:rsidRPr="005B2011">
        <w:rPr>
          <w:lang w:val="es-ES"/>
        </w:rPr>
        <w:t xml:space="preserve"> a ese respecto.</w:t>
      </w:r>
      <w:r w:rsidR="00C91777" w:rsidRPr="005B2011">
        <w:rPr>
          <w:lang w:val="es-ES"/>
        </w:rPr>
        <w:t xml:space="preserve"> </w:t>
      </w:r>
      <w:r w:rsidR="00310193" w:rsidRPr="005B2011">
        <w:rPr>
          <w:lang w:val="es-ES"/>
        </w:rPr>
        <w:t xml:space="preserve">La Oficina Internacional también mantuvo debates internos </w:t>
      </w:r>
      <w:r w:rsidR="00CD1F3D" w:rsidRPr="005B2011">
        <w:rPr>
          <w:lang w:val="es-ES"/>
        </w:rPr>
        <w:t xml:space="preserve">sobre dichas cuestiones </w:t>
      </w:r>
      <w:r w:rsidR="00310193" w:rsidRPr="005B2011">
        <w:rPr>
          <w:lang w:val="es-ES"/>
        </w:rPr>
        <w:t xml:space="preserve">con las dependencias pertinentes, </w:t>
      </w:r>
      <w:r w:rsidR="00CC2F83" w:rsidRPr="005B2011">
        <w:rPr>
          <w:lang w:val="es-ES"/>
        </w:rPr>
        <w:t>entre ellas</w:t>
      </w:r>
      <w:r w:rsidR="00310193" w:rsidRPr="005B2011">
        <w:rPr>
          <w:lang w:val="es-ES"/>
        </w:rPr>
        <w:t>, el Sistema de Madrid.</w:t>
      </w:r>
    </w:p>
    <w:p w14:paraId="7F53B39E" w14:textId="62FA62B4" w:rsidR="00DA6D94" w:rsidRDefault="00CC2F83" w:rsidP="005B2011">
      <w:pPr>
        <w:pStyle w:val="ListParagraph"/>
        <w:numPr>
          <w:ilvl w:val="0"/>
          <w:numId w:val="11"/>
        </w:numPr>
        <w:spacing w:after="220"/>
        <w:ind w:left="0" w:firstLine="0"/>
        <w:contextualSpacing w:val="0"/>
        <w:rPr>
          <w:lang w:val="es-ES"/>
        </w:rPr>
      </w:pPr>
      <w:r w:rsidRPr="005B2011">
        <w:rPr>
          <w:lang w:val="es-ES"/>
        </w:rPr>
        <w:t>Con respecto a la búsqueda de códigos</w:t>
      </w:r>
      <w:r w:rsidR="00310193" w:rsidRPr="005B2011">
        <w:rPr>
          <w:lang w:val="es-ES"/>
        </w:rPr>
        <w:t xml:space="preserve"> INID </w:t>
      </w:r>
      <w:r w:rsidRPr="005B2011">
        <w:rPr>
          <w:lang w:val="es-ES"/>
        </w:rPr>
        <w:t>que resultaran adecuados</w:t>
      </w:r>
      <w:r w:rsidR="00310193" w:rsidRPr="005B2011">
        <w:rPr>
          <w:lang w:val="es-ES"/>
        </w:rPr>
        <w:t xml:space="preserve"> para las marcas denominativas y </w:t>
      </w:r>
      <w:r w:rsidRPr="005B2011">
        <w:rPr>
          <w:lang w:val="es-ES"/>
        </w:rPr>
        <w:t xml:space="preserve">las </w:t>
      </w:r>
      <w:r w:rsidR="00310193" w:rsidRPr="005B2011">
        <w:rPr>
          <w:lang w:val="es-ES"/>
        </w:rPr>
        <w:t xml:space="preserve">marcas figurativas, el Equipo Técnico propone que se aprueben las revisiones que se exponen en el documento CWS/7/19. El Equipo Técnico estudió varias opciones y solo encontró una que </w:t>
      </w:r>
      <w:r w:rsidR="00290AA7" w:rsidRPr="005B2011">
        <w:rPr>
          <w:lang w:val="es-ES"/>
        </w:rPr>
        <w:t>pudiera</w:t>
      </w:r>
      <w:r w:rsidR="00310193" w:rsidRPr="005B2011">
        <w:rPr>
          <w:lang w:val="es-ES"/>
        </w:rPr>
        <w:t xml:space="preserve"> recomendar.</w:t>
      </w:r>
    </w:p>
    <w:p w14:paraId="37CA234D" w14:textId="3C4865B0" w:rsidR="00DA6D94" w:rsidRPr="005B2011" w:rsidRDefault="00310193" w:rsidP="005B2011">
      <w:pPr>
        <w:pStyle w:val="ListParagraph"/>
        <w:numPr>
          <w:ilvl w:val="0"/>
          <w:numId w:val="11"/>
        </w:numPr>
        <w:spacing w:after="220"/>
        <w:ind w:left="0" w:firstLine="0"/>
        <w:rPr>
          <w:lang w:val="es-ES"/>
        </w:rPr>
      </w:pPr>
      <w:r w:rsidRPr="005B2011">
        <w:rPr>
          <w:lang w:val="es-ES"/>
        </w:rPr>
        <w:t xml:space="preserve">En lo tocante a la </w:t>
      </w:r>
      <w:r w:rsidR="005636C4" w:rsidRPr="005B2011">
        <w:rPr>
          <w:iCs/>
          <w:szCs w:val="22"/>
          <w:lang w:val="es-ES"/>
        </w:rPr>
        <w:t xml:space="preserve">división del código INID (551) </w:t>
      </w:r>
      <w:r w:rsidRPr="005B2011">
        <w:rPr>
          <w:lang w:val="es-ES"/>
        </w:rPr>
        <w:t xml:space="preserve">para distinguir las marcas colectivas, las marcas de certificación y las marcas de garantía, el Sistema de Madrid señaló su preferencia por mantener </w:t>
      </w:r>
      <w:r w:rsidR="006D433B" w:rsidRPr="005B2011">
        <w:rPr>
          <w:lang w:val="es-ES"/>
        </w:rPr>
        <w:t>dich</w:t>
      </w:r>
      <w:r w:rsidR="003E5BD5" w:rsidRPr="005B2011">
        <w:rPr>
          <w:lang w:val="es-ES"/>
        </w:rPr>
        <w:t>a</w:t>
      </w:r>
      <w:r w:rsidR="006D433B" w:rsidRPr="005B2011">
        <w:rPr>
          <w:lang w:val="es-ES"/>
        </w:rPr>
        <w:t xml:space="preserve">s </w:t>
      </w:r>
      <w:r w:rsidR="003E5BD5" w:rsidRPr="005B2011">
        <w:rPr>
          <w:lang w:val="es-ES"/>
        </w:rPr>
        <w:t>categorías</w:t>
      </w:r>
      <w:r w:rsidRPr="005B2011">
        <w:rPr>
          <w:lang w:val="es-ES"/>
        </w:rPr>
        <w:t xml:space="preserve"> </w:t>
      </w:r>
      <w:r w:rsidR="005636C4" w:rsidRPr="005B2011">
        <w:rPr>
          <w:lang w:val="es-ES"/>
        </w:rPr>
        <w:t>bajo</w:t>
      </w:r>
      <w:r w:rsidRPr="005B2011">
        <w:rPr>
          <w:lang w:val="es-ES"/>
        </w:rPr>
        <w:t xml:space="preserve"> un único código.</w:t>
      </w:r>
      <w:r w:rsidR="00C91777" w:rsidRPr="005B2011">
        <w:rPr>
          <w:lang w:val="es-ES"/>
        </w:rPr>
        <w:t xml:space="preserve"> </w:t>
      </w:r>
      <w:r w:rsidRPr="005B2011">
        <w:rPr>
          <w:lang w:val="es-ES"/>
        </w:rPr>
        <w:t xml:space="preserve">El Sistema de Madrid </w:t>
      </w:r>
      <w:r w:rsidR="006D433B" w:rsidRPr="005B2011">
        <w:rPr>
          <w:lang w:val="es-ES"/>
        </w:rPr>
        <w:t>formuló</w:t>
      </w:r>
      <w:r w:rsidRPr="005B2011">
        <w:rPr>
          <w:lang w:val="es-ES"/>
        </w:rPr>
        <w:t xml:space="preserve"> la siguiente declaración para </w:t>
      </w:r>
      <w:r w:rsidR="005636C4" w:rsidRPr="005B2011">
        <w:rPr>
          <w:lang w:val="es-ES"/>
        </w:rPr>
        <w:t>justificar</w:t>
      </w:r>
      <w:r w:rsidRPr="005B2011">
        <w:rPr>
          <w:lang w:val="es-ES"/>
        </w:rPr>
        <w:t xml:space="preserve"> su opinión:</w:t>
      </w:r>
    </w:p>
    <w:p w14:paraId="350D745A" w14:textId="0D7B4993" w:rsidR="00DA6D94" w:rsidRPr="00F03D93" w:rsidRDefault="00542840" w:rsidP="00542840">
      <w:pPr>
        <w:spacing w:after="220"/>
        <w:ind w:left="562"/>
        <w:rPr>
          <w:lang w:val="es-ES"/>
        </w:rPr>
      </w:pPr>
      <w:r w:rsidRPr="00F03D93">
        <w:rPr>
          <w:u w:val="single"/>
          <w:lang w:val="es-ES"/>
        </w:rPr>
        <w:t>Una única indicación</w:t>
      </w:r>
      <w:r w:rsidR="00202D9A">
        <w:rPr>
          <w:u w:val="single"/>
          <w:lang w:val="es-ES"/>
        </w:rPr>
        <w:t xml:space="preserve"> </w:t>
      </w:r>
      <w:r w:rsidR="00202D9A" w:rsidRPr="00202D9A">
        <w:rPr>
          <w:u w:val="single"/>
          <w:lang w:val="es-ES"/>
        </w:rPr>
        <w:t>de</w:t>
      </w:r>
      <w:r w:rsidRPr="00202D9A">
        <w:rPr>
          <w:u w:val="single"/>
          <w:lang w:val="es-ES"/>
        </w:rPr>
        <w:t xml:space="preserve"> que la marca de base es una marca colectiva, de certificación o de garantía</w:t>
      </w:r>
      <w:r w:rsidR="00202D9A" w:rsidRPr="00202D9A">
        <w:rPr>
          <w:u w:val="single"/>
          <w:lang w:val="es-ES"/>
        </w:rPr>
        <w:t>,</w:t>
      </w:r>
      <w:r w:rsidRPr="00202D9A">
        <w:rPr>
          <w:u w:val="single"/>
          <w:lang w:val="es-ES"/>
        </w:rPr>
        <w:t xml:space="preserve"> y no indicaciones separadas para esos tipos de marca.</w:t>
      </w:r>
      <w:r w:rsidR="003D38D1" w:rsidRPr="00F03D93">
        <w:rPr>
          <w:u w:val="single"/>
          <w:lang w:val="es-ES"/>
        </w:rPr>
        <w:t xml:space="preserve"> </w:t>
      </w:r>
    </w:p>
    <w:p w14:paraId="7D9F5777" w14:textId="2D16921A" w:rsidR="00DA6D94" w:rsidRPr="00F03D93" w:rsidRDefault="00C95C3D" w:rsidP="00C95C3D">
      <w:pPr>
        <w:spacing w:after="220"/>
        <w:ind w:left="562"/>
        <w:rPr>
          <w:lang w:val="es-ES"/>
        </w:rPr>
      </w:pPr>
      <w:r w:rsidRPr="00F03D93">
        <w:rPr>
          <w:lang w:val="es-ES"/>
        </w:rPr>
        <w:t xml:space="preserve">Antes del 1 de enero de 1989, el marco jurídico del Sistema de Madrid solo </w:t>
      </w:r>
      <w:r w:rsidR="005636C4" w:rsidRPr="00F03D93">
        <w:rPr>
          <w:lang w:val="es-ES"/>
        </w:rPr>
        <w:t>regía</w:t>
      </w:r>
      <w:r w:rsidRPr="00F03D93">
        <w:rPr>
          <w:lang w:val="es-ES"/>
        </w:rPr>
        <w:t xml:space="preserve"> las marcas colectivas (Regla </w:t>
      </w:r>
      <w:proofErr w:type="gramStart"/>
      <w:r w:rsidRPr="00F03D93">
        <w:rPr>
          <w:lang w:val="es-ES"/>
        </w:rPr>
        <w:t>10.1)i</w:t>
      </w:r>
      <w:proofErr w:type="gramEnd"/>
      <w:r w:rsidRPr="00F03D93">
        <w:rPr>
          <w:lang w:val="es-ES"/>
        </w:rPr>
        <w:t>) del Reglamento).</w:t>
      </w:r>
      <w:r w:rsidR="003D38D1" w:rsidRPr="00F03D93">
        <w:rPr>
          <w:lang w:val="es-ES"/>
        </w:rPr>
        <w:t xml:space="preserve"> </w:t>
      </w:r>
    </w:p>
    <w:p w14:paraId="3725856B" w14:textId="4CE78972" w:rsidR="00DA6D94" w:rsidRPr="00BE5B3B" w:rsidRDefault="00C95C3D" w:rsidP="00C95C3D">
      <w:pPr>
        <w:spacing w:after="220"/>
        <w:ind w:left="562"/>
        <w:rPr>
          <w:lang w:val="es-ES"/>
        </w:rPr>
      </w:pPr>
      <w:r w:rsidRPr="00F03D93">
        <w:rPr>
          <w:lang w:val="es-ES"/>
        </w:rPr>
        <w:t>Después del 1 de enero de 1989, pero antes del 1 de abril de 1996,</w:t>
      </w:r>
      <w:r w:rsidR="005636C4" w:rsidRPr="00F03D93">
        <w:rPr>
          <w:lang w:val="es-ES"/>
        </w:rPr>
        <w:t xml:space="preserve"> </w:t>
      </w:r>
      <w:r w:rsidRPr="00F03D93">
        <w:rPr>
          <w:lang w:val="es-ES"/>
        </w:rPr>
        <w:t xml:space="preserve">el marco jurídico (Regla </w:t>
      </w:r>
      <w:proofErr w:type="gramStart"/>
      <w:r w:rsidRPr="00F03D93">
        <w:rPr>
          <w:lang w:val="es-ES"/>
        </w:rPr>
        <w:t>14.2)xii</w:t>
      </w:r>
      <w:proofErr w:type="gramEnd"/>
      <w:r w:rsidRPr="00F03D93">
        <w:rPr>
          <w:lang w:val="es-ES"/>
        </w:rPr>
        <w:t xml:space="preserve">) del Reglamento) </w:t>
      </w:r>
      <w:r w:rsidR="00202D9A">
        <w:rPr>
          <w:lang w:val="es-ES"/>
        </w:rPr>
        <w:t>se refería a</w:t>
      </w:r>
      <w:r w:rsidRPr="00F03D93">
        <w:rPr>
          <w:lang w:val="es-ES"/>
        </w:rPr>
        <w:t xml:space="preserve"> </w:t>
      </w:r>
      <w:r w:rsidR="00886B30">
        <w:rPr>
          <w:lang w:val="es-ES"/>
        </w:rPr>
        <w:t>“</w:t>
      </w:r>
      <w:r w:rsidRPr="00F03D93">
        <w:rPr>
          <w:lang w:val="es-ES"/>
        </w:rPr>
        <w:t>marca colectiva</w:t>
      </w:r>
      <w:r w:rsidR="00886B30">
        <w:rPr>
          <w:lang w:val="es-ES"/>
        </w:rPr>
        <w:t>”</w:t>
      </w:r>
      <w:r w:rsidRPr="00F03D93">
        <w:rPr>
          <w:lang w:val="es-ES"/>
        </w:rPr>
        <w:t xml:space="preserve">, </w:t>
      </w:r>
      <w:r w:rsidR="00886B30">
        <w:rPr>
          <w:lang w:val="es-ES"/>
        </w:rPr>
        <w:t>“</w:t>
      </w:r>
      <w:r w:rsidRPr="00F03D93">
        <w:rPr>
          <w:lang w:val="es-ES"/>
        </w:rPr>
        <w:t>marca de certificación</w:t>
      </w:r>
      <w:r w:rsidR="00886B30">
        <w:rPr>
          <w:lang w:val="es-ES"/>
        </w:rPr>
        <w:t>”</w:t>
      </w:r>
      <w:r w:rsidRPr="00F03D93">
        <w:rPr>
          <w:lang w:val="es-ES"/>
        </w:rPr>
        <w:t xml:space="preserve"> o </w:t>
      </w:r>
      <w:r w:rsidR="00886B30">
        <w:rPr>
          <w:lang w:val="es-ES"/>
        </w:rPr>
        <w:t>“</w:t>
      </w:r>
      <w:r w:rsidRPr="00F03D93">
        <w:rPr>
          <w:lang w:val="es-ES"/>
        </w:rPr>
        <w:t>marca de garantía</w:t>
      </w:r>
      <w:r w:rsidR="00886B30">
        <w:rPr>
          <w:lang w:val="es-ES"/>
        </w:rPr>
        <w:t>”</w:t>
      </w:r>
      <w:r w:rsidRPr="00F03D93">
        <w:rPr>
          <w:lang w:val="es-ES"/>
        </w:rPr>
        <w:t>.</w:t>
      </w:r>
      <w:r w:rsidR="00C91777" w:rsidRPr="00F03D93">
        <w:rPr>
          <w:lang w:val="es-ES"/>
        </w:rPr>
        <w:t xml:space="preserve"> </w:t>
      </w:r>
      <w:r w:rsidRPr="00F03D93">
        <w:rPr>
          <w:lang w:val="es-ES"/>
        </w:rPr>
        <w:t xml:space="preserve">Había casillas separadas para indicar específicamente marcas colectivas, marcas de certificación y marcas de garantía, pero utilizando el mismo código INID 55 </w:t>
      </w:r>
      <w:r w:rsidRPr="00202D9A">
        <w:rPr>
          <w:lang w:val="es-ES"/>
        </w:rPr>
        <w:t>(</w:t>
      </w:r>
      <w:r w:rsidR="00886B30">
        <w:rPr>
          <w:lang w:val="es-ES"/>
        </w:rPr>
        <w:t>“</w:t>
      </w:r>
      <w:r w:rsidRPr="00202D9A">
        <w:rPr>
          <w:lang w:val="es-ES"/>
        </w:rPr>
        <w:t xml:space="preserve">Indicación (55), </w:t>
      </w:r>
      <w:r w:rsidR="00F03D93" w:rsidRPr="00202D9A">
        <w:rPr>
          <w:lang w:val="es-ES"/>
        </w:rPr>
        <w:t>para</w:t>
      </w:r>
      <w:r w:rsidR="00F03D93" w:rsidRPr="00F03D93">
        <w:rPr>
          <w:lang w:val="es-ES"/>
        </w:rPr>
        <w:t xml:space="preserve"> señalar que la marca era</w:t>
      </w:r>
      <w:r w:rsidRPr="00F03D93">
        <w:rPr>
          <w:lang w:val="es-ES"/>
        </w:rPr>
        <w:t xml:space="preserve"> una marca colectiva, una marca </w:t>
      </w:r>
      <w:r w:rsidRPr="00BE5B3B">
        <w:rPr>
          <w:lang w:val="es-ES"/>
        </w:rPr>
        <w:t>de certificación o una marca de garantía</w:t>
      </w:r>
      <w:r w:rsidR="00886B30">
        <w:rPr>
          <w:lang w:val="es-ES"/>
        </w:rPr>
        <w:t>”</w:t>
      </w:r>
      <w:r w:rsidRPr="00BE5B3B">
        <w:rPr>
          <w:lang w:val="es-ES"/>
        </w:rPr>
        <w:t>).</w:t>
      </w:r>
    </w:p>
    <w:p w14:paraId="79D2B389" w14:textId="1A55A718" w:rsidR="00DA6D94" w:rsidRPr="00BE5B3B" w:rsidRDefault="00C95C3D" w:rsidP="00C95C3D">
      <w:pPr>
        <w:spacing w:after="220"/>
        <w:ind w:left="562"/>
        <w:rPr>
          <w:lang w:val="es-ES"/>
        </w:rPr>
      </w:pPr>
      <w:r w:rsidRPr="00BE5B3B">
        <w:rPr>
          <w:lang w:val="es-ES"/>
        </w:rPr>
        <w:t xml:space="preserve">Si bien en el antiguo Reglamento se </w:t>
      </w:r>
      <w:r w:rsidR="00F03D93" w:rsidRPr="00BE5B3B">
        <w:rPr>
          <w:lang w:val="es-ES"/>
        </w:rPr>
        <w:t>preveía</w:t>
      </w:r>
      <w:r w:rsidRPr="00BE5B3B">
        <w:rPr>
          <w:lang w:val="es-ES"/>
        </w:rPr>
        <w:t xml:space="preserve"> que esas marcas se indicaran por separado, dicha disposición causó problemas, ya que algunos países no reconocen todos esos tipos de marcas.</w:t>
      </w:r>
      <w:r w:rsidR="00C91777" w:rsidRPr="00BE5B3B">
        <w:rPr>
          <w:lang w:val="es-ES"/>
        </w:rPr>
        <w:t xml:space="preserve"> </w:t>
      </w:r>
      <w:r w:rsidR="00F03D93" w:rsidRPr="00BE5B3B">
        <w:rPr>
          <w:lang w:val="es-ES"/>
        </w:rPr>
        <w:t>Por ese motivo</w:t>
      </w:r>
      <w:r w:rsidRPr="00BE5B3B">
        <w:rPr>
          <w:lang w:val="es-ES"/>
        </w:rPr>
        <w:t>, se modificó el marco jurídico (</w:t>
      </w:r>
      <w:r w:rsidR="00BE5B3B" w:rsidRPr="00BE5B3B">
        <w:rPr>
          <w:lang w:val="es-ES"/>
        </w:rPr>
        <w:t>actualmente,</w:t>
      </w:r>
      <w:r w:rsidRPr="00BE5B3B">
        <w:rPr>
          <w:lang w:val="es-ES"/>
        </w:rPr>
        <w:t xml:space="preserve"> el Reglamento Común).</w:t>
      </w:r>
      <w:r w:rsidR="003D38D1" w:rsidRPr="00BE5B3B">
        <w:rPr>
          <w:lang w:val="es-ES"/>
        </w:rPr>
        <w:t xml:space="preserve"> </w:t>
      </w:r>
    </w:p>
    <w:p w14:paraId="2FF1AFCC" w14:textId="43F2610C" w:rsidR="00DA6D94" w:rsidRPr="00BE5B3B" w:rsidRDefault="00BE5B3B" w:rsidP="006440D2">
      <w:pPr>
        <w:spacing w:after="220"/>
        <w:ind w:left="562"/>
        <w:rPr>
          <w:lang w:val="es-ES"/>
        </w:rPr>
      </w:pPr>
      <w:r w:rsidRPr="00BE5B3B">
        <w:rPr>
          <w:lang w:val="es-ES"/>
        </w:rPr>
        <w:t>La idea en que se asienta la propuesta de admitir una indicación más general</w:t>
      </w:r>
      <w:r w:rsidR="006440D2" w:rsidRPr="00BE5B3B">
        <w:rPr>
          <w:lang w:val="es-ES"/>
        </w:rPr>
        <w:t xml:space="preserve"> es que un país que reconozca las marcas colectivas, pero no las marcas de certificación, podrá, cuando la marca de base sea una marca de certificación, </w:t>
      </w:r>
      <w:r w:rsidR="00202D9A">
        <w:rPr>
          <w:lang w:val="es-ES"/>
        </w:rPr>
        <w:t xml:space="preserve">aceptar que </w:t>
      </w:r>
      <w:r w:rsidR="006440D2" w:rsidRPr="00BE5B3B">
        <w:rPr>
          <w:lang w:val="es-ES"/>
        </w:rPr>
        <w:t xml:space="preserve">la marca internacional </w:t>
      </w:r>
      <w:r w:rsidR="00202D9A">
        <w:rPr>
          <w:lang w:val="es-ES"/>
        </w:rPr>
        <w:t xml:space="preserve">se proteja </w:t>
      </w:r>
      <w:r w:rsidR="006440D2" w:rsidRPr="00BE5B3B">
        <w:rPr>
          <w:lang w:val="es-ES"/>
        </w:rPr>
        <w:t>como marca colectiva, o viceversa.</w:t>
      </w:r>
      <w:r w:rsidR="00C91777" w:rsidRPr="00BE5B3B">
        <w:rPr>
          <w:lang w:val="es-ES"/>
        </w:rPr>
        <w:t xml:space="preserve"> </w:t>
      </w:r>
      <w:r w:rsidR="006440D2" w:rsidRPr="00BE5B3B">
        <w:rPr>
          <w:lang w:val="es-ES"/>
        </w:rPr>
        <w:t xml:space="preserve">No obstante, en aquel momento se reconoció que ello podía </w:t>
      </w:r>
      <w:r w:rsidR="00400FA2">
        <w:rPr>
          <w:lang w:val="es-ES"/>
        </w:rPr>
        <w:t>plantear problemas</w:t>
      </w:r>
      <w:r w:rsidR="006440D2" w:rsidRPr="00BE5B3B">
        <w:rPr>
          <w:lang w:val="es-ES"/>
        </w:rPr>
        <w:t xml:space="preserve"> en los casos en que un país </w:t>
      </w:r>
      <w:r w:rsidR="00400FA2">
        <w:rPr>
          <w:lang w:val="es-ES"/>
        </w:rPr>
        <w:t>confiere protección a</w:t>
      </w:r>
      <w:r w:rsidR="006440D2" w:rsidRPr="00BE5B3B">
        <w:rPr>
          <w:lang w:val="es-ES"/>
        </w:rPr>
        <w:t xml:space="preserve"> más de un tipo de marca</w:t>
      </w:r>
      <w:r w:rsidR="00400FA2">
        <w:rPr>
          <w:lang w:val="es-ES"/>
        </w:rPr>
        <w:t>,</w:t>
      </w:r>
      <w:r w:rsidR="006440D2" w:rsidRPr="00BE5B3B">
        <w:rPr>
          <w:lang w:val="es-ES"/>
        </w:rPr>
        <w:t xml:space="preserve"> pero </w:t>
      </w:r>
      <w:r w:rsidR="00400FA2">
        <w:rPr>
          <w:lang w:val="es-ES"/>
        </w:rPr>
        <w:t>con arreglo a</w:t>
      </w:r>
      <w:r w:rsidR="006440D2" w:rsidRPr="00BE5B3B">
        <w:rPr>
          <w:lang w:val="es-ES"/>
        </w:rPr>
        <w:t xml:space="preserve"> condiciones diferentes.</w:t>
      </w:r>
      <w:r w:rsidR="003D38D1" w:rsidRPr="00BE5B3B">
        <w:rPr>
          <w:lang w:val="es-ES"/>
        </w:rPr>
        <w:t xml:space="preserve"> </w:t>
      </w:r>
    </w:p>
    <w:p w14:paraId="0DC6395C" w14:textId="06B7A830" w:rsidR="00DA6D94" w:rsidRPr="00C91777" w:rsidRDefault="006440D2" w:rsidP="006440D2">
      <w:pPr>
        <w:spacing w:after="220"/>
        <w:ind w:left="562"/>
        <w:rPr>
          <w:lang w:val="es-ES"/>
        </w:rPr>
      </w:pPr>
      <w:r w:rsidRPr="00BE5B3B">
        <w:rPr>
          <w:lang w:val="es-ES"/>
        </w:rPr>
        <w:t xml:space="preserve">La </w:t>
      </w:r>
      <w:r w:rsidR="00BE5B3B" w:rsidRPr="00BE5B3B">
        <w:rPr>
          <w:lang w:val="es-ES"/>
        </w:rPr>
        <w:t>re</w:t>
      </w:r>
      <w:r w:rsidRPr="00BE5B3B">
        <w:rPr>
          <w:lang w:val="es-ES"/>
        </w:rPr>
        <w:t xml:space="preserve">introducción de casillas específicas </w:t>
      </w:r>
      <w:r w:rsidR="00BE5B3B" w:rsidRPr="00BE5B3B">
        <w:rPr>
          <w:lang w:val="es-ES"/>
        </w:rPr>
        <w:t>podría</w:t>
      </w:r>
      <w:r w:rsidRPr="00BE5B3B">
        <w:rPr>
          <w:lang w:val="es-ES"/>
        </w:rPr>
        <w:t xml:space="preserve"> plantear dificultades a los usuarios del Sistema de Madrid para obtener protección, ya que algunos países no aceptar</w:t>
      </w:r>
      <w:r w:rsidR="00BE5B3B" w:rsidRPr="00BE5B3B">
        <w:rPr>
          <w:lang w:val="es-ES"/>
        </w:rPr>
        <w:t>á</w:t>
      </w:r>
      <w:r w:rsidRPr="00BE5B3B">
        <w:rPr>
          <w:lang w:val="es-ES"/>
        </w:rPr>
        <w:t>n todos esos tipos y</w:t>
      </w:r>
      <w:r w:rsidR="00BE5B3B" w:rsidRPr="00BE5B3B">
        <w:rPr>
          <w:lang w:val="es-ES"/>
        </w:rPr>
        <w:t>, en consecuencia,</w:t>
      </w:r>
      <w:r w:rsidRPr="00BE5B3B">
        <w:rPr>
          <w:lang w:val="es-ES"/>
        </w:rPr>
        <w:t xml:space="preserve"> emitir</w:t>
      </w:r>
      <w:r w:rsidR="00BE5B3B" w:rsidRPr="00BE5B3B">
        <w:rPr>
          <w:lang w:val="es-ES"/>
        </w:rPr>
        <w:t>á</w:t>
      </w:r>
      <w:r w:rsidRPr="00BE5B3B">
        <w:rPr>
          <w:lang w:val="es-ES"/>
        </w:rPr>
        <w:t>n denegaciones provisionales.</w:t>
      </w:r>
      <w:r w:rsidR="00C91777" w:rsidRPr="00BE5B3B">
        <w:rPr>
          <w:lang w:val="es-ES"/>
        </w:rPr>
        <w:t xml:space="preserve"> </w:t>
      </w:r>
      <w:r w:rsidRPr="00BE5B3B">
        <w:rPr>
          <w:lang w:val="es-ES"/>
        </w:rPr>
        <w:t xml:space="preserve">Con una sola casilla que abarque los tres tipos, la Oficina podrá interpretar que la marca corresponde a </w:t>
      </w:r>
      <w:r w:rsidR="00BE5B3B" w:rsidRPr="00BE5B3B">
        <w:rPr>
          <w:lang w:val="es-ES"/>
        </w:rPr>
        <w:t>cualquiera de las categorías</w:t>
      </w:r>
      <w:r w:rsidRPr="00BE5B3B">
        <w:rPr>
          <w:lang w:val="es-ES"/>
        </w:rPr>
        <w:t xml:space="preserve"> </w:t>
      </w:r>
      <w:r w:rsidR="00400FA2">
        <w:rPr>
          <w:lang w:val="es-ES"/>
        </w:rPr>
        <w:t>aceptadas</w:t>
      </w:r>
      <w:r w:rsidR="00BE5B3B" w:rsidRPr="00BE5B3B">
        <w:rPr>
          <w:lang w:val="es-ES"/>
        </w:rPr>
        <w:t xml:space="preserve"> en el marco de su</w:t>
      </w:r>
      <w:r w:rsidRPr="00BE5B3B">
        <w:rPr>
          <w:lang w:val="es-ES"/>
        </w:rPr>
        <w:t xml:space="preserve"> legislación nacional</w:t>
      </w:r>
      <w:r w:rsidRPr="00C91777">
        <w:rPr>
          <w:color w:val="FF0000"/>
          <w:lang w:val="es-ES"/>
        </w:rPr>
        <w:t>.</w:t>
      </w:r>
    </w:p>
    <w:p w14:paraId="3B090CAF" w14:textId="61C66417" w:rsidR="00DA6D94" w:rsidRPr="005B2011" w:rsidRDefault="00FB5EA8" w:rsidP="005B2011">
      <w:pPr>
        <w:pStyle w:val="ListParagraph"/>
        <w:numPr>
          <w:ilvl w:val="0"/>
          <w:numId w:val="11"/>
        </w:numPr>
        <w:spacing w:after="220"/>
        <w:ind w:left="0" w:firstLine="0"/>
        <w:rPr>
          <w:lang w:val="es-ES"/>
        </w:rPr>
      </w:pPr>
      <w:r w:rsidRPr="005B2011">
        <w:rPr>
          <w:lang w:val="es-ES"/>
        </w:rPr>
        <w:t>El Equipo Técnico señaló también que los códigos INID solo proporcionan indicaciones generales sobre las marcas.</w:t>
      </w:r>
      <w:r w:rsidR="00C91777" w:rsidRPr="005B2011">
        <w:rPr>
          <w:lang w:val="es-ES"/>
        </w:rPr>
        <w:t xml:space="preserve"> </w:t>
      </w:r>
      <w:r w:rsidRPr="005B2011">
        <w:rPr>
          <w:lang w:val="es-ES"/>
        </w:rPr>
        <w:t>Los formatos más recientes para el intercambio de datos, como la Norma ST.96 de la OMPI, establecen distinciones</w:t>
      </w:r>
      <w:r w:rsidR="003E5BD5" w:rsidRPr="005B2011">
        <w:rPr>
          <w:lang w:val="es-ES"/>
        </w:rPr>
        <w:t xml:space="preserve"> diferentes</w:t>
      </w:r>
      <w:r w:rsidRPr="005B2011">
        <w:rPr>
          <w:lang w:val="es-ES"/>
        </w:rPr>
        <w:t>.</w:t>
      </w:r>
      <w:r w:rsidR="00C91777" w:rsidRPr="005B2011">
        <w:rPr>
          <w:lang w:val="es-ES"/>
        </w:rPr>
        <w:t xml:space="preserve"> </w:t>
      </w:r>
      <w:r w:rsidR="00DA082D" w:rsidRPr="005B2011">
        <w:rPr>
          <w:lang w:val="es-ES"/>
        </w:rPr>
        <w:t xml:space="preserve">A ese respecto, la Norma ST.96 de la OMPI </w:t>
      </w:r>
      <w:r w:rsidR="001B45EF" w:rsidRPr="005B2011">
        <w:rPr>
          <w:lang w:val="es-ES"/>
        </w:rPr>
        <w:t>establece</w:t>
      </w:r>
      <w:r w:rsidR="00DA082D" w:rsidRPr="005B2011">
        <w:rPr>
          <w:lang w:val="es-ES"/>
        </w:rPr>
        <w:t xml:space="preserve"> dos categorías de este tipo de marcas en lugar de una.</w:t>
      </w:r>
      <w:r w:rsidR="00C91777" w:rsidRPr="005B2011">
        <w:rPr>
          <w:lang w:val="es-ES"/>
        </w:rPr>
        <w:t xml:space="preserve"> </w:t>
      </w:r>
      <w:r w:rsidR="00DA082D" w:rsidRPr="005B2011">
        <w:rPr>
          <w:lang w:val="es-ES"/>
        </w:rPr>
        <w:t xml:space="preserve">El Equipo Técnico XML4IP, que gestiona la revisión de la Norma ST.96 de la OMPI, consideró también la posibilidad de utilizar tres categorías </w:t>
      </w:r>
      <w:r w:rsidR="001B45EF" w:rsidRPr="005B2011">
        <w:rPr>
          <w:lang w:val="es-ES"/>
        </w:rPr>
        <w:t>con respecto a</w:t>
      </w:r>
      <w:r w:rsidR="00DA082D" w:rsidRPr="005B2011">
        <w:rPr>
          <w:lang w:val="es-ES"/>
        </w:rPr>
        <w:t xml:space="preserve"> dicha Norma ST.96, pero la rechazó.</w:t>
      </w:r>
    </w:p>
    <w:p w14:paraId="40B26BB5" w14:textId="56309AAA" w:rsidR="00DA6D94" w:rsidRDefault="00DA082D" w:rsidP="005B2011">
      <w:pPr>
        <w:pStyle w:val="ListParagraph"/>
        <w:keepNext/>
        <w:keepLines/>
        <w:numPr>
          <w:ilvl w:val="0"/>
          <w:numId w:val="11"/>
        </w:numPr>
        <w:spacing w:after="220"/>
        <w:ind w:left="0" w:firstLine="0"/>
        <w:contextualSpacing w:val="0"/>
        <w:rPr>
          <w:lang w:val="es-ES"/>
        </w:rPr>
      </w:pPr>
      <w:r w:rsidRPr="005B2011">
        <w:rPr>
          <w:lang w:val="es-ES"/>
        </w:rPr>
        <w:lastRenderedPageBreak/>
        <w:t xml:space="preserve">Teniendo en cuenta estos factores, el Equipo Técnico recomienda </w:t>
      </w:r>
      <w:r w:rsidR="001B45EF" w:rsidRPr="005B2011">
        <w:rPr>
          <w:lang w:val="es-ES"/>
        </w:rPr>
        <w:t xml:space="preserve">mantener </w:t>
      </w:r>
      <w:r w:rsidR="003E5BD5" w:rsidRPr="005B2011">
        <w:rPr>
          <w:lang w:val="es-ES"/>
        </w:rPr>
        <w:t>esas</w:t>
      </w:r>
      <w:r w:rsidR="001B45EF" w:rsidRPr="005B2011">
        <w:rPr>
          <w:lang w:val="es-ES"/>
        </w:rPr>
        <w:t xml:space="preserve"> </w:t>
      </w:r>
      <w:r w:rsidR="003E5BD5" w:rsidRPr="005B2011">
        <w:rPr>
          <w:lang w:val="es-ES"/>
        </w:rPr>
        <w:t>categorías</w:t>
      </w:r>
      <w:r w:rsidRPr="005B2011">
        <w:rPr>
          <w:lang w:val="es-ES"/>
        </w:rPr>
        <w:t xml:space="preserve"> unidos </w:t>
      </w:r>
      <w:r w:rsidR="003E5BD5" w:rsidRPr="005B2011">
        <w:rPr>
          <w:lang w:val="es-ES"/>
        </w:rPr>
        <w:t>bajo</w:t>
      </w:r>
      <w:r w:rsidRPr="005B2011">
        <w:rPr>
          <w:lang w:val="es-ES"/>
        </w:rPr>
        <w:t xml:space="preserve"> un único código INID sin introducir cambios en la Norma ST.60 de la OMPI. </w:t>
      </w:r>
      <w:r w:rsidR="001B45EF" w:rsidRPr="005B2011">
        <w:rPr>
          <w:lang w:val="es-ES"/>
        </w:rPr>
        <w:t>L</w:t>
      </w:r>
      <w:r w:rsidR="00A13E26" w:rsidRPr="005B2011">
        <w:rPr>
          <w:lang w:val="es-ES"/>
        </w:rPr>
        <w:t>as</w:t>
      </w:r>
      <w:r w:rsidRPr="005B2011">
        <w:rPr>
          <w:lang w:val="es-ES"/>
        </w:rPr>
        <w:t xml:space="preserve"> herramientas automatizadas deberían utilizar formatos como la </w:t>
      </w:r>
      <w:r w:rsidR="001B45EF" w:rsidRPr="005B2011">
        <w:rPr>
          <w:lang w:val="es-ES"/>
        </w:rPr>
        <w:t>N</w:t>
      </w:r>
      <w:r w:rsidRPr="005B2011">
        <w:rPr>
          <w:lang w:val="es-ES"/>
        </w:rPr>
        <w:t xml:space="preserve">orma ST.96 para el intercambio de datos, que permite un tratamiento más preciso de los datos. No parece que establecer un nuevo código INID sea </w:t>
      </w:r>
      <w:r w:rsidR="00553FDC" w:rsidRPr="005B2011">
        <w:rPr>
          <w:lang w:val="es-ES"/>
        </w:rPr>
        <w:t>muy</w:t>
      </w:r>
      <w:r w:rsidR="00A13E26" w:rsidRPr="005B2011">
        <w:rPr>
          <w:lang w:val="es-ES"/>
        </w:rPr>
        <w:t xml:space="preserve"> </w:t>
      </w:r>
      <w:r w:rsidRPr="005B2011">
        <w:rPr>
          <w:lang w:val="es-ES"/>
        </w:rPr>
        <w:t>ventajoso.</w:t>
      </w:r>
    </w:p>
    <w:p w14:paraId="40414193" w14:textId="7C27B23E" w:rsidR="00DA6D94" w:rsidRDefault="00944986" w:rsidP="005B2011">
      <w:pPr>
        <w:pStyle w:val="ListParagraph"/>
        <w:numPr>
          <w:ilvl w:val="0"/>
          <w:numId w:val="11"/>
        </w:numPr>
        <w:spacing w:after="220"/>
        <w:ind w:left="0" w:firstLine="0"/>
        <w:contextualSpacing w:val="0"/>
        <w:rPr>
          <w:lang w:val="es-ES"/>
        </w:rPr>
      </w:pPr>
      <w:r w:rsidRPr="005B2011">
        <w:rPr>
          <w:lang w:val="es-ES"/>
        </w:rPr>
        <w:t>En lo que respecta a la posibilidad de crear un código INID distinto para marcas combinadas, el Equipo Técnico señaló que, como en el caso de las marcas colectivas, de certificación y de garantía, los códigos INID solo tienen por objeto proporcionar indicaciones generales sobre marcas como</w:t>
      </w:r>
      <w:r w:rsidR="00553FDC" w:rsidRPr="005B2011">
        <w:rPr>
          <w:lang w:val="es-ES"/>
        </w:rPr>
        <w:t xml:space="preserve"> las</w:t>
      </w:r>
      <w:r w:rsidRPr="005B2011">
        <w:rPr>
          <w:lang w:val="es-ES"/>
        </w:rPr>
        <w:t xml:space="preserve"> marcas combinadas.</w:t>
      </w:r>
      <w:r w:rsidR="00C91777" w:rsidRPr="005B2011">
        <w:rPr>
          <w:lang w:val="es-ES"/>
        </w:rPr>
        <w:t xml:space="preserve"> </w:t>
      </w:r>
      <w:r w:rsidRPr="005B2011">
        <w:rPr>
          <w:lang w:val="es-ES"/>
        </w:rPr>
        <w:t xml:space="preserve">Los nuevos formatos para el intercambio de datos, como la Norma ST.96 de la OMPI, permiten distinguir </w:t>
      </w:r>
      <w:r w:rsidR="00553FDC" w:rsidRPr="005B2011">
        <w:rPr>
          <w:lang w:val="es-ES"/>
        </w:rPr>
        <w:t>con mayor precisión</w:t>
      </w:r>
      <w:r w:rsidRPr="005B2011">
        <w:rPr>
          <w:lang w:val="es-ES"/>
        </w:rPr>
        <w:t xml:space="preserve"> entre los tipos de marcas.</w:t>
      </w:r>
      <w:r w:rsidR="00C91777" w:rsidRPr="005B2011">
        <w:rPr>
          <w:lang w:val="es-ES"/>
        </w:rPr>
        <w:t xml:space="preserve"> </w:t>
      </w:r>
      <w:r w:rsidRPr="005B2011">
        <w:rPr>
          <w:lang w:val="es-ES"/>
        </w:rPr>
        <w:t xml:space="preserve">La Norma ST.96 de la OMPI </w:t>
      </w:r>
      <w:r w:rsidR="001B45EF" w:rsidRPr="005B2011">
        <w:rPr>
          <w:lang w:val="es-ES"/>
        </w:rPr>
        <w:t>establece</w:t>
      </w:r>
      <w:r w:rsidRPr="005B2011">
        <w:rPr>
          <w:lang w:val="es-ES"/>
        </w:rPr>
        <w:t xml:space="preserve"> un tipo </w:t>
      </w:r>
      <w:r w:rsidR="00886B30" w:rsidRPr="005B2011">
        <w:rPr>
          <w:lang w:val="es-ES"/>
        </w:rPr>
        <w:t>“</w:t>
      </w:r>
      <w:r w:rsidRPr="005B2011">
        <w:rPr>
          <w:lang w:val="es-ES"/>
        </w:rPr>
        <w:t>combinado</w:t>
      </w:r>
      <w:r w:rsidR="00886B30" w:rsidRPr="005B2011">
        <w:rPr>
          <w:lang w:val="es-ES"/>
        </w:rPr>
        <w:t>”</w:t>
      </w:r>
      <w:r w:rsidRPr="005B2011">
        <w:rPr>
          <w:lang w:val="es-ES"/>
        </w:rPr>
        <w:t xml:space="preserve"> para </w:t>
      </w:r>
      <w:r w:rsidR="00553FDC" w:rsidRPr="005B2011">
        <w:rPr>
          <w:lang w:val="es-ES"/>
        </w:rPr>
        <w:t>la indicación de</w:t>
      </w:r>
      <w:r w:rsidRPr="005B2011">
        <w:rPr>
          <w:lang w:val="es-ES"/>
        </w:rPr>
        <w:t xml:space="preserve"> marcas combinadas.</w:t>
      </w:r>
    </w:p>
    <w:p w14:paraId="427DCC6A" w14:textId="36657B9B" w:rsidR="00DA6D94" w:rsidRPr="005B2011" w:rsidRDefault="00A13E26" w:rsidP="005B2011">
      <w:pPr>
        <w:pStyle w:val="ListParagraph"/>
        <w:keepLines/>
        <w:numPr>
          <w:ilvl w:val="0"/>
          <w:numId w:val="11"/>
        </w:numPr>
        <w:spacing w:after="220"/>
        <w:ind w:left="0" w:firstLine="0"/>
        <w:rPr>
          <w:lang w:val="es-ES"/>
        </w:rPr>
      </w:pPr>
      <w:r w:rsidRPr="005B2011">
        <w:rPr>
          <w:lang w:val="es-ES"/>
        </w:rPr>
        <w:t xml:space="preserve">Teniendo en cuenta dichos factores, el Equipo Técnico recomienda que se mantenga el sistema actual para </w:t>
      </w:r>
      <w:r w:rsidR="00553FDC" w:rsidRPr="005B2011">
        <w:rPr>
          <w:lang w:val="es-ES"/>
        </w:rPr>
        <w:t>el tratamiento de</w:t>
      </w:r>
      <w:r w:rsidRPr="005B2011">
        <w:rPr>
          <w:lang w:val="es-ES"/>
        </w:rPr>
        <w:t xml:space="preserve"> las marcas combinadas y que no se introduzcan cambios en la Norma ST.60 de la OMPI. En las herramientas automatizadas se deberían utilizar formatos como la Norma ST.96 de la OMPI para el intercambio de datos, que permite un tratamiento más preciso de los datos.</w:t>
      </w:r>
      <w:r w:rsidR="003D38D1" w:rsidRPr="005B2011">
        <w:rPr>
          <w:lang w:val="es-ES"/>
        </w:rPr>
        <w:t xml:space="preserve"> </w:t>
      </w:r>
      <w:r w:rsidRPr="005B2011">
        <w:rPr>
          <w:lang w:val="es-ES"/>
        </w:rPr>
        <w:t xml:space="preserve">No parece que establecer un nuevo código resulte </w:t>
      </w:r>
      <w:r w:rsidR="00553FDC" w:rsidRPr="005B2011">
        <w:rPr>
          <w:lang w:val="es-ES"/>
        </w:rPr>
        <w:t>muy</w:t>
      </w:r>
      <w:r w:rsidRPr="005B2011">
        <w:rPr>
          <w:lang w:val="es-ES"/>
        </w:rPr>
        <w:t xml:space="preserve"> ventajoso</w:t>
      </w:r>
      <w:r w:rsidR="003D38D1" w:rsidRPr="005B2011">
        <w:rPr>
          <w:lang w:val="es-ES"/>
        </w:rPr>
        <w:t>.</w:t>
      </w:r>
    </w:p>
    <w:p w14:paraId="7DCE62CA" w14:textId="0E6BAFE2" w:rsidR="00DA6D94" w:rsidRPr="00C91777" w:rsidRDefault="00C91F6F" w:rsidP="00550A59">
      <w:pPr>
        <w:pStyle w:val="Heading2"/>
        <w:rPr>
          <w:caps w:val="0"/>
          <w:lang w:val="es-ES"/>
        </w:rPr>
      </w:pPr>
      <w:r w:rsidRPr="00C91777">
        <w:rPr>
          <w:caps w:val="0"/>
          <w:lang w:val="es-ES"/>
        </w:rPr>
        <w:t>RE</w:t>
      </w:r>
      <w:r w:rsidR="00202451" w:rsidRPr="00C91777">
        <w:rPr>
          <w:caps w:val="0"/>
          <w:lang w:val="es-ES"/>
        </w:rPr>
        <w:t>ANUDACIÓN DE</w:t>
      </w:r>
      <w:r w:rsidR="00C91777" w:rsidRPr="00C91777">
        <w:rPr>
          <w:caps w:val="0"/>
          <w:lang w:val="es-ES"/>
        </w:rPr>
        <w:t xml:space="preserve"> </w:t>
      </w:r>
      <w:r w:rsidR="00DE0003">
        <w:rPr>
          <w:caps w:val="0"/>
          <w:lang w:val="es-ES"/>
        </w:rPr>
        <w:t xml:space="preserve">LA LABOR SOBRE </w:t>
      </w:r>
      <w:r w:rsidR="00202451" w:rsidRPr="00C91777">
        <w:rPr>
          <w:caps w:val="0"/>
          <w:lang w:val="es-ES"/>
        </w:rPr>
        <w:t>LA TAREA</w:t>
      </w:r>
      <w:r w:rsidR="00026165" w:rsidRPr="00C91777">
        <w:rPr>
          <w:caps w:val="0"/>
          <w:lang w:val="es-ES"/>
        </w:rPr>
        <w:t xml:space="preserve"> N.</w:t>
      </w:r>
      <w:r w:rsidR="00202451" w:rsidRPr="00C91777">
        <w:rPr>
          <w:caps w:val="0"/>
          <w:lang w:val="es-ES"/>
        </w:rPr>
        <w:t>º</w:t>
      </w:r>
      <w:r w:rsidR="005B2011">
        <w:rPr>
          <w:caps w:val="0"/>
          <w:lang w:val="es-ES"/>
        </w:rPr>
        <w:t xml:space="preserve"> </w:t>
      </w:r>
      <w:r w:rsidR="00026165" w:rsidRPr="00C91777">
        <w:rPr>
          <w:caps w:val="0"/>
          <w:lang w:val="es-ES"/>
        </w:rPr>
        <w:t>49</w:t>
      </w:r>
    </w:p>
    <w:p w14:paraId="28D796BE" w14:textId="54372D6B" w:rsidR="00DA6D94" w:rsidRPr="005B2011" w:rsidRDefault="00202451" w:rsidP="005B2011">
      <w:pPr>
        <w:pStyle w:val="ListParagraph"/>
        <w:numPr>
          <w:ilvl w:val="0"/>
          <w:numId w:val="11"/>
        </w:numPr>
        <w:spacing w:after="220"/>
        <w:ind w:left="0" w:firstLine="0"/>
        <w:rPr>
          <w:lang w:val="es-ES"/>
        </w:rPr>
      </w:pPr>
      <w:r w:rsidRPr="005B2011">
        <w:rPr>
          <w:lang w:val="es-ES"/>
        </w:rPr>
        <w:t xml:space="preserve">En </w:t>
      </w:r>
      <w:r w:rsidR="00886B30" w:rsidRPr="005B2011">
        <w:rPr>
          <w:lang w:val="es-ES"/>
        </w:rPr>
        <w:t xml:space="preserve">su quinta sesión celebrada en </w:t>
      </w:r>
      <w:r w:rsidRPr="005B2011">
        <w:rPr>
          <w:lang w:val="es-ES"/>
        </w:rPr>
        <w:t xml:space="preserve">2017, el CWS convino en aplazar la </w:t>
      </w:r>
      <w:r w:rsidR="00203E9C" w:rsidRPr="005B2011">
        <w:rPr>
          <w:lang w:val="es-ES"/>
        </w:rPr>
        <w:t>labor pendiente</w:t>
      </w:r>
      <w:r w:rsidRPr="005B2011">
        <w:rPr>
          <w:lang w:val="es-ES"/>
        </w:rPr>
        <w:t xml:space="preserve"> del Equipo Técnico sobre la Tarea N.º</w:t>
      </w:r>
      <w:r w:rsidR="005B2011" w:rsidRPr="005B2011">
        <w:rPr>
          <w:lang w:val="es-ES"/>
        </w:rPr>
        <w:t xml:space="preserve"> </w:t>
      </w:r>
      <w:r w:rsidRPr="005B2011">
        <w:rPr>
          <w:lang w:val="es-ES"/>
        </w:rPr>
        <w:t>49</w:t>
      </w:r>
      <w:r w:rsidR="00886B30" w:rsidRPr="005B2011">
        <w:rPr>
          <w:lang w:val="es-ES"/>
        </w:rPr>
        <w:t>, “Preparar una recomendación relativa a la gestión electrónica de las marcas animadas o multimedia para su adopción como norma técnica de la OMPI”,</w:t>
      </w:r>
      <w:r w:rsidRPr="005B2011">
        <w:rPr>
          <w:lang w:val="es-ES"/>
        </w:rPr>
        <w:t xml:space="preserve"> hasta la aplicación de la </w:t>
      </w:r>
      <w:r w:rsidR="00553FDC" w:rsidRPr="005B2011">
        <w:rPr>
          <w:lang w:val="es-ES"/>
        </w:rPr>
        <w:t>D</w:t>
      </w:r>
      <w:r w:rsidRPr="005B2011">
        <w:rPr>
          <w:lang w:val="es-ES"/>
        </w:rPr>
        <w:t>irectiva 2008/95/CE</w:t>
      </w:r>
      <w:r w:rsidR="00886B30" w:rsidRPr="005B2011">
        <w:rPr>
          <w:lang w:val="es-ES"/>
        </w:rPr>
        <w:t xml:space="preserve"> por las OPI de que se trate</w:t>
      </w:r>
      <w:r w:rsidRPr="005B2011">
        <w:rPr>
          <w:lang w:val="es-ES"/>
        </w:rPr>
        <w:t xml:space="preserve"> en 2019. </w:t>
      </w:r>
      <w:r w:rsidR="00886B30" w:rsidRPr="005B2011">
        <w:rPr>
          <w:lang w:val="es-ES"/>
        </w:rPr>
        <w:t>L</w:t>
      </w:r>
      <w:r w:rsidR="006D5603" w:rsidRPr="005B2011">
        <w:rPr>
          <w:lang w:val="es-ES"/>
        </w:rPr>
        <w:t>a Oficina Internacional</w:t>
      </w:r>
      <w:r w:rsidRPr="005B2011">
        <w:rPr>
          <w:lang w:val="es-ES"/>
        </w:rPr>
        <w:t xml:space="preserve"> propone </w:t>
      </w:r>
      <w:r w:rsidR="00886B30" w:rsidRPr="005B2011">
        <w:rPr>
          <w:lang w:val="es-ES"/>
        </w:rPr>
        <w:t xml:space="preserve">que la reanudación de la labor del Equipo Técnico sobre la Tarea N.º 49 sea considerada </w:t>
      </w:r>
      <w:r w:rsidRPr="005B2011">
        <w:rPr>
          <w:lang w:val="es-ES"/>
        </w:rPr>
        <w:t xml:space="preserve">en la séptima </w:t>
      </w:r>
      <w:r w:rsidR="00886B30" w:rsidRPr="005B2011">
        <w:rPr>
          <w:lang w:val="es-ES"/>
        </w:rPr>
        <w:t>s</w:t>
      </w:r>
      <w:r w:rsidRPr="005B2011">
        <w:rPr>
          <w:lang w:val="es-ES"/>
        </w:rPr>
        <w:t>e</w:t>
      </w:r>
      <w:r w:rsidR="00886B30" w:rsidRPr="005B2011">
        <w:rPr>
          <w:lang w:val="es-ES"/>
        </w:rPr>
        <w:t>s</w:t>
      </w:r>
      <w:r w:rsidRPr="005B2011">
        <w:rPr>
          <w:lang w:val="es-ES"/>
        </w:rPr>
        <w:t>ión del CWS</w:t>
      </w:r>
      <w:r w:rsidR="000C15B2" w:rsidRPr="005B2011">
        <w:rPr>
          <w:lang w:val="es-ES"/>
        </w:rPr>
        <w:t>.</w:t>
      </w:r>
    </w:p>
    <w:p w14:paraId="3CEFE788" w14:textId="2E86B3FB" w:rsidR="00DA6D94" w:rsidRPr="00C91777" w:rsidRDefault="00202451" w:rsidP="005B2011">
      <w:pPr>
        <w:pStyle w:val="ONUME"/>
        <w:numPr>
          <w:ilvl w:val="0"/>
          <w:numId w:val="11"/>
        </w:numPr>
        <w:ind w:left="5529" w:firstLine="0"/>
        <w:rPr>
          <w:i/>
          <w:lang w:val="es-ES"/>
        </w:rPr>
      </w:pPr>
      <w:r w:rsidRPr="00C91777">
        <w:rPr>
          <w:i/>
          <w:lang w:val="es-ES"/>
        </w:rPr>
        <w:t>Se invita al CWS a</w:t>
      </w:r>
      <w:r w:rsidR="003D38D1" w:rsidRPr="00C91777">
        <w:rPr>
          <w:i/>
          <w:lang w:val="es-ES"/>
        </w:rPr>
        <w:t xml:space="preserve">: </w:t>
      </w:r>
    </w:p>
    <w:p w14:paraId="330319DF" w14:textId="552C7264" w:rsidR="00DA6D94" w:rsidRPr="00C91777" w:rsidRDefault="00A00859" w:rsidP="005B2011">
      <w:pPr>
        <w:pStyle w:val="BodyText"/>
        <w:tabs>
          <w:tab w:val="left" w:pos="6160"/>
          <w:tab w:val="left" w:pos="6710"/>
        </w:tabs>
        <w:ind w:left="5530"/>
        <w:rPr>
          <w:i/>
          <w:lang w:val="es-ES"/>
        </w:rPr>
      </w:pPr>
      <w:r w:rsidRPr="00C91777">
        <w:rPr>
          <w:i/>
          <w:lang w:val="es-ES"/>
        </w:rPr>
        <w:tab/>
        <w:t>a)</w:t>
      </w:r>
      <w:r w:rsidRPr="00C91777">
        <w:rPr>
          <w:i/>
          <w:lang w:val="es-ES"/>
        </w:rPr>
        <w:tab/>
      </w:r>
      <w:r w:rsidR="00202451" w:rsidRPr="00C91777">
        <w:rPr>
          <w:i/>
          <w:lang w:val="es-ES"/>
        </w:rPr>
        <w:t>tomar nota del contenido del presente documento</w:t>
      </w:r>
      <w:r w:rsidR="003D38D1" w:rsidRPr="00C91777">
        <w:rPr>
          <w:i/>
          <w:lang w:val="es-ES"/>
        </w:rPr>
        <w:t>;</w:t>
      </w:r>
      <w:r w:rsidR="007D2F23" w:rsidRPr="00C91777">
        <w:rPr>
          <w:i/>
          <w:lang w:val="es-ES"/>
        </w:rPr>
        <w:t xml:space="preserve"> </w:t>
      </w:r>
    </w:p>
    <w:p w14:paraId="555FA43B" w14:textId="5D81E33E" w:rsidR="00DA6D94" w:rsidRPr="00C91777" w:rsidRDefault="00202451" w:rsidP="005B2011">
      <w:pPr>
        <w:pStyle w:val="BodyText"/>
        <w:tabs>
          <w:tab w:val="left" w:pos="6160"/>
          <w:tab w:val="left" w:pos="6710"/>
        </w:tabs>
        <w:ind w:left="5530"/>
        <w:rPr>
          <w:i/>
          <w:lang w:val="es-ES"/>
        </w:rPr>
      </w:pPr>
      <w:r w:rsidRPr="00C91777">
        <w:rPr>
          <w:i/>
          <w:lang w:val="es-ES"/>
        </w:rPr>
        <w:tab/>
      </w:r>
      <w:r w:rsidR="00A00859" w:rsidRPr="00C91777">
        <w:rPr>
          <w:i/>
          <w:lang w:val="es-ES"/>
        </w:rPr>
        <w:t>b)</w:t>
      </w:r>
      <w:r w:rsidR="00A00859" w:rsidRPr="00C91777">
        <w:rPr>
          <w:i/>
          <w:lang w:val="es-ES"/>
        </w:rPr>
        <w:tab/>
      </w:r>
      <w:r w:rsidRPr="00C91777">
        <w:rPr>
          <w:i/>
          <w:lang w:val="es-ES"/>
        </w:rPr>
        <w:t xml:space="preserve">examinar las recomendaciones formuladas por el Equipo Técnico, como se explica en los párrafos </w:t>
      </w:r>
      <w:r w:rsidR="00A00859" w:rsidRPr="00C91777">
        <w:rPr>
          <w:i/>
          <w:lang w:val="es-ES"/>
        </w:rPr>
        <w:t xml:space="preserve">7 </w:t>
      </w:r>
      <w:r w:rsidRPr="00C91777">
        <w:rPr>
          <w:i/>
          <w:lang w:val="es-ES"/>
        </w:rPr>
        <w:t>y</w:t>
      </w:r>
      <w:r w:rsidR="00A00859" w:rsidRPr="00C91777">
        <w:rPr>
          <w:i/>
          <w:lang w:val="es-ES"/>
        </w:rPr>
        <w:t xml:space="preserve"> 9;</w:t>
      </w:r>
    </w:p>
    <w:p w14:paraId="2BCED011" w14:textId="4DB454EC" w:rsidR="00DA6D94" w:rsidRPr="00C91777" w:rsidRDefault="00202451" w:rsidP="005B2011">
      <w:pPr>
        <w:pStyle w:val="BodyText"/>
        <w:tabs>
          <w:tab w:val="left" w:pos="6160"/>
          <w:tab w:val="left" w:pos="6710"/>
        </w:tabs>
        <w:ind w:left="5530"/>
        <w:rPr>
          <w:i/>
          <w:lang w:val="es-ES"/>
        </w:rPr>
      </w:pPr>
      <w:r w:rsidRPr="00C91777">
        <w:rPr>
          <w:i/>
          <w:lang w:val="es-ES"/>
        </w:rPr>
        <w:tab/>
      </w:r>
      <w:r w:rsidR="00A00859" w:rsidRPr="00C91777">
        <w:rPr>
          <w:i/>
          <w:lang w:val="es-ES"/>
        </w:rPr>
        <w:t>c</w:t>
      </w:r>
      <w:r w:rsidR="006A730D" w:rsidRPr="00C91777">
        <w:rPr>
          <w:i/>
          <w:lang w:val="es-ES"/>
        </w:rPr>
        <w:t>)</w:t>
      </w:r>
      <w:r w:rsidR="006A730D" w:rsidRPr="00C91777">
        <w:rPr>
          <w:i/>
          <w:lang w:val="es-ES"/>
        </w:rPr>
        <w:tab/>
      </w:r>
      <w:r w:rsidR="00C91777" w:rsidRPr="00C91777">
        <w:rPr>
          <w:i/>
          <w:lang w:val="es-ES"/>
        </w:rPr>
        <w:t xml:space="preserve">examinar si </w:t>
      </w:r>
      <w:r w:rsidR="00553FDC" w:rsidRPr="00C91777">
        <w:rPr>
          <w:i/>
          <w:lang w:val="es-ES"/>
        </w:rPr>
        <w:t xml:space="preserve">debería </w:t>
      </w:r>
      <w:r w:rsidR="00DE0003">
        <w:rPr>
          <w:i/>
          <w:lang w:val="es-ES"/>
        </w:rPr>
        <w:t>dar</w:t>
      </w:r>
      <w:r w:rsidR="00EA75EF">
        <w:rPr>
          <w:i/>
          <w:lang w:val="es-ES"/>
        </w:rPr>
        <w:t>se</w:t>
      </w:r>
      <w:r w:rsidR="00DE0003">
        <w:rPr>
          <w:i/>
          <w:lang w:val="es-ES"/>
        </w:rPr>
        <w:t xml:space="preserve"> por concluida</w:t>
      </w:r>
      <w:r w:rsidR="00E605F5">
        <w:rPr>
          <w:i/>
          <w:lang w:val="es-ES"/>
        </w:rPr>
        <w:t xml:space="preserve"> la</w:t>
      </w:r>
      <w:r w:rsidR="00C91777" w:rsidRPr="00C91777">
        <w:rPr>
          <w:i/>
          <w:lang w:val="es-ES"/>
        </w:rPr>
        <w:t xml:space="preserve"> Tarea N.</w:t>
      </w:r>
      <w:r w:rsidR="00553FDC">
        <w:rPr>
          <w:i/>
          <w:lang w:val="es-ES"/>
        </w:rPr>
        <w:t>º</w:t>
      </w:r>
      <w:r w:rsidR="005B2011">
        <w:rPr>
          <w:i/>
          <w:lang w:val="es-ES"/>
        </w:rPr>
        <w:t xml:space="preserve"> </w:t>
      </w:r>
      <w:r w:rsidR="00C91777" w:rsidRPr="00C91777">
        <w:rPr>
          <w:i/>
          <w:lang w:val="es-ES"/>
        </w:rPr>
        <w:t xml:space="preserve">60, una vez </w:t>
      </w:r>
      <w:r w:rsidR="00E605F5">
        <w:rPr>
          <w:i/>
          <w:lang w:val="es-ES"/>
        </w:rPr>
        <w:t>a</w:t>
      </w:r>
      <w:r w:rsidR="00886B30">
        <w:rPr>
          <w:i/>
          <w:lang w:val="es-ES"/>
        </w:rPr>
        <w:t>prob</w:t>
      </w:r>
      <w:r w:rsidR="00E605F5">
        <w:rPr>
          <w:i/>
          <w:lang w:val="es-ES"/>
        </w:rPr>
        <w:t>ada</w:t>
      </w:r>
      <w:r w:rsidR="00C91777" w:rsidRPr="00C91777">
        <w:rPr>
          <w:i/>
          <w:lang w:val="es-ES"/>
        </w:rPr>
        <w:t xml:space="preserve"> la propuesta de revisión de la Norma ST.60 que se reproduce en el documento </w:t>
      </w:r>
      <w:r w:rsidR="0057342C" w:rsidRPr="00C91777">
        <w:rPr>
          <w:i/>
          <w:lang w:val="es-ES"/>
        </w:rPr>
        <w:t>CWS/7/19</w:t>
      </w:r>
      <w:r w:rsidR="00C91777" w:rsidRPr="00C91777">
        <w:rPr>
          <w:i/>
          <w:lang w:val="es-ES"/>
        </w:rPr>
        <w:t>,</w:t>
      </w:r>
      <w:r w:rsidR="000C15B2" w:rsidRPr="00C91777">
        <w:rPr>
          <w:i/>
          <w:lang w:val="es-ES"/>
        </w:rPr>
        <w:t xml:space="preserve"> </w:t>
      </w:r>
      <w:r w:rsidR="00C91777" w:rsidRPr="00C91777">
        <w:rPr>
          <w:i/>
          <w:lang w:val="es-ES"/>
        </w:rPr>
        <w:t>y</w:t>
      </w:r>
    </w:p>
    <w:p w14:paraId="7BD21F1B" w14:textId="2346DE7D" w:rsidR="00DA6D94" w:rsidRPr="00C91777" w:rsidRDefault="00202451" w:rsidP="005B2011">
      <w:pPr>
        <w:pStyle w:val="BodyText"/>
        <w:tabs>
          <w:tab w:val="left" w:pos="6160"/>
          <w:tab w:val="left" w:pos="6710"/>
        </w:tabs>
        <w:spacing w:after="0"/>
        <w:ind w:left="5530"/>
        <w:rPr>
          <w:i/>
          <w:lang w:val="es-ES"/>
        </w:rPr>
      </w:pPr>
      <w:r w:rsidRPr="00C91777">
        <w:rPr>
          <w:i/>
          <w:lang w:val="es-ES"/>
        </w:rPr>
        <w:tab/>
      </w:r>
      <w:r w:rsidR="00A00859" w:rsidRPr="00C91777">
        <w:rPr>
          <w:i/>
          <w:lang w:val="es-ES"/>
        </w:rPr>
        <w:t>d</w:t>
      </w:r>
      <w:r w:rsidR="000C15B2" w:rsidRPr="00C91777">
        <w:rPr>
          <w:i/>
          <w:lang w:val="es-ES"/>
        </w:rPr>
        <w:t>)</w:t>
      </w:r>
      <w:r w:rsidR="000C15B2" w:rsidRPr="00C91777">
        <w:rPr>
          <w:i/>
          <w:lang w:val="es-ES"/>
        </w:rPr>
        <w:tab/>
      </w:r>
      <w:r w:rsidR="00C91777" w:rsidRPr="00C91777">
        <w:rPr>
          <w:i/>
          <w:lang w:val="es-ES"/>
        </w:rPr>
        <w:t xml:space="preserve">aportar información </w:t>
      </w:r>
      <w:r w:rsidR="00553FDC">
        <w:rPr>
          <w:i/>
          <w:lang w:val="es-ES"/>
        </w:rPr>
        <w:t xml:space="preserve">para dilucidar si </w:t>
      </w:r>
      <w:r w:rsidR="00C91777" w:rsidRPr="00C91777">
        <w:rPr>
          <w:i/>
          <w:lang w:val="es-ES"/>
        </w:rPr>
        <w:t xml:space="preserve">el Equipo Técnico debería reanudar </w:t>
      </w:r>
      <w:r w:rsidR="00E605F5">
        <w:rPr>
          <w:i/>
          <w:lang w:val="es-ES"/>
        </w:rPr>
        <w:t>en el presente</w:t>
      </w:r>
      <w:r w:rsidR="00E605F5" w:rsidRPr="00C91777">
        <w:rPr>
          <w:i/>
          <w:lang w:val="es-ES"/>
        </w:rPr>
        <w:t xml:space="preserve"> </w:t>
      </w:r>
      <w:r w:rsidR="00886B30">
        <w:rPr>
          <w:i/>
          <w:lang w:val="es-ES"/>
        </w:rPr>
        <w:t>su</w:t>
      </w:r>
      <w:r w:rsidR="00C91777" w:rsidRPr="00C91777">
        <w:rPr>
          <w:i/>
          <w:lang w:val="es-ES"/>
        </w:rPr>
        <w:t xml:space="preserve"> labor sobre la T</w:t>
      </w:r>
      <w:r w:rsidR="00E605F5">
        <w:rPr>
          <w:i/>
          <w:lang w:val="es-ES"/>
        </w:rPr>
        <w:t>area</w:t>
      </w:r>
      <w:r w:rsidR="00C91777" w:rsidRPr="00C91777">
        <w:rPr>
          <w:i/>
          <w:lang w:val="es-ES"/>
        </w:rPr>
        <w:t xml:space="preserve"> N.º</w:t>
      </w:r>
      <w:r w:rsidR="000C15B2" w:rsidRPr="00C91777">
        <w:rPr>
          <w:i/>
          <w:lang w:val="es-ES"/>
        </w:rPr>
        <w:t xml:space="preserve"> 49</w:t>
      </w:r>
      <w:r w:rsidR="00C91777" w:rsidRPr="00C91777">
        <w:rPr>
          <w:i/>
          <w:lang w:val="es-ES"/>
        </w:rPr>
        <w:t>, como se señala en el párrafo</w:t>
      </w:r>
      <w:r w:rsidR="0066528A" w:rsidRPr="00C91777">
        <w:rPr>
          <w:i/>
          <w:lang w:val="es-ES"/>
        </w:rPr>
        <w:t xml:space="preserve"> 10</w:t>
      </w:r>
      <w:r w:rsidR="000C15B2" w:rsidRPr="00C91777">
        <w:rPr>
          <w:i/>
          <w:lang w:val="es-ES"/>
        </w:rPr>
        <w:t>.</w:t>
      </w:r>
      <w:r w:rsidR="000C15B2" w:rsidRPr="00C91777" w:rsidDel="007D2F23">
        <w:rPr>
          <w:i/>
          <w:lang w:val="es-ES"/>
        </w:rPr>
        <w:t xml:space="preserve"> </w:t>
      </w:r>
    </w:p>
    <w:p w14:paraId="4700589A" w14:textId="77777777" w:rsidR="00DA6D94" w:rsidRPr="00C91777" w:rsidRDefault="00DA6D94" w:rsidP="005B2011">
      <w:pPr>
        <w:pStyle w:val="BodyText"/>
        <w:tabs>
          <w:tab w:val="left" w:pos="6160"/>
          <w:tab w:val="left" w:pos="6710"/>
        </w:tabs>
        <w:spacing w:after="0"/>
        <w:ind w:left="5530"/>
        <w:rPr>
          <w:lang w:val="es-ES"/>
        </w:rPr>
      </w:pPr>
    </w:p>
    <w:p w14:paraId="7353E748" w14:textId="77777777" w:rsidR="00DA6D94" w:rsidRPr="00C91777" w:rsidRDefault="00DA6D94" w:rsidP="005B2011">
      <w:pPr>
        <w:pStyle w:val="BodyText"/>
        <w:tabs>
          <w:tab w:val="left" w:pos="6160"/>
          <w:tab w:val="left" w:pos="6710"/>
        </w:tabs>
        <w:spacing w:after="0"/>
        <w:ind w:left="5530"/>
        <w:rPr>
          <w:lang w:val="es-ES"/>
        </w:rPr>
      </w:pPr>
    </w:p>
    <w:p w14:paraId="4ED0A2A7" w14:textId="60A9427E" w:rsidR="00DA6D94" w:rsidRPr="00C91777" w:rsidRDefault="008B7A90" w:rsidP="005B2011">
      <w:pPr>
        <w:pStyle w:val="BodyText"/>
        <w:tabs>
          <w:tab w:val="left" w:pos="6160"/>
          <w:tab w:val="left" w:pos="6710"/>
        </w:tabs>
        <w:spacing w:after="0"/>
        <w:ind w:left="5530"/>
        <w:rPr>
          <w:lang w:val="es-ES"/>
        </w:rPr>
      </w:pPr>
      <w:r w:rsidRPr="00C91777">
        <w:rPr>
          <w:lang w:val="es-ES"/>
        </w:rPr>
        <w:t>[</w:t>
      </w:r>
      <w:r w:rsidR="00202451" w:rsidRPr="00C91777">
        <w:rPr>
          <w:lang w:val="es-ES"/>
        </w:rPr>
        <w:t>Fin del documento</w:t>
      </w:r>
      <w:r w:rsidRPr="00C91777">
        <w:rPr>
          <w:lang w:val="es-ES"/>
        </w:rPr>
        <w:t>]</w:t>
      </w:r>
    </w:p>
    <w:sectPr w:rsidR="00DA6D94" w:rsidRPr="00C91777" w:rsidSect="003D38D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E31FD" w14:textId="77777777" w:rsidR="003D38D1" w:rsidRDefault="003D38D1">
      <w:r>
        <w:separator/>
      </w:r>
    </w:p>
  </w:endnote>
  <w:endnote w:type="continuationSeparator" w:id="0">
    <w:p w14:paraId="7D6D1405" w14:textId="77777777" w:rsidR="003D38D1" w:rsidRDefault="003D38D1" w:rsidP="003B38C1">
      <w:r>
        <w:separator/>
      </w:r>
    </w:p>
    <w:p w14:paraId="5CA5FF39" w14:textId="77777777" w:rsidR="003D38D1" w:rsidRPr="003B38C1" w:rsidRDefault="003D38D1" w:rsidP="003B38C1">
      <w:pPr>
        <w:spacing w:after="60"/>
        <w:rPr>
          <w:sz w:val="17"/>
        </w:rPr>
      </w:pPr>
      <w:r>
        <w:rPr>
          <w:sz w:val="17"/>
        </w:rPr>
        <w:t>[Endnote continued from previous page]</w:t>
      </w:r>
    </w:p>
  </w:endnote>
  <w:endnote w:type="continuationNotice" w:id="1">
    <w:p w14:paraId="2C48CCAB" w14:textId="77777777" w:rsidR="003D38D1" w:rsidRPr="003B38C1" w:rsidRDefault="003D38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1362" w14:textId="77777777" w:rsidR="003D38D1" w:rsidRDefault="003D38D1">
      <w:r>
        <w:separator/>
      </w:r>
    </w:p>
  </w:footnote>
  <w:footnote w:type="continuationSeparator" w:id="0">
    <w:p w14:paraId="29B5D985" w14:textId="77777777" w:rsidR="003D38D1" w:rsidRDefault="003D38D1" w:rsidP="008B60B2">
      <w:r>
        <w:separator/>
      </w:r>
    </w:p>
    <w:p w14:paraId="406696C9" w14:textId="77777777" w:rsidR="003D38D1" w:rsidRPr="00ED77FB" w:rsidRDefault="003D38D1" w:rsidP="008B60B2">
      <w:pPr>
        <w:spacing w:after="60"/>
        <w:rPr>
          <w:sz w:val="17"/>
          <w:szCs w:val="17"/>
        </w:rPr>
      </w:pPr>
      <w:r w:rsidRPr="00ED77FB">
        <w:rPr>
          <w:sz w:val="17"/>
          <w:szCs w:val="17"/>
        </w:rPr>
        <w:t>[Footnote continued from previous page]</w:t>
      </w:r>
    </w:p>
  </w:footnote>
  <w:footnote w:type="continuationNotice" w:id="1">
    <w:p w14:paraId="13E35094" w14:textId="77777777" w:rsidR="003D38D1" w:rsidRPr="00ED77FB" w:rsidRDefault="003D38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125D" w14:textId="60CB16D5" w:rsidR="00EC4E49" w:rsidRDefault="003D38D1" w:rsidP="00477D6B">
    <w:pPr>
      <w:jc w:val="right"/>
    </w:pPr>
    <w:bookmarkStart w:id="6" w:name="Code2"/>
    <w:bookmarkEnd w:id="6"/>
    <w:r>
      <w:t>CWS/7/18</w:t>
    </w:r>
    <w:r w:rsidR="00886B30">
      <w:t xml:space="preserve"> Corr.</w:t>
    </w:r>
  </w:p>
  <w:p w14:paraId="7B7776FD" w14:textId="692C6397" w:rsidR="00EC4E49" w:rsidRDefault="00DA6D94" w:rsidP="00477D6B">
    <w:pPr>
      <w:jc w:val="right"/>
    </w:pPr>
    <w:proofErr w:type="gramStart"/>
    <w:r>
      <w:t>página</w:t>
    </w:r>
    <w:proofErr w:type="gramEnd"/>
    <w:r w:rsidR="00EC4E49">
      <w:t xml:space="preserve"> </w:t>
    </w:r>
    <w:r w:rsidR="00EC4E49">
      <w:fldChar w:fldCharType="begin"/>
    </w:r>
    <w:r w:rsidR="00EC4E49">
      <w:instrText xml:space="preserve"> PAGE  \* MERGEFORMAT </w:instrText>
    </w:r>
    <w:r w:rsidR="00EC4E49">
      <w:fldChar w:fldCharType="separate"/>
    </w:r>
    <w:r w:rsidR="00B948DD">
      <w:rPr>
        <w:noProof/>
      </w:rPr>
      <w:t>3</w:t>
    </w:r>
    <w:r w:rsidR="00EC4E49">
      <w:fldChar w:fldCharType="end"/>
    </w:r>
  </w:p>
  <w:p w14:paraId="311CB5C2" w14:textId="77777777" w:rsidR="00EC4E49" w:rsidRDefault="00EC4E49" w:rsidP="00477D6B">
    <w:pPr>
      <w:jc w:val="right"/>
    </w:pPr>
  </w:p>
  <w:p w14:paraId="3575920B"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B300ED"/>
    <w:multiLevelType w:val="hybridMultilevel"/>
    <w:tmpl w:val="2D2655E2"/>
    <w:lvl w:ilvl="0" w:tplc="58508978">
      <w:start w:val="1"/>
      <w:numFmt w:val="decimal"/>
      <w:lvlText w:val="%1."/>
      <w:lvlJc w:val="left"/>
      <w:pPr>
        <w:ind w:left="6238" w:hanging="705"/>
      </w:pPr>
      <w:rPr>
        <w:rFonts w:hint="default"/>
      </w:rPr>
    </w:lvl>
    <w:lvl w:ilvl="1" w:tplc="0C0A0019" w:tentative="1">
      <w:start w:val="1"/>
      <w:numFmt w:val="lowerLetter"/>
      <w:lvlText w:val="%2."/>
      <w:lvlJc w:val="left"/>
      <w:pPr>
        <w:ind w:left="6613" w:hanging="360"/>
      </w:pPr>
    </w:lvl>
    <w:lvl w:ilvl="2" w:tplc="0C0A001B" w:tentative="1">
      <w:start w:val="1"/>
      <w:numFmt w:val="lowerRoman"/>
      <w:lvlText w:val="%3."/>
      <w:lvlJc w:val="right"/>
      <w:pPr>
        <w:ind w:left="7333" w:hanging="180"/>
      </w:pPr>
    </w:lvl>
    <w:lvl w:ilvl="3" w:tplc="0C0A000F" w:tentative="1">
      <w:start w:val="1"/>
      <w:numFmt w:val="decimal"/>
      <w:lvlText w:val="%4."/>
      <w:lvlJc w:val="left"/>
      <w:pPr>
        <w:ind w:left="8053" w:hanging="360"/>
      </w:pPr>
    </w:lvl>
    <w:lvl w:ilvl="4" w:tplc="0C0A0019" w:tentative="1">
      <w:start w:val="1"/>
      <w:numFmt w:val="lowerLetter"/>
      <w:lvlText w:val="%5."/>
      <w:lvlJc w:val="left"/>
      <w:pPr>
        <w:ind w:left="8773" w:hanging="360"/>
      </w:pPr>
    </w:lvl>
    <w:lvl w:ilvl="5" w:tplc="0C0A001B" w:tentative="1">
      <w:start w:val="1"/>
      <w:numFmt w:val="lowerRoman"/>
      <w:lvlText w:val="%6."/>
      <w:lvlJc w:val="right"/>
      <w:pPr>
        <w:ind w:left="9493" w:hanging="180"/>
      </w:pPr>
    </w:lvl>
    <w:lvl w:ilvl="6" w:tplc="0C0A000F" w:tentative="1">
      <w:start w:val="1"/>
      <w:numFmt w:val="decimal"/>
      <w:lvlText w:val="%7."/>
      <w:lvlJc w:val="left"/>
      <w:pPr>
        <w:ind w:left="10213" w:hanging="360"/>
      </w:pPr>
    </w:lvl>
    <w:lvl w:ilvl="7" w:tplc="0C0A0019" w:tentative="1">
      <w:start w:val="1"/>
      <w:numFmt w:val="lowerLetter"/>
      <w:lvlText w:val="%8."/>
      <w:lvlJc w:val="left"/>
      <w:pPr>
        <w:ind w:left="10933" w:hanging="360"/>
      </w:pPr>
    </w:lvl>
    <w:lvl w:ilvl="8" w:tplc="0C0A001B" w:tentative="1">
      <w:start w:val="1"/>
      <w:numFmt w:val="lowerRoman"/>
      <w:lvlText w:val="%9."/>
      <w:lvlJc w:val="right"/>
      <w:pPr>
        <w:ind w:left="11653" w:hanging="180"/>
      </w:pPr>
    </w:lvl>
  </w:abstractNum>
  <w:abstractNum w:abstractNumId="2" w15:restartNumberingAfterBreak="0">
    <w:nsid w:val="056E0CFA"/>
    <w:multiLevelType w:val="hybridMultilevel"/>
    <w:tmpl w:val="9A94C4D6"/>
    <w:lvl w:ilvl="0" w:tplc="F9B663D2">
      <w:start w:val="1"/>
      <w:numFmt w:val="lowerLetter"/>
      <w:lvlText w:val="(%1)"/>
      <w:lvlJc w:val="left"/>
      <w:pPr>
        <w:ind w:left="6874" w:hanging="360"/>
      </w:pPr>
      <w:rPr>
        <w:rFonts w:hint="default"/>
        <w:i/>
      </w:rPr>
    </w:lvl>
    <w:lvl w:ilvl="1" w:tplc="04090019" w:tentative="1">
      <w:start w:val="1"/>
      <w:numFmt w:val="lowerLetter"/>
      <w:lvlText w:val="%2."/>
      <w:lvlJc w:val="left"/>
      <w:pPr>
        <w:ind w:left="7594" w:hanging="360"/>
      </w:pPr>
    </w:lvl>
    <w:lvl w:ilvl="2" w:tplc="0409001B" w:tentative="1">
      <w:start w:val="1"/>
      <w:numFmt w:val="lowerRoman"/>
      <w:lvlText w:val="%3."/>
      <w:lvlJc w:val="right"/>
      <w:pPr>
        <w:ind w:left="8314" w:hanging="180"/>
      </w:pPr>
    </w:lvl>
    <w:lvl w:ilvl="3" w:tplc="0409000F" w:tentative="1">
      <w:start w:val="1"/>
      <w:numFmt w:val="decimal"/>
      <w:lvlText w:val="%4."/>
      <w:lvlJc w:val="left"/>
      <w:pPr>
        <w:ind w:left="9034" w:hanging="360"/>
      </w:pPr>
    </w:lvl>
    <w:lvl w:ilvl="4" w:tplc="04090019" w:tentative="1">
      <w:start w:val="1"/>
      <w:numFmt w:val="lowerLetter"/>
      <w:lvlText w:val="%5."/>
      <w:lvlJc w:val="left"/>
      <w:pPr>
        <w:ind w:left="9754" w:hanging="360"/>
      </w:pPr>
    </w:lvl>
    <w:lvl w:ilvl="5" w:tplc="0409001B" w:tentative="1">
      <w:start w:val="1"/>
      <w:numFmt w:val="lowerRoman"/>
      <w:lvlText w:val="%6."/>
      <w:lvlJc w:val="right"/>
      <w:pPr>
        <w:ind w:left="10474" w:hanging="180"/>
      </w:pPr>
    </w:lvl>
    <w:lvl w:ilvl="6" w:tplc="0409000F" w:tentative="1">
      <w:start w:val="1"/>
      <w:numFmt w:val="decimal"/>
      <w:lvlText w:val="%7."/>
      <w:lvlJc w:val="left"/>
      <w:pPr>
        <w:ind w:left="11194" w:hanging="360"/>
      </w:pPr>
    </w:lvl>
    <w:lvl w:ilvl="7" w:tplc="04090019" w:tentative="1">
      <w:start w:val="1"/>
      <w:numFmt w:val="lowerLetter"/>
      <w:lvlText w:val="%8."/>
      <w:lvlJc w:val="left"/>
      <w:pPr>
        <w:ind w:left="11914" w:hanging="360"/>
      </w:pPr>
    </w:lvl>
    <w:lvl w:ilvl="8" w:tplc="0409001B" w:tentative="1">
      <w:start w:val="1"/>
      <w:numFmt w:val="lowerRoman"/>
      <w:lvlText w:val="%9."/>
      <w:lvlJc w:val="right"/>
      <w:pPr>
        <w:ind w:left="12634"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7D7E88"/>
    <w:multiLevelType w:val="hybridMultilevel"/>
    <w:tmpl w:val="4DC02356"/>
    <w:lvl w:ilvl="0" w:tplc="BA6EBC38">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1129D2"/>
    <w:multiLevelType w:val="hybridMultilevel"/>
    <w:tmpl w:val="5E1CDC0A"/>
    <w:lvl w:ilvl="0" w:tplc="BC7672CC">
      <w:start w:val="1"/>
      <w:numFmt w:val="lowerLetter"/>
      <w:lvlText w:val="(%1)"/>
      <w:lvlJc w:val="left"/>
      <w:pPr>
        <w:ind w:left="6703" w:hanging="540"/>
      </w:pPr>
      <w:rPr>
        <w:rFonts w:hint="default"/>
      </w:rPr>
    </w:lvl>
    <w:lvl w:ilvl="1" w:tplc="04070019" w:tentative="1">
      <w:start w:val="1"/>
      <w:numFmt w:val="lowerLetter"/>
      <w:lvlText w:val="%2."/>
      <w:lvlJc w:val="left"/>
      <w:pPr>
        <w:ind w:left="7243" w:hanging="360"/>
      </w:pPr>
    </w:lvl>
    <w:lvl w:ilvl="2" w:tplc="0407001B" w:tentative="1">
      <w:start w:val="1"/>
      <w:numFmt w:val="lowerRoman"/>
      <w:lvlText w:val="%3."/>
      <w:lvlJc w:val="right"/>
      <w:pPr>
        <w:ind w:left="7963" w:hanging="180"/>
      </w:pPr>
    </w:lvl>
    <w:lvl w:ilvl="3" w:tplc="0407000F" w:tentative="1">
      <w:start w:val="1"/>
      <w:numFmt w:val="decimal"/>
      <w:lvlText w:val="%4."/>
      <w:lvlJc w:val="left"/>
      <w:pPr>
        <w:ind w:left="8683" w:hanging="360"/>
      </w:pPr>
    </w:lvl>
    <w:lvl w:ilvl="4" w:tplc="04070019" w:tentative="1">
      <w:start w:val="1"/>
      <w:numFmt w:val="lowerLetter"/>
      <w:lvlText w:val="%5."/>
      <w:lvlJc w:val="left"/>
      <w:pPr>
        <w:ind w:left="9403" w:hanging="360"/>
      </w:pPr>
    </w:lvl>
    <w:lvl w:ilvl="5" w:tplc="0407001B" w:tentative="1">
      <w:start w:val="1"/>
      <w:numFmt w:val="lowerRoman"/>
      <w:lvlText w:val="%6."/>
      <w:lvlJc w:val="right"/>
      <w:pPr>
        <w:ind w:left="10123" w:hanging="180"/>
      </w:pPr>
    </w:lvl>
    <w:lvl w:ilvl="6" w:tplc="0407000F" w:tentative="1">
      <w:start w:val="1"/>
      <w:numFmt w:val="decimal"/>
      <w:lvlText w:val="%7."/>
      <w:lvlJc w:val="left"/>
      <w:pPr>
        <w:ind w:left="10843" w:hanging="360"/>
      </w:pPr>
    </w:lvl>
    <w:lvl w:ilvl="7" w:tplc="04070019" w:tentative="1">
      <w:start w:val="1"/>
      <w:numFmt w:val="lowerLetter"/>
      <w:lvlText w:val="%8."/>
      <w:lvlJc w:val="left"/>
      <w:pPr>
        <w:ind w:left="11563" w:hanging="360"/>
      </w:pPr>
    </w:lvl>
    <w:lvl w:ilvl="8" w:tplc="0407001B" w:tentative="1">
      <w:start w:val="1"/>
      <w:numFmt w:val="lowerRoman"/>
      <w:lvlText w:val="%9."/>
      <w:lvlJc w:val="right"/>
      <w:pPr>
        <w:ind w:left="12283" w:hanging="180"/>
      </w:pPr>
    </w:lvl>
  </w:abstractNum>
  <w:abstractNum w:abstractNumId="6" w15:restartNumberingAfterBreak="0">
    <w:nsid w:val="12FA35B1"/>
    <w:multiLevelType w:val="hybridMultilevel"/>
    <w:tmpl w:val="3B269244"/>
    <w:lvl w:ilvl="0" w:tplc="ECD8C370">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BC1236"/>
    <w:multiLevelType w:val="hybridMultilevel"/>
    <w:tmpl w:val="ABEAD7E4"/>
    <w:lvl w:ilvl="0" w:tplc="51F4922C">
      <w:start w:val="1"/>
      <w:numFmt w:val="decimal"/>
      <w:lvlText w:val="%1."/>
      <w:lvlJc w:val="left"/>
      <w:pPr>
        <w:ind w:left="57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BAC2DEA"/>
    <w:multiLevelType w:val="hybridMultilevel"/>
    <w:tmpl w:val="A8D815CE"/>
    <w:lvl w:ilvl="0" w:tplc="E9EE01F0">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BB629E0"/>
    <w:multiLevelType w:val="hybridMultilevel"/>
    <w:tmpl w:val="B5C868B4"/>
    <w:lvl w:ilvl="0" w:tplc="51F4922C">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2912A89"/>
    <w:multiLevelType w:val="hybridMultilevel"/>
    <w:tmpl w:val="0B4A6EC2"/>
    <w:lvl w:ilvl="0" w:tplc="51F4922C">
      <w:start w:val="1"/>
      <w:numFmt w:val="decimal"/>
      <w:lvlText w:val="%1."/>
      <w:lvlJc w:val="left"/>
      <w:pPr>
        <w:ind w:left="57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90A7785"/>
    <w:multiLevelType w:val="hybridMultilevel"/>
    <w:tmpl w:val="B5B42BEC"/>
    <w:lvl w:ilvl="0" w:tplc="552CF618">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2E1CAF"/>
    <w:multiLevelType w:val="hybridMultilevel"/>
    <w:tmpl w:val="63FC20D8"/>
    <w:lvl w:ilvl="0" w:tplc="34EE142C">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D52F13"/>
    <w:multiLevelType w:val="hybridMultilevel"/>
    <w:tmpl w:val="15584958"/>
    <w:lvl w:ilvl="0" w:tplc="31607AA8">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BC77CBB"/>
    <w:multiLevelType w:val="hybridMultilevel"/>
    <w:tmpl w:val="B59000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8C2693"/>
    <w:multiLevelType w:val="hybridMultilevel"/>
    <w:tmpl w:val="3B78CF9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8"/>
  </w:num>
  <w:num w:numId="2">
    <w:abstractNumId w:val="14"/>
  </w:num>
  <w:num w:numId="3">
    <w:abstractNumId w:val="0"/>
  </w:num>
  <w:num w:numId="4">
    <w:abstractNumId w:val="15"/>
  </w:num>
  <w:num w:numId="5">
    <w:abstractNumId w:val="3"/>
  </w:num>
  <w:num w:numId="6">
    <w:abstractNumId w:val="9"/>
  </w:num>
  <w:num w:numId="7">
    <w:abstractNumId w:val="19"/>
  </w:num>
  <w:num w:numId="8">
    <w:abstractNumId w:val="2"/>
  </w:num>
  <w:num w:numId="9">
    <w:abstractNumId w:val="5"/>
  </w:num>
  <w:num w:numId="10">
    <w:abstractNumId w:val="18"/>
  </w:num>
  <w:num w:numId="11">
    <w:abstractNumId w:val="11"/>
  </w:num>
  <w:num w:numId="12">
    <w:abstractNumId w:val="10"/>
  </w:num>
  <w:num w:numId="13">
    <w:abstractNumId w:val="12"/>
  </w:num>
  <w:num w:numId="14">
    <w:abstractNumId w:val="16"/>
  </w:num>
  <w:num w:numId="15">
    <w:abstractNumId w:val="4"/>
  </w:num>
  <w:num w:numId="16">
    <w:abstractNumId w:val="7"/>
  </w:num>
  <w:num w:numId="17">
    <w:abstractNumId w:val="6"/>
  </w:num>
  <w:num w:numId="18">
    <w:abstractNumId w:val="13"/>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Patents &amp; Innovation\P Instruments|TextBase TMs\WorkspaceSTS\Patents &amp; Innovation\Patents Main|TextBase TMs\WorkspaceSTS\Patents &amp; Innovation\P Instruments|TextBase TMs\WorkspaceSTS\Patents &amp; Innovation\Patents Main|Team Server TMs\Spanish|TextBase TMs\WorkspaceSTS\Patents &amp; Innovation\P Instruments|TextBase TMs\WorkspaceSTS\Patents &amp; Innovation\Patents Main|Team Server TMs\Spanish"/>
    <w:docVar w:name="TextBaseURL" w:val="empty"/>
    <w:docVar w:name="UILng" w:val="en"/>
  </w:docVars>
  <w:rsids>
    <w:rsidRoot w:val="003D38D1"/>
    <w:rsid w:val="0000628A"/>
    <w:rsid w:val="00026165"/>
    <w:rsid w:val="00043CAA"/>
    <w:rsid w:val="000700ED"/>
    <w:rsid w:val="00075432"/>
    <w:rsid w:val="00084C62"/>
    <w:rsid w:val="000968ED"/>
    <w:rsid w:val="000B4A3D"/>
    <w:rsid w:val="000B745D"/>
    <w:rsid w:val="000C15B2"/>
    <w:rsid w:val="000F5E56"/>
    <w:rsid w:val="00102538"/>
    <w:rsid w:val="00113AB2"/>
    <w:rsid w:val="001250EB"/>
    <w:rsid w:val="001362EE"/>
    <w:rsid w:val="00152BC8"/>
    <w:rsid w:val="001647D5"/>
    <w:rsid w:val="001832A6"/>
    <w:rsid w:val="001B45EF"/>
    <w:rsid w:val="001F7115"/>
    <w:rsid w:val="00202451"/>
    <w:rsid w:val="00202D9A"/>
    <w:rsid w:val="00203E9C"/>
    <w:rsid w:val="0021217E"/>
    <w:rsid w:val="00251D90"/>
    <w:rsid w:val="00262793"/>
    <w:rsid w:val="002634C4"/>
    <w:rsid w:val="00267103"/>
    <w:rsid w:val="00290AA7"/>
    <w:rsid w:val="002928D3"/>
    <w:rsid w:val="002A129A"/>
    <w:rsid w:val="002C0383"/>
    <w:rsid w:val="002E1F5C"/>
    <w:rsid w:val="002F1FE6"/>
    <w:rsid w:val="002F4E68"/>
    <w:rsid w:val="00310193"/>
    <w:rsid w:val="00312F7F"/>
    <w:rsid w:val="0035121A"/>
    <w:rsid w:val="00361450"/>
    <w:rsid w:val="003673CF"/>
    <w:rsid w:val="003845C1"/>
    <w:rsid w:val="003A6F89"/>
    <w:rsid w:val="003B38C1"/>
    <w:rsid w:val="003D38D1"/>
    <w:rsid w:val="003E5BD5"/>
    <w:rsid w:val="00400FA2"/>
    <w:rsid w:val="00423E3E"/>
    <w:rsid w:val="00427AF4"/>
    <w:rsid w:val="004623E5"/>
    <w:rsid w:val="004647DA"/>
    <w:rsid w:val="00474062"/>
    <w:rsid w:val="00474AAE"/>
    <w:rsid w:val="00475DAA"/>
    <w:rsid w:val="00477D6B"/>
    <w:rsid w:val="004B46B0"/>
    <w:rsid w:val="004E5E8D"/>
    <w:rsid w:val="005019FF"/>
    <w:rsid w:val="0053057A"/>
    <w:rsid w:val="00542840"/>
    <w:rsid w:val="00550A59"/>
    <w:rsid w:val="00553FDC"/>
    <w:rsid w:val="00560A29"/>
    <w:rsid w:val="005636C4"/>
    <w:rsid w:val="0057342C"/>
    <w:rsid w:val="00577AE2"/>
    <w:rsid w:val="005B2011"/>
    <w:rsid w:val="005C6649"/>
    <w:rsid w:val="005E592B"/>
    <w:rsid w:val="00605827"/>
    <w:rsid w:val="006440D2"/>
    <w:rsid w:val="00646050"/>
    <w:rsid w:val="0066528A"/>
    <w:rsid w:val="006713CA"/>
    <w:rsid w:val="00672803"/>
    <w:rsid w:val="00676C5C"/>
    <w:rsid w:val="006A729C"/>
    <w:rsid w:val="006A730D"/>
    <w:rsid w:val="006D433B"/>
    <w:rsid w:val="006D5603"/>
    <w:rsid w:val="00702E20"/>
    <w:rsid w:val="00727242"/>
    <w:rsid w:val="0073577B"/>
    <w:rsid w:val="00743339"/>
    <w:rsid w:val="00755194"/>
    <w:rsid w:val="00760871"/>
    <w:rsid w:val="007942FA"/>
    <w:rsid w:val="007C5C0E"/>
    <w:rsid w:val="007D1613"/>
    <w:rsid w:val="007D165E"/>
    <w:rsid w:val="007D2F23"/>
    <w:rsid w:val="007E4C0E"/>
    <w:rsid w:val="00886B30"/>
    <w:rsid w:val="008A134B"/>
    <w:rsid w:val="008B2CC1"/>
    <w:rsid w:val="008B60B2"/>
    <w:rsid w:val="008B7A90"/>
    <w:rsid w:val="009017C6"/>
    <w:rsid w:val="0090731E"/>
    <w:rsid w:val="00915A3B"/>
    <w:rsid w:val="00916EE2"/>
    <w:rsid w:val="009223AE"/>
    <w:rsid w:val="00944986"/>
    <w:rsid w:val="00953B0E"/>
    <w:rsid w:val="00966A22"/>
    <w:rsid w:val="0096722F"/>
    <w:rsid w:val="00980843"/>
    <w:rsid w:val="009A403E"/>
    <w:rsid w:val="009C7DB0"/>
    <w:rsid w:val="009D7D73"/>
    <w:rsid w:val="009E2791"/>
    <w:rsid w:val="009E3F6F"/>
    <w:rsid w:val="009F3B09"/>
    <w:rsid w:val="009F499F"/>
    <w:rsid w:val="00A00859"/>
    <w:rsid w:val="00A13E26"/>
    <w:rsid w:val="00A24A8B"/>
    <w:rsid w:val="00A37342"/>
    <w:rsid w:val="00A42DAF"/>
    <w:rsid w:val="00A45BD8"/>
    <w:rsid w:val="00A50A61"/>
    <w:rsid w:val="00A85F0A"/>
    <w:rsid w:val="00A869B7"/>
    <w:rsid w:val="00A912B6"/>
    <w:rsid w:val="00AC205C"/>
    <w:rsid w:val="00AF0A6B"/>
    <w:rsid w:val="00B05A69"/>
    <w:rsid w:val="00B948DD"/>
    <w:rsid w:val="00B9734B"/>
    <w:rsid w:val="00BA30E2"/>
    <w:rsid w:val="00BA6E2A"/>
    <w:rsid w:val="00BD4B9D"/>
    <w:rsid w:val="00BE5B3B"/>
    <w:rsid w:val="00BF1BFB"/>
    <w:rsid w:val="00C0065B"/>
    <w:rsid w:val="00C11BFE"/>
    <w:rsid w:val="00C5068F"/>
    <w:rsid w:val="00C86D74"/>
    <w:rsid w:val="00C91777"/>
    <w:rsid w:val="00C91F6F"/>
    <w:rsid w:val="00C95C3D"/>
    <w:rsid w:val="00CC2F83"/>
    <w:rsid w:val="00CD04F1"/>
    <w:rsid w:val="00CD1F3D"/>
    <w:rsid w:val="00CD59F2"/>
    <w:rsid w:val="00CE67A6"/>
    <w:rsid w:val="00D0587F"/>
    <w:rsid w:val="00D3124F"/>
    <w:rsid w:val="00D45252"/>
    <w:rsid w:val="00D71B4D"/>
    <w:rsid w:val="00D93D55"/>
    <w:rsid w:val="00DA082D"/>
    <w:rsid w:val="00DA6D94"/>
    <w:rsid w:val="00DE0003"/>
    <w:rsid w:val="00DE636B"/>
    <w:rsid w:val="00DF0AE4"/>
    <w:rsid w:val="00DF0D8D"/>
    <w:rsid w:val="00E1219A"/>
    <w:rsid w:val="00E12894"/>
    <w:rsid w:val="00E15015"/>
    <w:rsid w:val="00E335FE"/>
    <w:rsid w:val="00E605F5"/>
    <w:rsid w:val="00E61F61"/>
    <w:rsid w:val="00E8686D"/>
    <w:rsid w:val="00EA75EF"/>
    <w:rsid w:val="00EA7D6E"/>
    <w:rsid w:val="00EC4E49"/>
    <w:rsid w:val="00ED1152"/>
    <w:rsid w:val="00ED77FB"/>
    <w:rsid w:val="00EE45FA"/>
    <w:rsid w:val="00F03D93"/>
    <w:rsid w:val="00F052A0"/>
    <w:rsid w:val="00F31B0F"/>
    <w:rsid w:val="00F31C35"/>
    <w:rsid w:val="00F54864"/>
    <w:rsid w:val="00F66152"/>
    <w:rsid w:val="00F7727E"/>
    <w:rsid w:val="00F97156"/>
    <w:rsid w:val="00FB5EA8"/>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46F1CE1A"/>
  <w15:docId w15:val="{C4654D81-3005-4E29-AF9A-DD295F20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3D38D1"/>
    <w:rPr>
      <w:sz w:val="16"/>
      <w:szCs w:val="16"/>
    </w:rPr>
  </w:style>
  <w:style w:type="paragraph" w:styleId="CommentSubject">
    <w:name w:val="annotation subject"/>
    <w:basedOn w:val="CommentText"/>
    <w:next w:val="CommentText"/>
    <w:link w:val="CommentSubjectChar"/>
    <w:semiHidden/>
    <w:unhideWhenUsed/>
    <w:rsid w:val="003D38D1"/>
    <w:rPr>
      <w:b/>
      <w:bCs/>
      <w:sz w:val="20"/>
    </w:rPr>
  </w:style>
  <w:style w:type="character" w:customStyle="1" w:styleId="CommentTextChar">
    <w:name w:val="Comment Text Char"/>
    <w:basedOn w:val="DefaultParagraphFont"/>
    <w:link w:val="CommentText"/>
    <w:semiHidden/>
    <w:rsid w:val="003D38D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D38D1"/>
    <w:rPr>
      <w:rFonts w:ascii="Arial" w:eastAsia="SimSun" w:hAnsi="Arial" w:cs="Arial"/>
      <w:b/>
      <w:bCs/>
      <w:sz w:val="18"/>
      <w:lang w:val="en-US" w:eastAsia="zh-CN"/>
    </w:rPr>
  </w:style>
  <w:style w:type="character" w:customStyle="1" w:styleId="ONUMEChar">
    <w:name w:val="ONUM E Char"/>
    <w:link w:val="ONUME"/>
    <w:rsid w:val="003D38D1"/>
    <w:rPr>
      <w:rFonts w:ascii="Arial" w:eastAsia="SimSun" w:hAnsi="Arial" w:cs="Arial"/>
      <w:sz w:val="22"/>
      <w:lang w:val="en-US" w:eastAsia="zh-CN"/>
    </w:rPr>
  </w:style>
  <w:style w:type="paragraph" w:styleId="ListParagraph">
    <w:name w:val="List Paragraph"/>
    <w:basedOn w:val="Normal"/>
    <w:uiPriority w:val="34"/>
    <w:qFormat/>
    <w:rsid w:val="003D38D1"/>
    <w:pPr>
      <w:ind w:left="720"/>
      <w:contextualSpacing/>
    </w:pPr>
  </w:style>
  <w:style w:type="character" w:customStyle="1" w:styleId="BodyTextChar">
    <w:name w:val="Body Text Char"/>
    <w:basedOn w:val="DefaultParagraphFont"/>
    <w:link w:val="BodyText"/>
    <w:rsid w:val="003D38D1"/>
    <w:rPr>
      <w:rFonts w:ascii="Arial" w:eastAsia="SimSun" w:hAnsi="Arial" w:cs="Arial"/>
      <w:sz w:val="22"/>
      <w:lang w:val="en-US" w:eastAsia="zh-CN"/>
    </w:rPr>
  </w:style>
  <w:style w:type="paragraph" w:customStyle="1" w:styleId="TrowF">
    <w:name w:val="TrowF"/>
    <w:basedOn w:val="Normal"/>
    <w:rsid w:val="00475DAA"/>
    <w:pPr>
      <w:spacing w:before="60"/>
    </w:pPr>
    <w:rPr>
      <w:rFonts w:eastAsia="Times New Roman" w:cs="Times New Roman"/>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239FA-0C30-4A3C-901E-5C5870ED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3</Pages>
  <Words>1042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CWS/7/18 CORR. (in Spanish)</vt:lpstr>
    </vt:vector>
  </TitlesOfParts>
  <Company>WIPO</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CWS/7/18 CORR. (in Spanish)</dc:title>
  <dc:subject>INFORME SOBRE LA TAREA N.º 60 </dc:subject>
  <dc:creator>WIPO</dc:creator>
  <cp:keywords>CWS, WIPO</cp:keywords>
  <dc:description/>
  <cp:lastModifiedBy>DRAKE Sophie</cp:lastModifiedBy>
  <cp:revision>8</cp:revision>
  <cp:lastPrinted>2019-05-23T12:22:00Z</cp:lastPrinted>
  <dcterms:created xsi:type="dcterms:W3CDTF">2019-05-23T13:03:00Z</dcterms:created>
  <dcterms:modified xsi:type="dcterms:W3CDTF">2019-06-13T10:02:00Z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