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55EB8" w:rsidRPr="00855EB8" w:rsidTr="0088395E">
        <w:tc>
          <w:tcPr>
            <w:tcW w:w="4513" w:type="dxa"/>
            <w:tcBorders>
              <w:bottom w:val="single" w:sz="4" w:space="0" w:color="auto"/>
            </w:tcBorders>
            <w:tcMar>
              <w:bottom w:w="170" w:type="dxa"/>
            </w:tcMar>
          </w:tcPr>
          <w:p w:rsidR="00E504E5" w:rsidRPr="00855EB8" w:rsidRDefault="00E504E5" w:rsidP="00AB613D">
            <w:pPr>
              <w:rPr>
                <w:lang w:val="es-419"/>
              </w:rPr>
            </w:pPr>
          </w:p>
        </w:tc>
        <w:tc>
          <w:tcPr>
            <w:tcW w:w="4337" w:type="dxa"/>
            <w:tcBorders>
              <w:bottom w:val="single" w:sz="4" w:space="0" w:color="auto"/>
            </w:tcBorders>
            <w:tcMar>
              <w:left w:w="0" w:type="dxa"/>
              <w:right w:w="0" w:type="dxa"/>
            </w:tcMar>
          </w:tcPr>
          <w:p w:rsidR="00E504E5" w:rsidRPr="00855EB8" w:rsidRDefault="002C2E2F" w:rsidP="00AB613D">
            <w:pPr>
              <w:rPr>
                <w:lang w:val="es-419"/>
              </w:rPr>
            </w:pPr>
            <w:r w:rsidRPr="00855EB8">
              <w:rPr>
                <w:noProof/>
                <w:lang w:val="de-DE" w:eastAsia="de-DE"/>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55EB8" w:rsidRDefault="00E504E5" w:rsidP="00AB613D">
            <w:pPr>
              <w:jc w:val="right"/>
              <w:rPr>
                <w:lang w:val="es-419"/>
              </w:rPr>
            </w:pPr>
            <w:r w:rsidRPr="00855EB8">
              <w:rPr>
                <w:b/>
                <w:sz w:val="40"/>
                <w:szCs w:val="40"/>
                <w:lang w:val="es-419"/>
              </w:rPr>
              <w:t>S</w:t>
            </w:r>
          </w:p>
        </w:tc>
      </w:tr>
      <w:tr w:rsidR="00855EB8" w:rsidRPr="00855EB8"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855EB8" w:rsidRDefault="002A7006" w:rsidP="00AB613D">
            <w:pPr>
              <w:jc w:val="right"/>
              <w:rPr>
                <w:rFonts w:ascii="Arial Black" w:hAnsi="Arial Black"/>
                <w:caps/>
                <w:sz w:val="15"/>
                <w:lang w:val="es-419"/>
              </w:rPr>
            </w:pPr>
            <w:r w:rsidRPr="00855EB8">
              <w:rPr>
                <w:rFonts w:ascii="Arial Black" w:hAnsi="Arial Black"/>
                <w:caps/>
                <w:sz w:val="15"/>
                <w:lang w:val="es-419"/>
              </w:rPr>
              <w:t>CWS/7</w:t>
            </w:r>
            <w:r w:rsidR="00B8095C" w:rsidRPr="00855EB8">
              <w:rPr>
                <w:rFonts w:ascii="Arial Black" w:hAnsi="Arial Black"/>
                <w:caps/>
                <w:sz w:val="15"/>
                <w:lang w:val="es-419"/>
              </w:rPr>
              <w:t>/</w:t>
            </w:r>
            <w:bookmarkStart w:id="0" w:name="Code"/>
            <w:bookmarkEnd w:id="0"/>
            <w:r w:rsidR="008C0B73" w:rsidRPr="00855EB8">
              <w:rPr>
                <w:rFonts w:ascii="Arial Black" w:hAnsi="Arial Black"/>
                <w:caps/>
                <w:sz w:val="15"/>
                <w:lang w:val="es-419"/>
              </w:rPr>
              <w:t>17</w:t>
            </w:r>
          </w:p>
        </w:tc>
      </w:tr>
      <w:tr w:rsidR="00855EB8" w:rsidRPr="00855EB8" w:rsidTr="00AB613D">
        <w:trPr>
          <w:trHeight w:hRule="exact" w:val="170"/>
        </w:trPr>
        <w:tc>
          <w:tcPr>
            <w:tcW w:w="9356" w:type="dxa"/>
            <w:gridSpan w:val="3"/>
            <w:noWrap/>
            <w:tcMar>
              <w:left w:w="0" w:type="dxa"/>
              <w:right w:w="0" w:type="dxa"/>
            </w:tcMar>
            <w:vAlign w:val="bottom"/>
          </w:tcPr>
          <w:p w:rsidR="008B2CC1" w:rsidRPr="00855EB8" w:rsidRDefault="008B2CC1" w:rsidP="003C1546">
            <w:pPr>
              <w:jc w:val="right"/>
              <w:rPr>
                <w:rFonts w:ascii="Arial Black" w:hAnsi="Arial Black"/>
                <w:caps/>
                <w:sz w:val="15"/>
                <w:lang w:val="es-419"/>
              </w:rPr>
            </w:pPr>
            <w:r w:rsidRPr="00855EB8">
              <w:rPr>
                <w:rFonts w:ascii="Arial Black" w:hAnsi="Arial Black"/>
                <w:caps/>
                <w:sz w:val="15"/>
                <w:lang w:val="es-419"/>
              </w:rPr>
              <w:t>ORIGINAL:</w:t>
            </w:r>
            <w:r w:rsidR="009A20CD" w:rsidRPr="00855EB8">
              <w:rPr>
                <w:rFonts w:ascii="Arial Black" w:hAnsi="Arial Black"/>
                <w:caps/>
                <w:sz w:val="15"/>
                <w:lang w:val="es-419"/>
              </w:rPr>
              <w:t xml:space="preserve"> </w:t>
            </w:r>
            <w:bookmarkStart w:id="1" w:name="Original"/>
            <w:bookmarkEnd w:id="1"/>
            <w:r w:rsidR="008C0B73" w:rsidRPr="00855EB8">
              <w:rPr>
                <w:rFonts w:ascii="Arial Black" w:hAnsi="Arial Black"/>
                <w:caps/>
                <w:sz w:val="15"/>
                <w:lang w:val="es-419"/>
              </w:rPr>
              <w:t>Inglés</w:t>
            </w:r>
            <w:r w:rsidRPr="00855EB8">
              <w:rPr>
                <w:rFonts w:ascii="Arial Black" w:hAnsi="Arial Black"/>
                <w:caps/>
                <w:sz w:val="15"/>
                <w:lang w:val="es-419"/>
              </w:rPr>
              <w:t xml:space="preserve"> </w:t>
            </w:r>
          </w:p>
        </w:tc>
      </w:tr>
      <w:tr w:rsidR="008B2CC1" w:rsidRPr="00855EB8" w:rsidTr="00AB613D">
        <w:trPr>
          <w:trHeight w:hRule="exact" w:val="198"/>
        </w:trPr>
        <w:tc>
          <w:tcPr>
            <w:tcW w:w="9356" w:type="dxa"/>
            <w:gridSpan w:val="3"/>
            <w:tcMar>
              <w:left w:w="0" w:type="dxa"/>
              <w:right w:w="0" w:type="dxa"/>
            </w:tcMar>
            <w:vAlign w:val="bottom"/>
          </w:tcPr>
          <w:p w:rsidR="008B2CC1" w:rsidRPr="00855EB8" w:rsidRDefault="00675021" w:rsidP="0046793F">
            <w:pPr>
              <w:jc w:val="right"/>
              <w:rPr>
                <w:rFonts w:ascii="Arial Black" w:hAnsi="Arial Black"/>
                <w:caps/>
                <w:sz w:val="15"/>
                <w:lang w:val="es-419"/>
              </w:rPr>
            </w:pPr>
            <w:r w:rsidRPr="00855EB8">
              <w:rPr>
                <w:rFonts w:ascii="Arial Black" w:hAnsi="Arial Black"/>
                <w:caps/>
                <w:sz w:val="15"/>
                <w:lang w:val="es-419"/>
              </w:rPr>
              <w:t>fecha</w:t>
            </w:r>
            <w:r w:rsidR="008B2CC1" w:rsidRPr="00855EB8">
              <w:rPr>
                <w:rFonts w:ascii="Arial Black" w:hAnsi="Arial Black"/>
                <w:caps/>
                <w:sz w:val="15"/>
                <w:lang w:val="es-419"/>
              </w:rPr>
              <w:t>:</w:t>
            </w:r>
            <w:r w:rsidR="009A20CD" w:rsidRPr="00855EB8">
              <w:rPr>
                <w:rFonts w:ascii="Arial Black" w:hAnsi="Arial Black"/>
                <w:caps/>
                <w:sz w:val="15"/>
                <w:lang w:val="es-419"/>
              </w:rPr>
              <w:t xml:space="preserve"> </w:t>
            </w:r>
            <w:bookmarkStart w:id="2" w:name="Date"/>
            <w:bookmarkEnd w:id="2"/>
            <w:r w:rsidR="008C0B73" w:rsidRPr="00855EB8">
              <w:rPr>
                <w:rFonts w:ascii="Arial Black" w:hAnsi="Arial Black"/>
                <w:caps/>
                <w:sz w:val="15"/>
                <w:lang w:val="es-419"/>
              </w:rPr>
              <w:t>16 de mayo de 2019</w:t>
            </w:r>
            <w:r w:rsidR="008B2CC1" w:rsidRPr="00855EB8">
              <w:rPr>
                <w:rFonts w:ascii="Arial Black" w:hAnsi="Arial Black"/>
                <w:caps/>
                <w:sz w:val="15"/>
                <w:lang w:val="es-419"/>
              </w:rPr>
              <w:t xml:space="preserve"> </w:t>
            </w:r>
          </w:p>
        </w:tc>
      </w:tr>
    </w:tbl>
    <w:p w:rsidR="003C1546" w:rsidRPr="00855EB8" w:rsidRDefault="003C1546" w:rsidP="008B2CC1">
      <w:pPr>
        <w:rPr>
          <w:lang w:val="es-419"/>
        </w:rPr>
      </w:pPr>
    </w:p>
    <w:p w:rsidR="003C1546" w:rsidRPr="00855EB8" w:rsidRDefault="003C1546" w:rsidP="008B2CC1">
      <w:pPr>
        <w:rPr>
          <w:lang w:val="es-419"/>
        </w:rPr>
      </w:pPr>
    </w:p>
    <w:p w:rsidR="003C1546" w:rsidRPr="00855EB8" w:rsidRDefault="003C1546" w:rsidP="008B2CC1">
      <w:pPr>
        <w:rPr>
          <w:lang w:val="es-419"/>
        </w:rPr>
      </w:pPr>
    </w:p>
    <w:p w:rsidR="003C1546" w:rsidRPr="00855EB8" w:rsidRDefault="003C1546" w:rsidP="008B2CC1">
      <w:pPr>
        <w:rPr>
          <w:lang w:val="es-419"/>
        </w:rPr>
      </w:pPr>
    </w:p>
    <w:p w:rsidR="003C1546" w:rsidRPr="00855EB8" w:rsidRDefault="003C1546" w:rsidP="008B2CC1">
      <w:pPr>
        <w:rPr>
          <w:lang w:val="es-419"/>
        </w:rPr>
      </w:pPr>
    </w:p>
    <w:p w:rsidR="003C1546" w:rsidRPr="00855EB8" w:rsidRDefault="00B8095C" w:rsidP="00B67CDC">
      <w:pPr>
        <w:rPr>
          <w:b/>
          <w:sz w:val="28"/>
          <w:szCs w:val="28"/>
          <w:lang w:val="es-419"/>
        </w:rPr>
      </w:pPr>
      <w:r w:rsidRPr="00855EB8">
        <w:rPr>
          <w:b/>
          <w:sz w:val="28"/>
          <w:szCs w:val="28"/>
          <w:lang w:val="es-419"/>
        </w:rPr>
        <w:t>Comité de Normas Técnicas de la OMPI (CWS)</w:t>
      </w:r>
    </w:p>
    <w:p w:rsidR="003C1546" w:rsidRPr="00855EB8" w:rsidRDefault="003C1546" w:rsidP="003845C1">
      <w:pPr>
        <w:rPr>
          <w:lang w:val="es-419"/>
        </w:rPr>
      </w:pPr>
    </w:p>
    <w:p w:rsidR="003C1546" w:rsidRPr="00855EB8" w:rsidRDefault="003C1546" w:rsidP="003845C1">
      <w:pPr>
        <w:rPr>
          <w:lang w:val="es-419"/>
        </w:rPr>
      </w:pPr>
    </w:p>
    <w:p w:rsidR="003C1546" w:rsidRPr="00855EB8" w:rsidRDefault="002A7006" w:rsidP="00B8095C">
      <w:pPr>
        <w:rPr>
          <w:b/>
          <w:sz w:val="24"/>
          <w:szCs w:val="24"/>
          <w:lang w:val="es-419"/>
        </w:rPr>
      </w:pPr>
      <w:r w:rsidRPr="00855EB8">
        <w:rPr>
          <w:b/>
          <w:sz w:val="24"/>
          <w:szCs w:val="24"/>
          <w:lang w:val="es-419"/>
        </w:rPr>
        <w:t>Séptima</w:t>
      </w:r>
      <w:r w:rsidR="00B8095C" w:rsidRPr="00855EB8">
        <w:rPr>
          <w:b/>
          <w:sz w:val="24"/>
          <w:szCs w:val="24"/>
          <w:lang w:val="es-419"/>
        </w:rPr>
        <w:t xml:space="preserve"> sesión</w:t>
      </w:r>
    </w:p>
    <w:p w:rsidR="003C1546" w:rsidRPr="00855EB8" w:rsidRDefault="002A7006" w:rsidP="00B8095C">
      <w:pPr>
        <w:rPr>
          <w:b/>
          <w:sz w:val="24"/>
          <w:szCs w:val="24"/>
          <w:lang w:val="es-419"/>
        </w:rPr>
      </w:pPr>
      <w:r w:rsidRPr="00855EB8">
        <w:rPr>
          <w:b/>
          <w:sz w:val="24"/>
          <w:szCs w:val="24"/>
          <w:lang w:val="es-419"/>
        </w:rPr>
        <w:t xml:space="preserve">Ginebra, 1 </w:t>
      </w:r>
      <w:r w:rsidR="002D7E2D" w:rsidRPr="00855EB8">
        <w:rPr>
          <w:b/>
          <w:sz w:val="24"/>
          <w:szCs w:val="24"/>
          <w:lang w:val="es-419"/>
        </w:rPr>
        <w:t>a</w:t>
      </w:r>
      <w:r w:rsidRPr="00855EB8">
        <w:rPr>
          <w:b/>
          <w:sz w:val="24"/>
          <w:szCs w:val="24"/>
          <w:lang w:val="es-419"/>
        </w:rPr>
        <w:t xml:space="preserve"> 5 de julio de 2019</w:t>
      </w:r>
    </w:p>
    <w:p w:rsidR="003C1546" w:rsidRPr="00855EB8" w:rsidRDefault="003C1546" w:rsidP="008B2CC1">
      <w:pPr>
        <w:rPr>
          <w:lang w:val="es-419"/>
        </w:rPr>
      </w:pPr>
    </w:p>
    <w:p w:rsidR="003C1546" w:rsidRPr="00855EB8" w:rsidRDefault="003C1546" w:rsidP="008B2CC1">
      <w:pPr>
        <w:rPr>
          <w:lang w:val="es-419"/>
        </w:rPr>
      </w:pPr>
    </w:p>
    <w:p w:rsidR="003C1546" w:rsidRPr="00855EB8" w:rsidRDefault="003C1546" w:rsidP="008B2CC1">
      <w:pPr>
        <w:rPr>
          <w:lang w:val="es-419"/>
        </w:rPr>
      </w:pPr>
    </w:p>
    <w:p w:rsidR="003C1546" w:rsidRPr="00855EB8" w:rsidRDefault="008C0B73" w:rsidP="008B2CC1">
      <w:pPr>
        <w:rPr>
          <w:caps/>
          <w:sz w:val="24"/>
          <w:lang w:val="es-419"/>
        </w:rPr>
      </w:pPr>
      <w:bookmarkStart w:id="3" w:name="TitleOfDoc"/>
      <w:bookmarkStart w:id="4" w:name="_GoBack"/>
      <w:bookmarkEnd w:id="3"/>
      <w:r w:rsidRPr="00855EB8">
        <w:rPr>
          <w:caps/>
          <w:sz w:val="24"/>
          <w:lang w:val="es-419"/>
        </w:rPr>
        <w:t>REVISIÓN DE LA NORMA ST.37 DE LA OMPI</w:t>
      </w:r>
    </w:p>
    <w:bookmarkEnd w:id="4"/>
    <w:p w:rsidR="003C1546" w:rsidRPr="00855EB8" w:rsidRDefault="003C1546" w:rsidP="008B2CC1">
      <w:pPr>
        <w:rPr>
          <w:lang w:val="es-419"/>
        </w:rPr>
      </w:pPr>
    </w:p>
    <w:p w:rsidR="003C1546" w:rsidRPr="00855EB8" w:rsidRDefault="008C0B73" w:rsidP="008B2CC1">
      <w:pPr>
        <w:rPr>
          <w:i/>
          <w:lang w:val="es-419"/>
        </w:rPr>
      </w:pPr>
      <w:bookmarkStart w:id="5" w:name="Prepared"/>
      <w:bookmarkEnd w:id="5"/>
      <w:r w:rsidRPr="00855EB8">
        <w:rPr>
          <w:i/>
          <w:lang w:val="es-419"/>
        </w:rPr>
        <w:t>Documento preparado por la Oficina Internacional</w:t>
      </w:r>
    </w:p>
    <w:p w:rsidR="003C1546" w:rsidRPr="00855EB8" w:rsidRDefault="003C1546" w:rsidP="003845C1">
      <w:pPr>
        <w:rPr>
          <w:lang w:val="es-419"/>
        </w:rPr>
      </w:pPr>
    </w:p>
    <w:p w:rsidR="003C1546" w:rsidRPr="00855EB8" w:rsidRDefault="003C1546">
      <w:pPr>
        <w:rPr>
          <w:lang w:val="es-419"/>
        </w:rPr>
      </w:pPr>
    </w:p>
    <w:p w:rsidR="003C1546" w:rsidRPr="00855EB8" w:rsidRDefault="003C1546">
      <w:pPr>
        <w:rPr>
          <w:lang w:val="es-419"/>
        </w:rPr>
      </w:pPr>
    </w:p>
    <w:p w:rsidR="003C1546" w:rsidRDefault="003C1546">
      <w:pPr>
        <w:rPr>
          <w:lang w:val="es-419"/>
        </w:rPr>
      </w:pPr>
    </w:p>
    <w:p w:rsidR="00A21B15" w:rsidRPr="00855EB8" w:rsidRDefault="00A21B15">
      <w:pPr>
        <w:rPr>
          <w:lang w:val="es-419"/>
        </w:rPr>
      </w:pPr>
    </w:p>
    <w:p w:rsidR="003C1546" w:rsidRPr="00855EB8" w:rsidRDefault="00185EE9" w:rsidP="001E7125">
      <w:pPr>
        <w:pStyle w:val="Heading2"/>
        <w:spacing w:before="0" w:after="0"/>
        <w:rPr>
          <w:caps w:val="0"/>
          <w:szCs w:val="22"/>
          <w:lang w:val="es-419"/>
        </w:rPr>
      </w:pPr>
      <w:r w:rsidRPr="00855EB8">
        <w:rPr>
          <w:caps w:val="0"/>
          <w:szCs w:val="22"/>
          <w:lang w:val="es-419"/>
        </w:rPr>
        <w:t>INTRODUCCIÓN</w:t>
      </w:r>
    </w:p>
    <w:p w:rsidR="003C1546" w:rsidRPr="00855EB8" w:rsidRDefault="008C0B73" w:rsidP="003C1546">
      <w:pPr>
        <w:spacing w:after="220"/>
        <w:rPr>
          <w:lang w:val="es-419"/>
        </w:rPr>
      </w:pPr>
      <w:r w:rsidRPr="00855EB8">
        <w:rPr>
          <w:lang w:val="es-419"/>
        </w:rPr>
        <w:fldChar w:fldCharType="begin"/>
      </w:r>
      <w:r w:rsidRPr="00855EB8">
        <w:rPr>
          <w:lang w:val="es-419"/>
        </w:rPr>
        <w:instrText xml:space="preserve"> AUTONUM  </w:instrText>
      </w:r>
      <w:r w:rsidRPr="00855EB8">
        <w:rPr>
          <w:lang w:val="es-419"/>
        </w:rPr>
        <w:fldChar w:fldCharType="end"/>
      </w:r>
      <w:r w:rsidRPr="00855EB8">
        <w:rPr>
          <w:lang w:val="es-419"/>
        </w:rPr>
        <w:tab/>
      </w:r>
      <w:r w:rsidR="003C1546" w:rsidRPr="00855EB8">
        <w:rPr>
          <w:lang w:val="es-419"/>
        </w:rPr>
        <w:t>En su quinta sesión, celebrada en 2017, el Comité de Normas Técnicas de la OMPI (CWS) adoptó</w:t>
      </w:r>
      <w:r w:rsidR="00185EE9" w:rsidRPr="00855EB8">
        <w:rPr>
          <w:lang w:val="es-419"/>
        </w:rPr>
        <w:t>, en relación con la Norma ST.37 de la OMPI,</w:t>
      </w:r>
      <w:r w:rsidR="003C1546" w:rsidRPr="00855EB8">
        <w:rPr>
          <w:lang w:val="es-419"/>
        </w:rPr>
        <w:t xml:space="preserve"> una </w:t>
      </w:r>
      <w:r w:rsidR="003C1546" w:rsidRPr="00855EB8">
        <w:rPr>
          <w:i/>
          <w:lang w:val="es-419"/>
        </w:rPr>
        <w:t>"Recomendación relativa a los ficheros de referencia de documentos de patente publicados"</w:t>
      </w:r>
      <w:r w:rsidR="003C1546" w:rsidRPr="00855EB8">
        <w:rPr>
          <w:lang w:val="es-419"/>
        </w:rPr>
        <w:t>, con la siguiente Nota Editorial de la Oficina Internacional:</w:t>
      </w:r>
    </w:p>
    <w:p w:rsidR="003C1546" w:rsidRPr="00855EB8" w:rsidRDefault="00185EE9" w:rsidP="003C1546">
      <w:pPr>
        <w:spacing w:after="220"/>
        <w:ind w:left="567"/>
        <w:rPr>
          <w:lang w:val="es-419"/>
        </w:rPr>
      </w:pPr>
      <w:r w:rsidRPr="00855EB8">
        <w:rPr>
          <w:lang w:val="es-419"/>
        </w:rPr>
        <w:t>“</w:t>
      </w:r>
      <w:r w:rsidR="003C1546" w:rsidRPr="00855EB8">
        <w:rPr>
          <w:lang w:val="es-419"/>
        </w:rPr>
        <w:t>El Equipo Técnico del Fichero de Referencia está actualmente elaborando los Anexos III y IV de la presente norma en los que se define el esquema XML (XSD) y la definición de tipos de datos (DTD)</w:t>
      </w:r>
      <w:r w:rsidRPr="00855EB8">
        <w:rPr>
          <w:lang w:val="es-419"/>
        </w:rPr>
        <w:t>,</w:t>
      </w:r>
      <w:r w:rsidR="003C1546" w:rsidRPr="00855EB8">
        <w:rPr>
          <w:lang w:val="es-419"/>
        </w:rPr>
        <w:t xml:space="preserve"> respectivamente. Está previsto que sean presentados para su examen y aprobación por el Comité sobre Normas Técnicas de la OMPI (CWS) en su sexta sesión en 2018.</w:t>
      </w:r>
      <w:r w:rsidR="002A70AD">
        <w:rPr>
          <w:lang w:val="es-419"/>
        </w:rPr>
        <w:t>”</w:t>
      </w:r>
    </w:p>
    <w:p w:rsidR="003C1546" w:rsidRPr="00855EB8" w:rsidRDefault="002A70AD" w:rsidP="003C1546">
      <w:pPr>
        <w:spacing w:after="220"/>
        <w:ind w:left="567"/>
        <w:rPr>
          <w:lang w:val="es-419"/>
        </w:rPr>
      </w:pPr>
      <w:r>
        <w:rPr>
          <w:lang w:val="es-419"/>
        </w:rPr>
        <w:t>“</w:t>
      </w:r>
      <w:r w:rsidR="003C1546" w:rsidRPr="00855EB8">
        <w:rPr>
          <w:lang w:val="es-419"/>
        </w:rPr>
        <w:t>Hasta que el CWS apruebe dichos Anexos, el único formato recomendado para los fines de esta norma técnica es el formato texto.”</w:t>
      </w:r>
    </w:p>
    <w:p w:rsidR="003C1546" w:rsidRPr="00855EB8" w:rsidRDefault="003C1546" w:rsidP="003C1546">
      <w:pPr>
        <w:spacing w:after="220"/>
        <w:rPr>
          <w:lang w:val="es-419"/>
        </w:rPr>
      </w:pPr>
      <w:r w:rsidRPr="00855EB8">
        <w:rPr>
          <w:lang w:val="es-419"/>
        </w:rPr>
        <w:t xml:space="preserve">(Véanse los párrafos 60 </w:t>
      </w:r>
      <w:r w:rsidR="00DF67CE" w:rsidRPr="00855EB8">
        <w:rPr>
          <w:lang w:val="es-419"/>
        </w:rPr>
        <w:t>y</w:t>
      </w:r>
      <w:r w:rsidRPr="00855EB8">
        <w:rPr>
          <w:lang w:val="es-419"/>
        </w:rPr>
        <w:t xml:space="preserve"> 61 del documento CWS/5/22.)</w:t>
      </w:r>
    </w:p>
    <w:p w:rsidR="003C1546" w:rsidRPr="00855EB8" w:rsidRDefault="008C0B73" w:rsidP="003C1546">
      <w:pPr>
        <w:pStyle w:val="ONUME"/>
        <w:numPr>
          <w:ilvl w:val="0"/>
          <w:numId w:val="0"/>
        </w:numPr>
        <w:rPr>
          <w:szCs w:val="22"/>
          <w:lang w:val="es-419"/>
        </w:rPr>
      </w:pPr>
      <w:r w:rsidRPr="00855EB8">
        <w:rPr>
          <w:szCs w:val="22"/>
          <w:lang w:val="es-419"/>
        </w:rPr>
        <w:fldChar w:fldCharType="begin"/>
      </w:r>
      <w:r w:rsidRPr="00855EB8">
        <w:rPr>
          <w:szCs w:val="22"/>
          <w:lang w:val="es-419"/>
        </w:rPr>
        <w:instrText xml:space="preserve"> AUTONUM  </w:instrText>
      </w:r>
      <w:r w:rsidRPr="00855EB8">
        <w:rPr>
          <w:szCs w:val="22"/>
          <w:lang w:val="es-419"/>
        </w:rPr>
        <w:fldChar w:fldCharType="end"/>
      </w:r>
      <w:r w:rsidRPr="00855EB8">
        <w:rPr>
          <w:szCs w:val="22"/>
          <w:lang w:val="es-419"/>
        </w:rPr>
        <w:tab/>
      </w:r>
      <w:r w:rsidR="003C1546" w:rsidRPr="00855EB8">
        <w:rPr>
          <w:szCs w:val="22"/>
          <w:lang w:val="es-419"/>
        </w:rPr>
        <w:t>En su sexta sesión, celebrada en 2018, el CWS aprobó la Norma ST.37 de la OMPI revisada</w:t>
      </w:r>
      <w:r w:rsidR="00FD6444" w:rsidRPr="00855EB8">
        <w:rPr>
          <w:szCs w:val="22"/>
          <w:lang w:val="es-419"/>
        </w:rPr>
        <w:t>, a partir</w:t>
      </w:r>
      <w:r w:rsidR="003C1546" w:rsidRPr="00855EB8">
        <w:rPr>
          <w:szCs w:val="22"/>
          <w:lang w:val="es-419"/>
        </w:rPr>
        <w:t xml:space="preserve"> de la propuesta del Equipo Técnico del Fichero de Referencia, que incluye</w:t>
      </w:r>
      <w:r w:rsidR="006F42AC" w:rsidRPr="00855EB8">
        <w:rPr>
          <w:szCs w:val="22"/>
          <w:lang w:val="es-419"/>
        </w:rPr>
        <w:t xml:space="preserve"> los</w:t>
      </w:r>
      <w:r w:rsidR="003C1546" w:rsidRPr="00855EB8">
        <w:rPr>
          <w:szCs w:val="22"/>
          <w:lang w:val="es-419"/>
        </w:rPr>
        <w:t xml:space="preserve"> nuevo</w:t>
      </w:r>
      <w:r w:rsidR="006F42AC" w:rsidRPr="00855EB8">
        <w:rPr>
          <w:szCs w:val="22"/>
          <w:lang w:val="es-419"/>
        </w:rPr>
        <w:t>s</w:t>
      </w:r>
      <w:r w:rsidR="003C1546" w:rsidRPr="00855EB8">
        <w:rPr>
          <w:szCs w:val="22"/>
          <w:lang w:val="es-419"/>
        </w:rPr>
        <w:t xml:space="preserve"> Anexo III – XSD y Anexo IV</w:t>
      </w:r>
      <w:r w:rsidR="006F42AC" w:rsidRPr="00855EB8">
        <w:rPr>
          <w:szCs w:val="22"/>
          <w:lang w:val="es-419"/>
        </w:rPr>
        <w:t xml:space="preserve"> – </w:t>
      </w:r>
      <w:r w:rsidR="003C1546" w:rsidRPr="00855EB8">
        <w:rPr>
          <w:szCs w:val="22"/>
          <w:lang w:val="es-419"/>
        </w:rPr>
        <w:t>DTD (véanse el do</w:t>
      </w:r>
      <w:r w:rsidR="006F42AC" w:rsidRPr="00855EB8">
        <w:rPr>
          <w:szCs w:val="22"/>
          <w:lang w:val="es-419"/>
        </w:rPr>
        <w:t>cumento CWS/6/19 y los párrafos </w:t>
      </w:r>
      <w:r w:rsidR="003C1546" w:rsidRPr="00855EB8">
        <w:rPr>
          <w:szCs w:val="22"/>
          <w:lang w:val="es-419"/>
        </w:rPr>
        <w:t>122 y 123 del documento CWS/6/34).</w:t>
      </w:r>
      <w:r w:rsidR="006F42AC" w:rsidRPr="00855EB8">
        <w:rPr>
          <w:szCs w:val="22"/>
          <w:lang w:val="es-419"/>
        </w:rPr>
        <w:t xml:space="preserve"> </w:t>
      </w:r>
      <w:r w:rsidR="003C1546" w:rsidRPr="00855EB8">
        <w:rPr>
          <w:szCs w:val="22"/>
          <w:lang w:val="es-419"/>
        </w:rPr>
        <w:t>A raíz de la aprobación por el CWS de esas revisiones, y d</w:t>
      </w:r>
      <w:r w:rsidR="00FF4B2C" w:rsidRPr="00855EB8">
        <w:rPr>
          <w:szCs w:val="22"/>
          <w:lang w:val="es-419"/>
        </w:rPr>
        <w:t>e los nuevos Anexos propuestos,</w:t>
      </w:r>
      <w:r w:rsidR="003C1546" w:rsidRPr="00855EB8">
        <w:rPr>
          <w:szCs w:val="22"/>
          <w:lang w:val="es-419"/>
        </w:rPr>
        <w:t xml:space="preserve"> se actualizó </w:t>
      </w:r>
      <w:r w:rsidR="00FF4B2C" w:rsidRPr="00855EB8">
        <w:rPr>
          <w:szCs w:val="22"/>
          <w:lang w:val="es-419"/>
        </w:rPr>
        <w:t xml:space="preserve">en la sexta sesión </w:t>
      </w:r>
      <w:r w:rsidR="003C1546" w:rsidRPr="00855EB8">
        <w:rPr>
          <w:szCs w:val="22"/>
          <w:lang w:val="es-419"/>
        </w:rPr>
        <w:t>la descripción de la Tarea Nº 51 para que guardara relación directa con la gestión de la Norma (véase el documento CWS/6/18).</w:t>
      </w:r>
    </w:p>
    <w:p w:rsidR="003C1546" w:rsidRPr="00855EB8" w:rsidRDefault="008C0B73" w:rsidP="003C1546">
      <w:pPr>
        <w:spacing w:after="220"/>
        <w:rPr>
          <w:szCs w:val="22"/>
          <w:lang w:val="es-419"/>
        </w:rPr>
      </w:pPr>
      <w:r w:rsidRPr="00855EB8">
        <w:rPr>
          <w:szCs w:val="22"/>
          <w:lang w:val="es-419"/>
        </w:rPr>
        <w:lastRenderedPageBreak/>
        <w:fldChar w:fldCharType="begin"/>
      </w:r>
      <w:r w:rsidRPr="00855EB8">
        <w:rPr>
          <w:szCs w:val="22"/>
          <w:lang w:val="es-419"/>
        </w:rPr>
        <w:instrText xml:space="preserve"> AUTONUM  </w:instrText>
      </w:r>
      <w:r w:rsidRPr="00855EB8">
        <w:rPr>
          <w:szCs w:val="22"/>
          <w:lang w:val="es-419"/>
        </w:rPr>
        <w:fldChar w:fldCharType="end"/>
      </w:r>
      <w:r w:rsidRPr="00855EB8">
        <w:rPr>
          <w:szCs w:val="22"/>
          <w:lang w:val="es-419"/>
        </w:rPr>
        <w:tab/>
      </w:r>
      <w:r w:rsidR="003C1546" w:rsidRPr="00855EB8">
        <w:rPr>
          <w:szCs w:val="22"/>
          <w:lang w:val="es-419"/>
        </w:rPr>
        <w:t xml:space="preserve">En su sexta sesión, celebrada en 2018, el CWS aprobó también la supresión de la </w:t>
      </w:r>
      <w:r w:rsidR="00C0364C" w:rsidRPr="00855EB8">
        <w:rPr>
          <w:szCs w:val="22"/>
          <w:lang w:val="es-419"/>
        </w:rPr>
        <w:t>“</w:t>
      </w:r>
      <w:r w:rsidR="003C1546" w:rsidRPr="00855EB8">
        <w:rPr>
          <w:szCs w:val="22"/>
          <w:lang w:val="es-419"/>
        </w:rPr>
        <w:t>Nota Editorial de la Oficina Internacional</w:t>
      </w:r>
      <w:r w:rsidR="00C0364C" w:rsidRPr="00855EB8">
        <w:rPr>
          <w:szCs w:val="22"/>
          <w:lang w:val="es-419"/>
        </w:rPr>
        <w:t>”</w:t>
      </w:r>
      <w:r w:rsidR="003C1546" w:rsidRPr="00855EB8">
        <w:rPr>
          <w:szCs w:val="22"/>
          <w:lang w:val="es-419"/>
        </w:rPr>
        <w:t xml:space="preserve"> y la descripci</w:t>
      </w:r>
      <w:r w:rsidR="00C0364C" w:rsidRPr="00855EB8">
        <w:rPr>
          <w:szCs w:val="22"/>
          <w:lang w:val="es-419"/>
        </w:rPr>
        <w:t>ón revisada de la Tarea Nº 51: “</w:t>
      </w:r>
      <w:r w:rsidR="003C1546" w:rsidRPr="00855EB8">
        <w:rPr>
          <w:szCs w:val="22"/>
          <w:lang w:val="es-419"/>
        </w:rPr>
        <w:t xml:space="preserve">Garantizar las necesarias revisiones y actualizaciones de la Norma ST.37 de la </w:t>
      </w:r>
      <w:r w:rsidR="00C0364C" w:rsidRPr="00855EB8">
        <w:rPr>
          <w:szCs w:val="22"/>
          <w:lang w:val="es-419"/>
        </w:rPr>
        <w:t>OMPI”</w:t>
      </w:r>
      <w:r w:rsidR="003C1546" w:rsidRPr="00855EB8">
        <w:rPr>
          <w:szCs w:val="22"/>
          <w:lang w:val="es-419"/>
        </w:rPr>
        <w:t>.</w:t>
      </w:r>
    </w:p>
    <w:p w:rsidR="003C1546" w:rsidRPr="00855EB8" w:rsidRDefault="00A21B15" w:rsidP="001E7125">
      <w:pPr>
        <w:pStyle w:val="Heading2"/>
        <w:spacing w:before="0" w:after="0"/>
        <w:rPr>
          <w:lang w:val="es-419"/>
        </w:rPr>
      </w:pPr>
      <w:r w:rsidRPr="00855EB8">
        <w:rPr>
          <w:caps w:val="0"/>
          <w:lang w:val="es-419"/>
        </w:rPr>
        <w:t>RESUMEN DE LA REVISIÓN PROPUESTA</w:t>
      </w:r>
    </w:p>
    <w:p w:rsidR="003C1546" w:rsidRPr="00855EB8" w:rsidRDefault="008C0B73" w:rsidP="003C1546">
      <w:pPr>
        <w:spacing w:after="220"/>
        <w:rPr>
          <w:szCs w:val="22"/>
          <w:lang w:val="es-419"/>
        </w:rPr>
      </w:pPr>
      <w:r w:rsidRPr="00855EB8">
        <w:rPr>
          <w:szCs w:val="22"/>
          <w:lang w:val="es-419"/>
        </w:rPr>
        <w:fldChar w:fldCharType="begin"/>
      </w:r>
      <w:r w:rsidRPr="00855EB8">
        <w:rPr>
          <w:szCs w:val="22"/>
          <w:lang w:val="es-419"/>
        </w:rPr>
        <w:instrText xml:space="preserve"> AUTONUM  </w:instrText>
      </w:r>
      <w:r w:rsidRPr="00855EB8">
        <w:rPr>
          <w:szCs w:val="22"/>
          <w:lang w:val="es-419"/>
        </w:rPr>
        <w:fldChar w:fldCharType="end"/>
      </w:r>
      <w:r w:rsidRPr="00855EB8">
        <w:rPr>
          <w:szCs w:val="22"/>
          <w:lang w:val="es-419"/>
        </w:rPr>
        <w:tab/>
      </w:r>
      <w:r w:rsidR="003C1546" w:rsidRPr="00855EB8">
        <w:rPr>
          <w:szCs w:val="22"/>
          <w:lang w:val="es-419"/>
        </w:rPr>
        <w:t>En el marco de la Tarea Nº 51, la Oficina Internacional, en consulta con los miembros del Equipo Técnico del Fichero de Referencia, ha preparado una propuesta de revisión de la Norma ST.37 de la OMPI. Los cambios propuestos se resumen a continuación.</w:t>
      </w:r>
      <w:r w:rsidRPr="00855EB8">
        <w:rPr>
          <w:szCs w:val="22"/>
          <w:lang w:val="es-419"/>
        </w:rPr>
        <w:t xml:space="preserve"> </w:t>
      </w:r>
      <w:r w:rsidR="003C1546" w:rsidRPr="00855EB8">
        <w:rPr>
          <w:szCs w:val="22"/>
          <w:lang w:val="es-419"/>
        </w:rPr>
        <w:t>En el Anexo del presente documento figuran más detalles al respecto.</w:t>
      </w:r>
    </w:p>
    <w:p w:rsidR="003C1546" w:rsidRPr="00855EB8" w:rsidRDefault="008C0B73" w:rsidP="003C1546">
      <w:pPr>
        <w:spacing w:after="240"/>
        <w:rPr>
          <w:szCs w:val="22"/>
          <w:lang w:val="es-419"/>
        </w:rPr>
      </w:pPr>
      <w:r w:rsidRPr="00855EB8">
        <w:rPr>
          <w:szCs w:val="22"/>
          <w:lang w:val="es-419"/>
        </w:rPr>
        <w:fldChar w:fldCharType="begin"/>
      </w:r>
      <w:r w:rsidRPr="00855EB8">
        <w:rPr>
          <w:szCs w:val="22"/>
          <w:lang w:val="es-419"/>
        </w:rPr>
        <w:instrText xml:space="preserve"> AUTONUM  </w:instrText>
      </w:r>
      <w:r w:rsidRPr="00855EB8">
        <w:rPr>
          <w:szCs w:val="22"/>
          <w:lang w:val="es-419"/>
        </w:rPr>
        <w:fldChar w:fldCharType="end"/>
      </w:r>
      <w:r w:rsidRPr="00855EB8">
        <w:rPr>
          <w:szCs w:val="22"/>
          <w:lang w:val="es-419"/>
        </w:rPr>
        <w:tab/>
      </w:r>
      <w:r w:rsidR="003C1546" w:rsidRPr="00855EB8">
        <w:rPr>
          <w:szCs w:val="22"/>
          <w:lang w:val="es-419"/>
        </w:rPr>
        <w:t xml:space="preserve">Los cambios </w:t>
      </w:r>
      <w:r w:rsidR="00C0364C" w:rsidRPr="00855EB8">
        <w:rPr>
          <w:szCs w:val="22"/>
          <w:lang w:val="es-419"/>
        </w:rPr>
        <w:t>que se propone introducir</w:t>
      </w:r>
      <w:r w:rsidR="003C1546" w:rsidRPr="00855EB8">
        <w:rPr>
          <w:szCs w:val="22"/>
          <w:lang w:val="es-419"/>
        </w:rPr>
        <w:t xml:space="preserve"> en la Norma ST.37 de la OMPI pueden resumirse de la manera siguiente:</w:t>
      </w:r>
    </w:p>
    <w:p w:rsidR="003C1546" w:rsidRPr="00855EB8" w:rsidRDefault="00CE1A30" w:rsidP="003C1546">
      <w:pPr>
        <w:pStyle w:val="Signature"/>
        <w:numPr>
          <w:ilvl w:val="0"/>
          <w:numId w:val="7"/>
        </w:numPr>
        <w:spacing w:after="120"/>
        <w:ind w:left="567" w:firstLine="0"/>
        <w:rPr>
          <w:rFonts w:eastAsia="Times New Roman"/>
          <w:lang w:val="es-419" w:eastAsia="en-US"/>
        </w:rPr>
      </w:pPr>
      <w:r w:rsidRPr="00855EB8">
        <w:rPr>
          <w:rFonts w:eastAsia="Times New Roman"/>
          <w:lang w:val="es-419" w:eastAsia="en-US"/>
        </w:rPr>
        <w:t xml:space="preserve">modificar </w:t>
      </w:r>
      <w:r w:rsidR="003C1546" w:rsidRPr="00855EB8">
        <w:rPr>
          <w:rFonts w:eastAsia="Times New Roman"/>
          <w:lang w:val="es-419" w:eastAsia="en-US"/>
        </w:rPr>
        <w:t>el párrafo 9</w:t>
      </w:r>
      <w:r w:rsidR="00C0364C" w:rsidRPr="00855EB8">
        <w:rPr>
          <w:rFonts w:eastAsia="Times New Roman"/>
          <w:lang w:val="es-419" w:eastAsia="en-US"/>
        </w:rPr>
        <w:t>.</w:t>
      </w:r>
      <w:r w:rsidR="003C1546" w:rsidRPr="00855EB8">
        <w:rPr>
          <w:rFonts w:eastAsia="Times New Roman"/>
          <w:lang w:val="es-419" w:eastAsia="en-US"/>
        </w:rPr>
        <w:t xml:space="preserve">c) del cuerpo principal de la Norma ST.37 de la OMPI para eliminar la referencia al código de tipo de documento en </w:t>
      </w:r>
      <w:r w:rsidR="00C0364C" w:rsidRPr="00855EB8">
        <w:rPr>
          <w:rFonts w:eastAsia="Times New Roman"/>
          <w:lang w:val="es-419" w:eastAsia="en-US"/>
        </w:rPr>
        <w:t>relación con e</w:t>
      </w:r>
      <w:r w:rsidR="003C1546" w:rsidRPr="00855EB8">
        <w:rPr>
          <w:rFonts w:eastAsia="Times New Roman"/>
          <w:lang w:val="es-419" w:eastAsia="en-US"/>
        </w:rPr>
        <w:t>l elemento de identificación de la solicitud.</w:t>
      </w:r>
      <w:r w:rsidR="008C0B73" w:rsidRPr="00855EB8">
        <w:rPr>
          <w:rFonts w:eastAsia="Times New Roman"/>
          <w:lang w:val="es-419" w:eastAsia="en-US"/>
        </w:rPr>
        <w:t xml:space="preserve"> </w:t>
      </w:r>
      <w:r w:rsidR="003C1546" w:rsidRPr="00855EB8">
        <w:rPr>
          <w:rFonts w:eastAsia="Times New Roman"/>
          <w:lang w:val="es-419" w:eastAsia="en-US"/>
        </w:rPr>
        <w:t>E</w:t>
      </w:r>
      <w:r w:rsidR="00255E9A" w:rsidRPr="00855EB8">
        <w:rPr>
          <w:rFonts w:eastAsia="Times New Roman"/>
          <w:lang w:val="es-419" w:eastAsia="en-US"/>
        </w:rPr>
        <w:t>llo sirve para aclarar</w:t>
      </w:r>
      <w:r w:rsidR="003C1546" w:rsidRPr="00855EB8">
        <w:rPr>
          <w:rFonts w:eastAsia="Times New Roman"/>
          <w:lang w:val="es-419" w:eastAsia="en-US"/>
        </w:rPr>
        <w:t xml:space="preserve"> que el código de tipo para este elemento es</w:t>
      </w:r>
      <w:r w:rsidR="00255E9A" w:rsidRPr="00855EB8">
        <w:rPr>
          <w:rFonts w:eastAsia="Times New Roman"/>
          <w:lang w:val="es-419" w:eastAsia="en-US"/>
        </w:rPr>
        <w:t>, en realidad,</w:t>
      </w:r>
      <w:r w:rsidR="003C1546" w:rsidRPr="00855EB8">
        <w:rPr>
          <w:rFonts w:eastAsia="Times New Roman"/>
          <w:lang w:val="es-419" w:eastAsia="en-US"/>
        </w:rPr>
        <w:t xml:space="preserve"> facultativo.</w:t>
      </w:r>
      <w:r w:rsidR="00255E9A" w:rsidRPr="00855EB8">
        <w:rPr>
          <w:rFonts w:eastAsia="Times New Roman"/>
          <w:lang w:val="es-419" w:eastAsia="en-US"/>
        </w:rPr>
        <w:t xml:space="preserve"> </w:t>
      </w:r>
      <w:r w:rsidR="003C1546" w:rsidRPr="00855EB8">
        <w:rPr>
          <w:rFonts w:eastAsia="Times New Roman"/>
          <w:lang w:val="es-419" w:eastAsia="en-US"/>
        </w:rPr>
        <w:t>E</w:t>
      </w:r>
      <w:r w:rsidR="00255E9A" w:rsidRPr="00855EB8">
        <w:rPr>
          <w:rFonts w:eastAsia="Times New Roman"/>
          <w:lang w:val="es-419" w:eastAsia="en-US"/>
        </w:rPr>
        <w:t>n consecuencia, e</w:t>
      </w:r>
      <w:r w:rsidR="003C1546" w:rsidRPr="00855EB8">
        <w:rPr>
          <w:rFonts w:eastAsia="Times New Roman"/>
          <w:lang w:val="es-419" w:eastAsia="en-US"/>
        </w:rPr>
        <w:t xml:space="preserve">l nuevo </w:t>
      </w:r>
      <w:r w:rsidR="00255E9A" w:rsidRPr="00855EB8">
        <w:rPr>
          <w:rFonts w:eastAsia="Times New Roman"/>
          <w:lang w:val="es-419" w:eastAsia="en-US"/>
        </w:rPr>
        <w:t>texto</w:t>
      </w:r>
      <w:r w:rsidR="002A70AD">
        <w:rPr>
          <w:rFonts w:eastAsia="Times New Roman"/>
          <w:lang w:val="es-419" w:eastAsia="en-US"/>
        </w:rPr>
        <w:t>,</w:t>
      </w:r>
      <w:r w:rsidR="00255E9A" w:rsidRPr="00855EB8">
        <w:rPr>
          <w:rFonts w:eastAsia="Times New Roman"/>
          <w:lang w:val="es-419" w:eastAsia="en-US"/>
        </w:rPr>
        <w:t xml:space="preserve"> </w:t>
      </w:r>
      <w:r w:rsidR="002A70AD" w:rsidRPr="00855EB8">
        <w:rPr>
          <w:rFonts w:eastAsia="Times New Roman"/>
          <w:lang w:val="es-419" w:eastAsia="en-US"/>
        </w:rPr>
        <w:t>modificado</w:t>
      </w:r>
      <w:r w:rsidR="002A70AD">
        <w:rPr>
          <w:rFonts w:eastAsia="Times New Roman"/>
          <w:lang w:val="es-419" w:eastAsia="en-US"/>
        </w:rPr>
        <w:t>,</w:t>
      </w:r>
      <w:r w:rsidR="002A70AD" w:rsidRPr="00855EB8">
        <w:rPr>
          <w:rFonts w:eastAsia="Times New Roman"/>
          <w:lang w:val="es-419" w:eastAsia="en-US"/>
        </w:rPr>
        <w:t xml:space="preserve"> </w:t>
      </w:r>
      <w:r w:rsidR="00255E9A" w:rsidRPr="00855EB8">
        <w:rPr>
          <w:rFonts w:eastAsia="Times New Roman"/>
          <w:lang w:val="es-419" w:eastAsia="en-US"/>
        </w:rPr>
        <w:t xml:space="preserve">del </w:t>
      </w:r>
      <w:r w:rsidR="003C1546" w:rsidRPr="00855EB8">
        <w:rPr>
          <w:rFonts w:eastAsia="Times New Roman"/>
          <w:lang w:val="es-419" w:eastAsia="en-US"/>
        </w:rPr>
        <w:t xml:space="preserve">apartado c) del párrafo 9 de la Norma ST.37 de la OMPI </w:t>
      </w:r>
      <w:r w:rsidR="00255E9A" w:rsidRPr="00855EB8">
        <w:rPr>
          <w:rFonts w:eastAsia="Times New Roman"/>
          <w:lang w:val="es-419" w:eastAsia="en-US"/>
        </w:rPr>
        <w:t>se</w:t>
      </w:r>
      <w:r w:rsidR="003C1546" w:rsidRPr="00855EB8">
        <w:rPr>
          <w:rFonts w:eastAsia="Times New Roman"/>
          <w:lang w:val="es-419" w:eastAsia="en-US"/>
        </w:rPr>
        <w:t>ría</w:t>
      </w:r>
      <w:r w:rsidR="00255E9A" w:rsidRPr="00855EB8">
        <w:rPr>
          <w:rFonts w:eastAsia="Times New Roman"/>
          <w:lang w:val="es-419" w:eastAsia="en-US"/>
        </w:rPr>
        <w:t xml:space="preserve"> el siguiente</w:t>
      </w:r>
      <w:r w:rsidR="003C1546" w:rsidRPr="00855EB8">
        <w:rPr>
          <w:rFonts w:eastAsia="Times New Roman"/>
          <w:lang w:val="es-419" w:eastAsia="en-US"/>
        </w:rPr>
        <w:t>:</w:t>
      </w:r>
    </w:p>
    <w:p w:rsidR="003C1546" w:rsidRPr="00855EB8" w:rsidRDefault="00255E9A" w:rsidP="003C1546">
      <w:pPr>
        <w:spacing w:after="220"/>
        <w:ind w:left="1138"/>
        <w:rPr>
          <w:szCs w:val="22"/>
          <w:lang w:val="es-419"/>
        </w:rPr>
      </w:pPr>
      <w:r w:rsidRPr="00855EB8">
        <w:rPr>
          <w:szCs w:val="22"/>
          <w:lang w:val="es-419"/>
        </w:rPr>
        <w:t>9.c) identificación de la solicitud de la correspondiente publicación, que deberá incluir los subelementos siguientes</w:t>
      </w:r>
      <w:r w:rsidR="003C1546" w:rsidRPr="00855EB8">
        <w:rPr>
          <w:szCs w:val="22"/>
          <w:lang w:val="es-419"/>
        </w:rPr>
        <w:t>:</w:t>
      </w:r>
    </w:p>
    <w:p w:rsidR="003C1546" w:rsidRPr="00855EB8" w:rsidRDefault="00C0364C" w:rsidP="003C1546">
      <w:pPr>
        <w:ind w:left="927" w:firstLine="207"/>
        <w:rPr>
          <w:szCs w:val="22"/>
          <w:lang w:val="es-419"/>
        </w:rPr>
      </w:pPr>
      <w:r w:rsidRPr="00855EB8">
        <w:rPr>
          <w:szCs w:val="22"/>
          <w:lang w:val="es-419"/>
        </w:rPr>
        <w:t>v.</w:t>
      </w:r>
      <w:r w:rsidRPr="00855EB8">
        <w:rPr>
          <w:szCs w:val="22"/>
          <w:lang w:val="es-419"/>
        </w:rPr>
        <w:tab/>
      </w:r>
      <w:r w:rsidR="003C1546" w:rsidRPr="00855EB8">
        <w:rPr>
          <w:szCs w:val="22"/>
          <w:lang w:val="es-419"/>
        </w:rPr>
        <w:t>código alfabético de dos letras de la oficina de PI que publica la solicitud;</w:t>
      </w:r>
    </w:p>
    <w:p w:rsidR="003C1546" w:rsidRPr="00855EB8" w:rsidRDefault="00C0364C" w:rsidP="003C1546">
      <w:pPr>
        <w:ind w:left="927" w:firstLine="207"/>
        <w:rPr>
          <w:szCs w:val="22"/>
          <w:u w:val="single"/>
          <w:lang w:val="es-419"/>
        </w:rPr>
      </w:pPr>
      <w:r w:rsidRPr="00855EB8">
        <w:rPr>
          <w:szCs w:val="22"/>
          <w:lang w:val="es-419"/>
        </w:rPr>
        <w:t>vi.</w:t>
      </w:r>
      <w:r w:rsidRPr="00855EB8">
        <w:rPr>
          <w:szCs w:val="22"/>
          <w:lang w:val="es-419"/>
        </w:rPr>
        <w:tab/>
      </w:r>
      <w:r w:rsidR="00255E9A" w:rsidRPr="00855EB8">
        <w:rPr>
          <w:szCs w:val="22"/>
          <w:lang w:val="es-419"/>
        </w:rPr>
        <w:t xml:space="preserve">número </w:t>
      </w:r>
      <w:r w:rsidR="003C1546" w:rsidRPr="00855EB8">
        <w:rPr>
          <w:szCs w:val="22"/>
          <w:lang w:val="es-419"/>
        </w:rPr>
        <w:t>de solicitud;</w:t>
      </w:r>
    </w:p>
    <w:p w:rsidR="003C1546" w:rsidRPr="00855EB8" w:rsidRDefault="00C0364C" w:rsidP="003C1546">
      <w:pPr>
        <w:ind w:left="927" w:firstLine="207"/>
        <w:rPr>
          <w:strike/>
          <w:szCs w:val="22"/>
          <w:lang w:val="es-419"/>
        </w:rPr>
      </w:pPr>
      <w:r w:rsidRPr="00855EB8">
        <w:rPr>
          <w:strike/>
          <w:szCs w:val="22"/>
          <w:lang w:val="es-419"/>
        </w:rPr>
        <w:t>vii.</w:t>
      </w:r>
      <w:r w:rsidRPr="00855EB8">
        <w:rPr>
          <w:strike/>
          <w:szCs w:val="22"/>
          <w:lang w:val="es-419"/>
        </w:rPr>
        <w:tab/>
      </w:r>
      <w:r w:rsidR="003C1546" w:rsidRPr="00855EB8">
        <w:rPr>
          <w:strike/>
          <w:szCs w:val="22"/>
          <w:lang w:val="es-419"/>
        </w:rPr>
        <w:t>código de tipo de documento;</w:t>
      </w:r>
      <w:r w:rsidR="003C1546" w:rsidRPr="00855EB8">
        <w:rPr>
          <w:szCs w:val="22"/>
          <w:lang w:val="es-419"/>
        </w:rPr>
        <w:t xml:space="preserve"> y</w:t>
      </w:r>
    </w:p>
    <w:p w:rsidR="003C1546" w:rsidRPr="00855EB8" w:rsidRDefault="00C0364C" w:rsidP="003C1546">
      <w:pPr>
        <w:spacing w:after="240"/>
        <w:ind w:left="927" w:firstLine="207"/>
        <w:rPr>
          <w:rFonts w:eastAsia="Times New Roman"/>
          <w:lang w:val="es-419" w:eastAsia="en-US"/>
        </w:rPr>
      </w:pPr>
      <w:r w:rsidRPr="00855EB8">
        <w:rPr>
          <w:rFonts w:eastAsia="Times New Roman"/>
          <w:lang w:val="es-419" w:eastAsia="en-US"/>
        </w:rPr>
        <w:t>viii.</w:t>
      </w:r>
      <w:r w:rsidRPr="00855EB8">
        <w:rPr>
          <w:rFonts w:eastAsia="Times New Roman"/>
          <w:lang w:val="es-419" w:eastAsia="en-US"/>
        </w:rPr>
        <w:tab/>
      </w:r>
      <w:r w:rsidR="00255E9A" w:rsidRPr="00855EB8">
        <w:rPr>
          <w:rFonts w:eastAsia="Times New Roman"/>
          <w:lang w:val="es-419" w:eastAsia="en-US"/>
        </w:rPr>
        <w:t xml:space="preserve">fecha </w:t>
      </w:r>
      <w:r w:rsidR="003C1546" w:rsidRPr="00855EB8">
        <w:rPr>
          <w:rFonts w:eastAsia="Times New Roman"/>
          <w:lang w:val="es-419" w:eastAsia="en-US"/>
        </w:rPr>
        <w:t>de presentación</w:t>
      </w:r>
      <w:r w:rsidR="00255E9A" w:rsidRPr="00855EB8">
        <w:rPr>
          <w:rFonts w:eastAsia="Times New Roman"/>
          <w:lang w:val="es-419" w:eastAsia="en-US"/>
        </w:rPr>
        <w:t>;</w:t>
      </w:r>
    </w:p>
    <w:p w:rsidR="003C1546" w:rsidRPr="00855EB8" w:rsidRDefault="003C1546" w:rsidP="003C1546">
      <w:pPr>
        <w:pStyle w:val="Signature"/>
        <w:numPr>
          <w:ilvl w:val="0"/>
          <w:numId w:val="7"/>
        </w:numPr>
        <w:spacing w:after="120"/>
        <w:ind w:left="567" w:firstLine="0"/>
        <w:rPr>
          <w:rFonts w:eastAsia="Times New Roman"/>
          <w:lang w:val="es-419" w:eastAsia="en-US"/>
        </w:rPr>
      </w:pPr>
      <w:r w:rsidRPr="00855EB8">
        <w:rPr>
          <w:rFonts w:eastAsia="Times New Roman"/>
          <w:lang w:val="es-419" w:eastAsia="en-US"/>
        </w:rPr>
        <w:t>re</w:t>
      </w:r>
      <w:r w:rsidR="00CE1A30" w:rsidRPr="00855EB8">
        <w:rPr>
          <w:rFonts w:eastAsia="Times New Roman"/>
          <w:lang w:val="es-419" w:eastAsia="en-US"/>
        </w:rPr>
        <w:t>alizar una re</w:t>
      </w:r>
      <w:r w:rsidRPr="00855EB8">
        <w:rPr>
          <w:rFonts w:eastAsia="Times New Roman"/>
          <w:lang w:val="es-419" w:eastAsia="en-US"/>
        </w:rPr>
        <w:t>visión completa de toda la documentación incluida en el Anexo III – XSD.</w:t>
      </w:r>
      <w:r w:rsidR="008C0B73" w:rsidRPr="00855EB8">
        <w:rPr>
          <w:rFonts w:eastAsia="Times New Roman"/>
          <w:lang w:val="es-419" w:eastAsia="en-US"/>
        </w:rPr>
        <w:t xml:space="preserve"> </w:t>
      </w:r>
      <w:r w:rsidR="00F74A41" w:rsidRPr="00855EB8">
        <w:rPr>
          <w:rFonts w:eastAsia="Times New Roman"/>
          <w:lang w:val="es-419" w:eastAsia="en-US"/>
        </w:rPr>
        <w:t>En l</w:t>
      </w:r>
      <w:r w:rsidRPr="00855EB8">
        <w:rPr>
          <w:rFonts w:eastAsia="Times New Roman"/>
          <w:lang w:val="es-419" w:eastAsia="en-US"/>
        </w:rPr>
        <w:t xml:space="preserve">a información recibida de las oficinas de PI durante la primera fase de la publicación de los conjuntos de datos </w:t>
      </w:r>
      <w:r w:rsidR="002A70AD">
        <w:rPr>
          <w:rFonts w:eastAsia="Times New Roman"/>
          <w:lang w:val="es-419" w:eastAsia="en-US"/>
        </w:rPr>
        <w:t>del</w:t>
      </w:r>
      <w:r w:rsidRPr="00855EB8">
        <w:rPr>
          <w:rFonts w:eastAsia="Times New Roman"/>
          <w:lang w:val="es-419" w:eastAsia="en-US"/>
        </w:rPr>
        <w:t xml:space="preserve"> </w:t>
      </w:r>
      <w:r w:rsidR="00255E9A" w:rsidRPr="00855EB8">
        <w:rPr>
          <w:rFonts w:eastAsia="Times New Roman"/>
          <w:lang w:val="es-419" w:eastAsia="en-US"/>
        </w:rPr>
        <w:t>f</w:t>
      </w:r>
      <w:r w:rsidR="002A70AD">
        <w:rPr>
          <w:rFonts w:eastAsia="Times New Roman"/>
          <w:lang w:val="es-419" w:eastAsia="en-US"/>
        </w:rPr>
        <w:t>ichero</w:t>
      </w:r>
      <w:r w:rsidR="00255E9A" w:rsidRPr="00855EB8">
        <w:rPr>
          <w:rFonts w:eastAsia="Times New Roman"/>
          <w:lang w:val="es-419" w:eastAsia="en-US"/>
        </w:rPr>
        <w:t xml:space="preserve"> de referencia</w:t>
      </w:r>
      <w:r w:rsidRPr="00855EB8">
        <w:rPr>
          <w:rFonts w:eastAsia="Times New Roman"/>
          <w:lang w:val="es-419" w:eastAsia="en-US"/>
        </w:rPr>
        <w:t xml:space="preserve"> </w:t>
      </w:r>
      <w:r w:rsidR="00F74A41" w:rsidRPr="00855EB8">
        <w:rPr>
          <w:rFonts w:eastAsia="Times New Roman"/>
          <w:lang w:val="es-419" w:eastAsia="en-US"/>
        </w:rPr>
        <w:t>se indicó</w:t>
      </w:r>
      <w:r w:rsidRPr="00855EB8">
        <w:rPr>
          <w:rFonts w:eastAsia="Times New Roman"/>
          <w:lang w:val="es-419" w:eastAsia="en-US"/>
        </w:rPr>
        <w:t xml:space="preserve"> que </w:t>
      </w:r>
      <w:r w:rsidR="00F74A41" w:rsidRPr="00855EB8">
        <w:rPr>
          <w:rFonts w:eastAsia="Times New Roman"/>
          <w:lang w:val="es-419" w:eastAsia="en-US"/>
        </w:rPr>
        <w:t>era necesaria</w:t>
      </w:r>
      <w:r w:rsidRPr="00855EB8">
        <w:rPr>
          <w:rFonts w:eastAsia="Times New Roman"/>
          <w:lang w:val="es-419" w:eastAsia="en-US"/>
        </w:rPr>
        <w:t xml:space="preserve"> una nueva descripción para </w:t>
      </w:r>
      <w:r w:rsidR="00F74A41" w:rsidRPr="00855EB8">
        <w:rPr>
          <w:rFonts w:eastAsia="Times New Roman"/>
          <w:lang w:val="es-419" w:eastAsia="en-US"/>
        </w:rPr>
        <w:t>entender el propósito de eso</w:t>
      </w:r>
      <w:r w:rsidRPr="00855EB8">
        <w:rPr>
          <w:rFonts w:eastAsia="Times New Roman"/>
          <w:lang w:val="es-419" w:eastAsia="en-US"/>
        </w:rPr>
        <w:t>s</w:t>
      </w:r>
      <w:r w:rsidR="00F74A41" w:rsidRPr="00855EB8">
        <w:rPr>
          <w:rFonts w:eastAsia="Times New Roman"/>
          <w:lang w:val="es-419" w:eastAsia="en-US"/>
        </w:rPr>
        <w:t xml:space="preserve"> campos</w:t>
      </w:r>
      <w:r w:rsidRPr="00855EB8">
        <w:rPr>
          <w:rFonts w:eastAsia="Times New Roman"/>
          <w:lang w:val="es-419" w:eastAsia="en-US"/>
        </w:rPr>
        <w:t>.</w:t>
      </w:r>
      <w:r w:rsidR="008C0B73" w:rsidRPr="00855EB8">
        <w:rPr>
          <w:rFonts w:eastAsia="Times New Roman"/>
          <w:lang w:val="es-419" w:eastAsia="en-US"/>
        </w:rPr>
        <w:t xml:space="preserve"> </w:t>
      </w:r>
      <w:r w:rsidR="00F74A41" w:rsidRPr="00855EB8">
        <w:rPr>
          <w:rFonts w:eastAsia="Times New Roman"/>
          <w:lang w:val="es-419" w:eastAsia="en-US"/>
        </w:rPr>
        <w:t>El nuevo</w:t>
      </w:r>
      <w:r w:rsidRPr="00855EB8">
        <w:rPr>
          <w:rFonts w:eastAsia="Times New Roman"/>
          <w:lang w:val="es-419" w:eastAsia="en-US"/>
        </w:rPr>
        <w:t xml:space="preserve"> Anexo III </w:t>
      </w:r>
      <w:r w:rsidR="00F74A41" w:rsidRPr="00855EB8">
        <w:rPr>
          <w:rFonts w:eastAsia="Times New Roman"/>
          <w:lang w:val="es-419" w:eastAsia="en-US"/>
        </w:rPr>
        <w:t>propuesto para</w:t>
      </w:r>
      <w:r w:rsidRPr="00855EB8">
        <w:rPr>
          <w:rFonts w:eastAsia="Times New Roman"/>
          <w:lang w:val="es-419" w:eastAsia="en-US"/>
        </w:rPr>
        <w:t xml:space="preserve"> la Norma ST.37 de la OMPI se reproduce en el Anexo del presente documento;</w:t>
      </w:r>
    </w:p>
    <w:p w:rsidR="003C1546" w:rsidRPr="00855EB8" w:rsidRDefault="003C1546" w:rsidP="003C1546">
      <w:pPr>
        <w:pStyle w:val="Signature"/>
        <w:numPr>
          <w:ilvl w:val="0"/>
          <w:numId w:val="7"/>
        </w:numPr>
        <w:spacing w:after="120"/>
        <w:ind w:left="562" w:firstLine="0"/>
        <w:rPr>
          <w:rFonts w:eastAsia="Times New Roman"/>
          <w:lang w:val="es-419" w:eastAsia="en-US"/>
        </w:rPr>
      </w:pPr>
      <w:r w:rsidRPr="00855EB8">
        <w:rPr>
          <w:rFonts w:eastAsia="Times New Roman"/>
          <w:lang w:val="es-419" w:eastAsia="en-US"/>
        </w:rPr>
        <w:t>modifica</w:t>
      </w:r>
      <w:r w:rsidR="00CE1A30" w:rsidRPr="00855EB8">
        <w:rPr>
          <w:rFonts w:eastAsia="Times New Roman"/>
          <w:lang w:val="es-419" w:eastAsia="en-US"/>
        </w:rPr>
        <w:t xml:space="preserve">r </w:t>
      </w:r>
      <w:r w:rsidRPr="00855EB8">
        <w:rPr>
          <w:rFonts w:eastAsia="Times New Roman"/>
          <w:lang w:val="es-419" w:eastAsia="en-US"/>
        </w:rPr>
        <w:t xml:space="preserve">el Apéndice de los Anexos III y IV de la Norma ST.37 de la OMPI para </w:t>
      </w:r>
      <w:r w:rsidR="00F74A41" w:rsidRPr="00855EB8">
        <w:rPr>
          <w:rFonts w:eastAsia="Times New Roman"/>
          <w:lang w:val="es-419" w:eastAsia="en-US"/>
        </w:rPr>
        <w:t>aclarar aún más</w:t>
      </w:r>
      <w:r w:rsidRPr="00855EB8">
        <w:rPr>
          <w:rFonts w:eastAsia="Times New Roman"/>
          <w:lang w:val="es-419" w:eastAsia="en-US"/>
        </w:rPr>
        <w:t xml:space="preserve"> la forma en que se realiza el agrupamiento en la instancia de </w:t>
      </w:r>
      <w:r w:rsidR="00F74A41" w:rsidRPr="00855EB8">
        <w:rPr>
          <w:rFonts w:eastAsia="Times New Roman"/>
          <w:lang w:val="es-419" w:eastAsia="en-US"/>
        </w:rPr>
        <w:t>fichero de referencia</w:t>
      </w:r>
      <w:r w:rsidRPr="00855EB8">
        <w:rPr>
          <w:rFonts w:eastAsia="Times New Roman"/>
          <w:lang w:val="es-419" w:eastAsia="en-US"/>
        </w:rPr>
        <w:t>.</w:t>
      </w:r>
      <w:r w:rsidR="008C0B73" w:rsidRPr="00855EB8">
        <w:rPr>
          <w:rFonts w:eastAsia="Times New Roman"/>
          <w:lang w:val="es-419" w:eastAsia="en-US"/>
        </w:rPr>
        <w:t xml:space="preserve"> </w:t>
      </w:r>
      <w:r w:rsidR="00A1735E" w:rsidRPr="00855EB8">
        <w:rPr>
          <w:rFonts w:eastAsia="Times New Roman"/>
          <w:lang w:val="es-419" w:eastAsia="en-US"/>
        </w:rPr>
        <w:t>En l</w:t>
      </w:r>
      <w:r w:rsidRPr="00855EB8">
        <w:rPr>
          <w:rFonts w:eastAsia="Times New Roman"/>
          <w:lang w:val="es-419" w:eastAsia="en-US"/>
        </w:rPr>
        <w:t xml:space="preserve">os ejemplos actuales, tanto para la XSD como para la DTD, </w:t>
      </w:r>
      <w:r w:rsidR="00A1735E" w:rsidRPr="00855EB8">
        <w:rPr>
          <w:rFonts w:eastAsia="Times New Roman"/>
          <w:lang w:val="es-419" w:eastAsia="en-US"/>
        </w:rPr>
        <w:t>se indica</w:t>
      </w:r>
      <w:r w:rsidRPr="00855EB8">
        <w:rPr>
          <w:rFonts w:eastAsia="Times New Roman"/>
          <w:lang w:val="es-419" w:eastAsia="en-US"/>
        </w:rPr>
        <w:t xml:space="preserve"> que no hay </w:t>
      </w:r>
      <w:r w:rsidR="00A1735E" w:rsidRPr="00855EB8">
        <w:rPr>
          <w:rFonts w:eastAsia="Times New Roman"/>
          <w:lang w:val="es-419" w:eastAsia="en-US"/>
        </w:rPr>
        <w:t>agrupamiento</w:t>
      </w:r>
      <w:r w:rsidRPr="00855EB8">
        <w:rPr>
          <w:rFonts w:eastAsia="Times New Roman"/>
          <w:lang w:val="es-419" w:eastAsia="en-US"/>
        </w:rPr>
        <w:t xml:space="preserve">, pero también </w:t>
      </w:r>
      <w:r w:rsidR="00A1735E" w:rsidRPr="00855EB8">
        <w:rPr>
          <w:rFonts w:eastAsia="Times New Roman"/>
          <w:lang w:val="es-419" w:eastAsia="en-US"/>
        </w:rPr>
        <w:t>se indica bajo</w:t>
      </w:r>
      <w:r w:rsidRPr="00855EB8">
        <w:rPr>
          <w:rFonts w:eastAsia="Times New Roman"/>
          <w:lang w:val="es-419" w:eastAsia="en-US"/>
        </w:rPr>
        <w:t xml:space="preserve"> el mismo encabezamiento que </w:t>
      </w:r>
      <w:r w:rsidR="00A1735E" w:rsidRPr="00855EB8">
        <w:rPr>
          <w:rFonts w:eastAsia="Times New Roman"/>
          <w:lang w:val="es-419" w:eastAsia="en-US"/>
        </w:rPr>
        <w:t>el agrupamiento se conforma</w:t>
      </w:r>
      <w:r w:rsidRPr="00855EB8">
        <w:rPr>
          <w:rFonts w:eastAsia="Times New Roman"/>
          <w:lang w:val="es-419" w:eastAsia="en-US"/>
        </w:rPr>
        <w:t xml:space="preserve"> al código de tipo de documento.</w:t>
      </w:r>
      <w:r w:rsidR="008C0B73" w:rsidRPr="00855EB8">
        <w:rPr>
          <w:rFonts w:eastAsia="Times New Roman"/>
          <w:lang w:val="es-419" w:eastAsia="en-US"/>
        </w:rPr>
        <w:t xml:space="preserve"> </w:t>
      </w:r>
      <w:r w:rsidRPr="00855EB8">
        <w:rPr>
          <w:rFonts w:eastAsia="Times New Roman"/>
          <w:lang w:val="es-419" w:eastAsia="en-US"/>
        </w:rPr>
        <w:t xml:space="preserve">Se propone </w:t>
      </w:r>
      <w:r w:rsidR="00A1735E" w:rsidRPr="00855EB8">
        <w:rPr>
          <w:rFonts w:eastAsia="Times New Roman"/>
          <w:lang w:val="es-419" w:eastAsia="en-US"/>
        </w:rPr>
        <w:t>eliminar de ambos Apéndices la referencia al campo &lt;group-category&gt;</w:t>
      </w:r>
      <w:r w:rsidRPr="00855EB8">
        <w:rPr>
          <w:rFonts w:eastAsia="Times New Roman"/>
          <w:lang w:val="es-419" w:eastAsia="en-US"/>
        </w:rPr>
        <w:t>;</w:t>
      </w:r>
    </w:p>
    <w:p w:rsidR="003C1546" w:rsidRPr="00855EB8" w:rsidRDefault="00CE1A30" w:rsidP="003C1546">
      <w:pPr>
        <w:pStyle w:val="Signature"/>
        <w:numPr>
          <w:ilvl w:val="0"/>
          <w:numId w:val="7"/>
        </w:numPr>
        <w:spacing w:after="120"/>
        <w:ind w:left="567" w:firstLine="0"/>
        <w:rPr>
          <w:rFonts w:eastAsia="Times New Roman"/>
          <w:lang w:val="es-419" w:eastAsia="en-US"/>
        </w:rPr>
      </w:pPr>
      <w:r w:rsidRPr="00855EB8">
        <w:rPr>
          <w:rFonts w:eastAsia="Times New Roman"/>
          <w:lang w:val="es-419" w:eastAsia="en-US"/>
        </w:rPr>
        <w:t xml:space="preserve">cambiar el nombre del </w:t>
      </w:r>
      <w:r w:rsidRPr="00855EB8">
        <w:rPr>
          <w:rFonts w:ascii="Courier New" w:eastAsia="Times New Roman" w:hAnsi="Courier New" w:cs="Courier New"/>
          <w:lang w:val="es-419" w:eastAsia="en-US"/>
        </w:rPr>
        <w:t>PriorityClaimType</w:t>
      </w:r>
      <w:r w:rsidRPr="00855EB8">
        <w:rPr>
          <w:rFonts w:eastAsia="Times New Roman"/>
          <w:lang w:val="es-419" w:eastAsia="en-US"/>
        </w:rPr>
        <w:t xml:space="preserve"> y el </w:t>
      </w:r>
      <w:r w:rsidRPr="00855EB8">
        <w:rPr>
          <w:rFonts w:ascii="Courier New" w:eastAsia="Times New Roman" w:hAnsi="Courier New" w:cs="Courier New"/>
          <w:lang w:val="es-419" w:eastAsia="en-US"/>
        </w:rPr>
        <w:t>PriorityClaimBagType</w:t>
      </w:r>
      <w:r w:rsidRPr="00855EB8">
        <w:rPr>
          <w:rFonts w:eastAsia="Times New Roman"/>
          <w:lang w:val="es-419" w:eastAsia="en-US"/>
        </w:rPr>
        <w:t xml:space="preserve"> previstos en el Anexo III-XSD por </w:t>
      </w:r>
      <w:r w:rsidRPr="00855EB8">
        <w:rPr>
          <w:rFonts w:ascii="Courier New" w:eastAsia="Times New Roman" w:hAnsi="Courier New" w:cs="Courier New"/>
          <w:lang w:val="es-419" w:eastAsia="en-US"/>
        </w:rPr>
        <w:t>PriorityApplicationIdentificationType</w:t>
      </w:r>
      <w:r w:rsidRPr="00855EB8">
        <w:rPr>
          <w:rFonts w:eastAsia="Times New Roman"/>
          <w:lang w:val="es-419" w:eastAsia="en-US"/>
        </w:rPr>
        <w:t xml:space="preserve"> y </w:t>
      </w:r>
      <w:r w:rsidRPr="00855EB8">
        <w:rPr>
          <w:rFonts w:ascii="Courier New" w:eastAsia="Times New Roman" w:hAnsi="Courier New" w:cs="Courier New"/>
          <w:lang w:val="es-419" w:eastAsia="en-US"/>
        </w:rPr>
        <w:t>PriorityApplicationIdenficationBagType</w:t>
      </w:r>
      <w:r w:rsidRPr="00855EB8">
        <w:rPr>
          <w:rFonts w:eastAsia="Times New Roman"/>
          <w:lang w:val="es-419" w:eastAsia="en-US"/>
        </w:rPr>
        <w:t>, respectivamente</w:t>
      </w:r>
      <w:r w:rsidR="003C1546" w:rsidRPr="00855EB8">
        <w:rPr>
          <w:rFonts w:eastAsia="Times New Roman"/>
          <w:lang w:val="es-419" w:eastAsia="en-US"/>
        </w:rPr>
        <w:t>.</w:t>
      </w:r>
      <w:r w:rsidR="008C0B73" w:rsidRPr="00855EB8">
        <w:rPr>
          <w:rFonts w:eastAsia="Times New Roman"/>
          <w:lang w:val="es-419" w:eastAsia="en-US"/>
        </w:rPr>
        <w:t xml:space="preserve"> </w:t>
      </w:r>
      <w:r w:rsidR="003C1546" w:rsidRPr="00855EB8">
        <w:rPr>
          <w:rFonts w:eastAsia="Times New Roman"/>
          <w:lang w:val="es-419" w:eastAsia="en-US"/>
        </w:rPr>
        <w:t xml:space="preserve">Con ello se pretende evitar toda confusión sobre el uso de este elemento y velar por que se ajuste a lo dispuesto en el apartado b) del párrafo 9 </w:t>
      </w:r>
      <w:r w:rsidRPr="00855EB8">
        <w:rPr>
          <w:rFonts w:eastAsia="Times New Roman"/>
          <w:lang w:val="es-419" w:eastAsia="en-US"/>
        </w:rPr>
        <w:t>del cuerpo principal de la Norma ST.37 de la </w:t>
      </w:r>
      <w:r w:rsidR="003C1546" w:rsidRPr="00855EB8">
        <w:rPr>
          <w:rFonts w:eastAsia="Times New Roman"/>
          <w:lang w:val="es-419" w:eastAsia="en-US"/>
        </w:rPr>
        <w:t>OMPI (véase el Anexo del presente documento); y</w:t>
      </w:r>
    </w:p>
    <w:p w:rsidR="003C1546" w:rsidRPr="00855EB8" w:rsidRDefault="00CE1A30" w:rsidP="003C1546">
      <w:pPr>
        <w:pStyle w:val="Signature"/>
        <w:numPr>
          <w:ilvl w:val="0"/>
          <w:numId w:val="7"/>
        </w:numPr>
        <w:spacing w:after="220"/>
        <w:ind w:left="562" w:firstLine="0"/>
        <w:rPr>
          <w:rFonts w:eastAsia="Times New Roman"/>
          <w:lang w:val="es-419" w:eastAsia="en-US"/>
        </w:rPr>
      </w:pPr>
      <w:r w:rsidRPr="00855EB8">
        <w:rPr>
          <w:rFonts w:eastAsia="Times New Roman"/>
          <w:lang w:val="es-419" w:eastAsia="en-US"/>
        </w:rPr>
        <w:t>sustituir</w:t>
      </w:r>
      <w:r w:rsidR="003C1546" w:rsidRPr="00855EB8">
        <w:rPr>
          <w:rFonts w:eastAsia="Times New Roman"/>
          <w:lang w:val="es-419" w:eastAsia="en-US"/>
        </w:rPr>
        <w:t xml:space="preserve"> la referencia al elemento </w:t>
      </w:r>
      <w:r w:rsidRPr="00855EB8">
        <w:rPr>
          <w:rFonts w:ascii="Courier New" w:eastAsia="Times New Roman" w:hAnsi="Courier New" w:cs="Courier New"/>
          <w:lang w:val="es-419" w:eastAsia="en-US"/>
        </w:rPr>
        <w:t>AdditionalComment</w:t>
      </w:r>
      <w:r w:rsidRPr="00855EB8">
        <w:rPr>
          <w:rFonts w:eastAsia="Times New Roman"/>
          <w:lang w:val="es-419" w:eastAsia="en-US"/>
        </w:rPr>
        <w:t xml:space="preserve"> </w:t>
      </w:r>
      <w:r w:rsidR="003C1546" w:rsidRPr="00855EB8">
        <w:rPr>
          <w:rFonts w:eastAsia="Times New Roman"/>
          <w:lang w:val="es-419" w:eastAsia="en-US"/>
        </w:rPr>
        <w:t xml:space="preserve">dentro del esquema actual (Anexo III) </w:t>
      </w:r>
      <w:r w:rsidRPr="00855EB8">
        <w:rPr>
          <w:rFonts w:eastAsia="Times New Roman"/>
          <w:lang w:val="es-419" w:eastAsia="en-US"/>
        </w:rPr>
        <w:t>por</w:t>
      </w:r>
      <w:r w:rsidR="003C1546" w:rsidRPr="00855EB8">
        <w:rPr>
          <w:rFonts w:eastAsia="Times New Roman"/>
          <w:lang w:val="es-419" w:eastAsia="en-US"/>
        </w:rPr>
        <w:t xml:space="preserve"> </w:t>
      </w:r>
      <w:r w:rsidRPr="00855EB8">
        <w:rPr>
          <w:rFonts w:ascii="Courier New" w:eastAsia="Times New Roman" w:hAnsi="Courier New" w:cs="Courier New"/>
          <w:lang w:val="es-419" w:eastAsia="en-US"/>
        </w:rPr>
        <w:t>com:CommentText</w:t>
      </w:r>
      <w:r w:rsidR="003C1546" w:rsidRPr="00855EB8">
        <w:rPr>
          <w:rFonts w:eastAsia="Times New Roman"/>
          <w:lang w:val="es-419" w:eastAsia="en-US"/>
        </w:rPr>
        <w:t>, un elemento de la Norma ST.96 de la OMPI.</w:t>
      </w:r>
      <w:r w:rsidR="008C0B73" w:rsidRPr="00855EB8">
        <w:rPr>
          <w:rFonts w:eastAsia="Times New Roman"/>
          <w:lang w:val="es-419" w:eastAsia="en-US"/>
        </w:rPr>
        <w:t xml:space="preserve"> </w:t>
      </w:r>
      <w:r w:rsidR="003C1546" w:rsidRPr="00855EB8">
        <w:rPr>
          <w:rFonts w:eastAsia="Times New Roman"/>
          <w:lang w:val="es-419" w:eastAsia="en-US"/>
        </w:rPr>
        <w:t xml:space="preserve">Todos los esquemas de XML deberían reutilizar cualquiera de los componentes pertinentes de la Norma ST.96 </w:t>
      </w:r>
      <w:r w:rsidRPr="00855EB8">
        <w:rPr>
          <w:rFonts w:eastAsia="Times New Roman"/>
          <w:lang w:val="es-419" w:eastAsia="en-US"/>
        </w:rPr>
        <w:t>antes que</w:t>
      </w:r>
      <w:r w:rsidR="003C1546" w:rsidRPr="00855EB8">
        <w:rPr>
          <w:rFonts w:eastAsia="Times New Roman"/>
          <w:lang w:val="es-419" w:eastAsia="en-US"/>
        </w:rPr>
        <w:t xml:space="preserve"> crear un nuevo elemento (véase el Anexo del presente documento).</w:t>
      </w:r>
    </w:p>
    <w:p w:rsidR="003C1546" w:rsidRPr="00855EB8" w:rsidRDefault="008C0B73" w:rsidP="003C1546">
      <w:pPr>
        <w:pStyle w:val="Signature"/>
        <w:keepLines/>
        <w:spacing w:after="220"/>
        <w:ind w:left="0"/>
        <w:rPr>
          <w:rFonts w:eastAsia="Times New Roman"/>
          <w:lang w:val="es-419" w:eastAsia="en-US"/>
        </w:rPr>
      </w:pPr>
      <w:r w:rsidRPr="00855EB8">
        <w:rPr>
          <w:rFonts w:eastAsia="Times New Roman"/>
          <w:lang w:val="es-419" w:eastAsia="en-US"/>
        </w:rPr>
        <w:lastRenderedPageBreak/>
        <w:fldChar w:fldCharType="begin"/>
      </w:r>
      <w:r w:rsidRPr="00855EB8">
        <w:rPr>
          <w:rFonts w:eastAsia="Times New Roman"/>
          <w:lang w:val="es-419" w:eastAsia="en-US"/>
        </w:rPr>
        <w:instrText xml:space="preserve"> AUTONUM  </w:instrText>
      </w:r>
      <w:r w:rsidRPr="00855EB8">
        <w:rPr>
          <w:rFonts w:eastAsia="Times New Roman"/>
          <w:lang w:val="es-419" w:eastAsia="en-US"/>
        </w:rPr>
        <w:fldChar w:fldCharType="end"/>
      </w:r>
      <w:r w:rsidRPr="00855EB8">
        <w:rPr>
          <w:rFonts w:eastAsia="Times New Roman"/>
          <w:lang w:val="es-419" w:eastAsia="en-US"/>
        </w:rPr>
        <w:tab/>
      </w:r>
      <w:r w:rsidR="003C1546" w:rsidRPr="00855EB8">
        <w:rPr>
          <w:rFonts w:eastAsia="Times New Roman"/>
          <w:lang w:val="es-419" w:eastAsia="en-US"/>
        </w:rPr>
        <w:t xml:space="preserve">La Oficina Internacional propone además que el contenido de los Apéndices del Anexo III y el Anexo IV de la Norma ST.37, que son ejemplos de instancias XML, se </w:t>
      </w:r>
      <w:r w:rsidR="00F15AED">
        <w:rPr>
          <w:rFonts w:eastAsia="Times New Roman"/>
          <w:lang w:val="es-419" w:eastAsia="en-US"/>
        </w:rPr>
        <w:t>ponga a disposición</w:t>
      </w:r>
      <w:r w:rsidR="003C1546" w:rsidRPr="00855EB8">
        <w:rPr>
          <w:rFonts w:eastAsia="Times New Roman"/>
          <w:lang w:val="es-419" w:eastAsia="en-US"/>
        </w:rPr>
        <w:t xml:space="preserve"> como dos ficheros independientes </w:t>
      </w:r>
      <w:r w:rsidR="00C17A8F" w:rsidRPr="00855EB8">
        <w:rPr>
          <w:rFonts w:eastAsia="Times New Roman"/>
          <w:lang w:val="es-419" w:eastAsia="en-US"/>
        </w:rPr>
        <w:t>que pueden descargarse</w:t>
      </w:r>
      <w:r w:rsidR="003C1546" w:rsidRPr="00855EB8">
        <w:rPr>
          <w:rFonts w:eastAsia="Times New Roman"/>
          <w:lang w:val="es-419" w:eastAsia="en-US"/>
        </w:rPr>
        <w:t xml:space="preserve"> del sitio web de la OMPI, es decir, </w:t>
      </w:r>
      <w:r w:rsidR="00C17A8F" w:rsidRPr="00855EB8">
        <w:rPr>
          <w:rFonts w:eastAsia="Times New Roman"/>
          <w:lang w:val="es-419" w:eastAsia="en-US"/>
        </w:rPr>
        <w:t xml:space="preserve">la </w:t>
      </w:r>
      <w:r w:rsidR="003C1546" w:rsidRPr="00855EB8">
        <w:rPr>
          <w:rFonts w:eastAsia="Times New Roman"/>
          <w:lang w:val="es-419" w:eastAsia="en-US"/>
        </w:rPr>
        <w:t xml:space="preserve">Parte 3 del Manual de la </w:t>
      </w:r>
      <w:r w:rsidR="00C17A8F" w:rsidRPr="00855EB8">
        <w:rPr>
          <w:rFonts w:eastAsia="Times New Roman"/>
          <w:lang w:val="es-419" w:eastAsia="en-US"/>
        </w:rPr>
        <w:t>OMPI con un enlace</w:t>
      </w:r>
      <w:r w:rsidR="003C1546" w:rsidRPr="00855EB8">
        <w:rPr>
          <w:rFonts w:eastAsia="Times New Roman"/>
          <w:lang w:val="es-419" w:eastAsia="en-US"/>
        </w:rPr>
        <w:t xml:space="preserve"> </w:t>
      </w:r>
      <w:r w:rsidR="00C17A8F" w:rsidRPr="00855EB8">
        <w:rPr>
          <w:rFonts w:eastAsia="Times New Roman"/>
          <w:lang w:val="es-419" w:eastAsia="en-US"/>
        </w:rPr>
        <w:t>dentro de</w:t>
      </w:r>
      <w:r w:rsidR="003C1546" w:rsidRPr="00855EB8">
        <w:rPr>
          <w:rFonts w:eastAsia="Times New Roman"/>
          <w:lang w:val="es-419" w:eastAsia="en-US"/>
        </w:rPr>
        <w:t xml:space="preserve"> la Norma ST</w:t>
      </w:r>
      <w:r w:rsidR="00F15AED">
        <w:rPr>
          <w:rFonts w:eastAsia="Times New Roman"/>
          <w:lang w:val="es-419" w:eastAsia="en-US"/>
        </w:rPr>
        <w:t>.</w:t>
      </w:r>
      <w:r w:rsidR="003C1546" w:rsidRPr="00855EB8">
        <w:rPr>
          <w:rFonts w:eastAsia="Times New Roman"/>
          <w:lang w:val="es-419" w:eastAsia="en-US"/>
        </w:rPr>
        <w:t xml:space="preserve">37 de la </w:t>
      </w:r>
      <w:r w:rsidR="00C17A8F" w:rsidRPr="00855EB8">
        <w:rPr>
          <w:rFonts w:eastAsia="Times New Roman"/>
          <w:lang w:val="es-419" w:eastAsia="en-US"/>
        </w:rPr>
        <w:t>OMPI. Ello</w:t>
      </w:r>
      <w:r w:rsidR="003C1546" w:rsidRPr="00855EB8">
        <w:rPr>
          <w:rFonts w:eastAsia="Times New Roman"/>
          <w:lang w:val="es-419" w:eastAsia="en-US"/>
        </w:rPr>
        <w:t xml:space="preserve"> no solo </w:t>
      </w:r>
      <w:r w:rsidR="00F15AED">
        <w:rPr>
          <w:rFonts w:eastAsia="Times New Roman"/>
          <w:lang w:val="es-419" w:eastAsia="en-US"/>
        </w:rPr>
        <w:t>h</w:t>
      </w:r>
      <w:r w:rsidR="003C1546" w:rsidRPr="00855EB8">
        <w:rPr>
          <w:rFonts w:eastAsia="Times New Roman"/>
          <w:lang w:val="es-419" w:eastAsia="en-US"/>
        </w:rPr>
        <w:t xml:space="preserve">ará que la </w:t>
      </w:r>
      <w:r w:rsidR="00F15AED" w:rsidRPr="00855EB8">
        <w:rPr>
          <w:rFonts w:eastAsia="Times New Roman"/>
          <w:lang w:val="es-419" w:eastAsia="en-US"/>
        </w:rPr>
        <w:t xml:space="preserve">Norma </w:t>
      </w:r>
      <w:r w:rsidR="003C1546" w:rsidRPr="00855EB8">
        <w:rPr>
          <w:rFonts w:eastAsia="Times New Roman"/>
          <w:lang w:val="es-419" w:eastAsia="en-US"/>
        </w:rPr>
        <w:t xml:space="preserve">sea mucho más </w:t>
      </w:r>
      <w:r w:rsidR="00C17A8F" w:rsidRPr="00855EB8">
        <w:rPr>
          <w:rFonts w:eastAsia="Times New Roman"/>
          <w:lang w:val="es-419" w:eastAsia="en-US"/>
        </w:rPr>
        <w:t>breve,</w:t>
      </w:r>
      <w:r w:rsidR="003C1546" w:rsidRPr="00855EB8">
        <w:rPr>
          <w:rFonts w:eastAsia="Times New Roman"/>
          <w:lang w:val="es-419" w:eastAsia="en-US"/>
        </w:rPr>
        <w:t xml:space="preserve"> sino que también </w:t>
      </w:r>
      <w:r w:rsidR="00C17A8F" w:rsidRPr="00855EB8">
        <w:rPr>
          <w:rFonts w:eastAsia="Times New Roman"/>
          <w:lang w:val="es-419" w:eastAsia="en-US"/>
        </w:rPr>
        <w:t>facilitará el uso de esos ejemplos por</w:t>
      </w:r>
      <w:r w:rsidR="003C1546" w:rsidRPr="00855EB8">
        <w:rPr>
          <w:rFonts w:eastAsia="Times New Roman"/>
          <w:lang w:val="es-419" w:eastAsia="en-US"/>
        </w:rPr>
        <w:t xml:space="preserve"> los usuarios de la Norma.</w:t>
      </w:r>
    </w:p>
    <w:p w:rsidR="003C1546" w:rsidRPr="00855EB8" w:rsidRDefault="008C0B73" w:rsidP="003C1546">
      <w:pPr>
        <w:keepNext/>
        <w:keepLines/>
        <w:spacing w:after="220"/>
        <w:ind w:left="4968" w:firstLine="562"/>
        <w:rPr>
          <w:i/>
          <w:szCs w:val="22"/>
          <w:lang w:val="es-419"/>
        </w:rPr>
      </w:pPr>
      <w:r w:rsidRPr="00855EB8">
        <w:rPr>
          <w:i/>
          <w:lang w:val="es-419"/>
        </w:rPr>
        <w:fldChar w:fldCharType="begin"/>
      </w:r>
      <w:r w:rsidRPr="00855EB8">
        <w:rPr>
          <w:i/>
          <w:lang w:val="es-419"/>
        </w:rPr>
        <w:instrText xml:space="preserve"> AUTONUM  </w:instrText>
      </w:r>
      <w:r w:rsidRPr="00855EB8">
        <w:rPr>
          <w:i/>
          <w:lang w:val="es-419"/>
        </w:rPr>
        <w:fldChar w:fldCharType="end"/>
      </w:r>
      <w:r w:rsidRPr="00855EB8">
        <w:rPr>
          <w:i/>
          <w:lang w:val="es-419"/>
        </w:rPr>
        <w:tab/>
      </w:r>
      <w:r w:rsidR="003C1546" w:rsidRPr="00855EB8">
        <w:rPr>
          <w:i/>
          <w:lang w:val="es-419"/>
        </w:rPr>
        <w:t>Se invita al CWS a:</w:t>
      </w:r>
    </w:p>
    <w:p w:rsidR="003C1546" w:rsidRPr="00855EB8" w:rsidRDefault="003C1546" w:rsidP="003C1546">
      <w:pPr>
        <w:pStyle w:val="Signature"/>
        <w:keepNext/>
        <w:keepLines/>
        <w:numPr>
          <w:ilvl w:val="0"/>
          <w:numId w:val="8"/>
        </w:numPr>
        <w:spacing w:after="220"/>
        <w:ind w:left="5530" w:firstLine="562"/>
        <w:rPr>
          <w:i/>
          <w:szCs w:val="22"/>
          <w:lang w:val="es-419"/>
        </w:rPr>
      </w:pPr>
      <w:r w:rsidRPr="00855EB8">
        <w:rPr>
          <w:i/>
          <w:szCs w:val="22"/>
          <w:lang w:val="es-419"/>
        </w:rPr>
        <w:t>tomar nota del contenido del presente documento;</w:t>
      </w:r>
    </w:p>
    <w:p w:rsidR="003C1546" w:rsidRPr="00855EB8" w:rsidRDefault="003C1546" w:rsidP="003C1546">
      <w:pPr>
        <w:pStyle w:val="Signature"/>
        <w:keepNext/>
        <w:keepLines/>
        <w:numPr>
          <w:ilvl w:val="0"/>
          <w:numId w:val="8"/>
        </w:numPr>
        <w:spacing w:after="220"/>
        <w:ind w:left="5530" w:firstLine="562"/>
        <w:rPr>
          <w:i/>
          <w:lang w:val="es-419"/>
        </w:rPr>
      </w:pPr>
      <w:r w:rsidRPr="00855EB8">
        <w:rPr>
          <w:i/>
          <w:lang w:val="es-419"/>
        </w:rPr>
        <w:t>examinar y aprobar la revisión propuesta de la Norma ST.37 de la OMPI, que se resume en los párrafos 4 y 5</w:t>
      </w:r>
      <w:r w:rsidR="00C17A8F" w:rsidRPr="00855EB8">
        <w:rPr>
          <w:i/>
          <w:lang w:val="es-419"/>
        </w:rPr>
        <w:t>, más arriba,</w:t>
      </w:r>
      <w:r w:rsidRPr="00855EB8">
        <w:rPr>
          <w:i/>
          <w:lang w:val="es-419"/>
        </w:rPr>
        <w:t xml:space="preserve"> y se reproduce en el Anexo del presente documento.</w:t>
      </w:r>
    </w:p>
    <w:p w:rsidR="003C1546" w:rsidRPr="00855EB8" w:rsidRDefault="00C17A8F" w:rsidP="003C1546">
      <w:pPr>
        <w:pStyle w:val="Signature"/>
        <w:keepNext/>
        <w:keepLines/>
        <w:numPr>
          <w:ilvl w:val="0"/>
          <w:numId w:val="8"/>
        </w:numPr>
        <w:ind w:left="5529" w:firstLine="567"/>
        <w:rPr>
          <w:i/>
          <w:lang w:val="es-419"/>
        </w:rPr>
      </w:pPr>
      <w:r w:rsidRPr="00855EB8">
        <w:rPr>
          <w:i/>
          <w:lang w:val="es-419"/>
        </w:rPr>
        <w:t>examinar</w:t>
      </w:r>
      <w:r w:rsidR="003C1546" w:rsidRPr="00855EB8">
        <w:rPr>
          <w:i/>
          <w:lang w:val="es-419"/>
        </w:rPr>
        <w:t xml:space="preserve"> y aprobar la sugerencia de </w:t>
      </w:r>
      <w:r w:rsidR="00F15AED">
        <w:rPr>
          <w:i/>
          <w:lang w:val="es-419"/>
        </w:rPr>
        <w:t xml:space="preserve">que </w:t>
      </w:r>
      <w:r w:rsidR="003C1546" w:rsidRPr="00855EB8">
        <w:rPr>
          <w:i/>
          <w:lang w:val="es-419"/>
        </w:rPr>
        <w:t xml:space="preserve">el contenido de los Apéndices </w:t>
      </w:r>
      <w:r w:rsidRPr="00855EB8">
        <w:rPr>
          <w:i/>
          <w:lang w:val="es-419"/>
        </w:rPr>
        <w:t>de</w:t>
      </w:r>
      <w:r w:rsidR="003C1546" w:rsidRPr="00855EB8">
        <w:rPr>
          <w:i/>
          <w:lang w:val="es-419"/>
        </w:rPr>
        <w:t xml:space="preserve"> los Anexos III y IV de la Norma ST.37 de la OMPI </w:t>
      </w:r>
      <w:r w:rsidR="00F15AED">
        <w:rPr>
          <w:i/>
          <w:lang w:val="es-419"/>
        </w:rPr>
        <w:t xml:space="preserve">se ponga a disposición </w:t>
      </w:r>
      <w:r w:rsidR="003C1546" w:rsidRPr="00855EB8">
        <w:rPr>
          <w:i/>
          <w:lang w:val="es-419"/>
        </w:rPr>
        <w:t>como dos archivos</w:t>
      </w:r>
      <w:r w:rsidR="00F15AED">
        <w:rPr>
          <w:i/>
          <w:lang w:val="es-419"/>
        </w:rPr>
        <w:t xml:space="preserve"> independientes</w:t>
      </w:r>
      <w:r w:rsidR="003C1546" w:rsidRPr="00855EB8">
        <w:rPr>
          <w:i/>
          <w:lang w:val="es-419"/>
        </w:rPr>
        <w:t xml:space="preserve">, </w:t>
      </w:r>
      <w:r w:rsidRPr="00855EB8">
        <w:rPr>
          <w:i/>
          <w:lang w:val="es-419"/>
        </w:rPr>
        <w:t>con un enlace</w:t>
      </w:r>
      <w:r w:rsidR="003C1546" w:rsidRPr="00855EB8">
        <w:rPr>
          <w:i/>
          <w:lang w:val="es-419"/>
        </w:rPr>
        <w:t xml:space="preserve"> a la Norma, </w:t>
      </w:r>
      <w:r w:rsidRPr="00855EB8">
        <w:rPr>
          <w:i/>
          <w:lang w:val="es-419"/>
        </w:rPr>
        <w:t>según</w:t>
      </w:r>
      <w:r w:rsidR="00F15AED">
        <w:rPr>
          <w:i/>
          <w:lang w:val="es-419"/>
        </w:rPr>
        <w:t xml:space="preserve"> se indica en el párrafo </w:t>
      </w:r>
      <w:r w:rsidR="003C1546" w:rsidRPr="00855EB8">
        <w:rPr>
          <w:i/>
          <w:lang w:val="es-419"/>
        </w:rPr>
        <w:t>6</w:t>
      </w:r>
      <w:r w:rsidRPr="00855EB8">
        <w:rPr>
          <w:i/>
          <w:lang w:val="es-419"/>
        </w:rPr>
        <w:t>, más arriba</w:t>
      </w:r>
      <w:r w:rsidR="003C1546" w:rsidRPr="00855EB8">
        <w:rPr>
          <w:i/>
          <w:lang w:val="es-419"/>
        </w:rPr>
        <w:t>.</w:t>
      </w:r>
    </w:p>
    <w:p w:rsidR="003C1546" w:rsidRPr="00855EB8" w:rsidRDefault="003C1546" w:rsidP="008C0B73">
      <w:pPr>
        <w:pStyle w:val="Signature"/>
        <w:keepNext/>
        <w:keepLines/>
        <w:rPr>
          <w:i/>
          <w:lang w:val="es-419"/>
        </w:rPr>
      </w:pPr>
    </w:p>
    <w:p w:rsidR="003C1546" w:rsidRPr="00855EB8" w:rsidRDefault="003C1546" w:rsidP="008C0B73">
      <w:pPr>
        <w:pStyle w:val="Signature"/>
        <w:keepNext/>
        <w:keepLines/>
        <w:rPr>
          <w:i/>
          <w:lang w:val="es-419"/>
        </w:rPr>
      </w:pPr>
    </w:p>
    <w:p w:rsidR="00152CEA" w:rsidRPr="00855EB8" w:rsidRDefault="003C1546" w:rsidP="001E7125">
      <w:pPr>
        <w:keepNext/>
        <w:keepLines/>
        <w:ind w:right="2245"/>
        <w:jc w:val="right"/>
        <w:rPr>
          <w:lang w:val="es-419"/>
        </w:rPr>
      </w:pPr>
      <w:r w:rsidRPr="00855EB8">
        <w:rPr>
          <w:lang w:val="es-419"/>
        </w:rPr>
        <w:t>[Sigue el Anexo]</w:t>
      </w:r>
    </w:p>
    <w:sectPr w:rsidR="00152CEA" w:rsidRPr="00855EB8" w:rsidSect="008C0B73">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B73" w:rsidRDefault="008C0B73">
      <w:r>
        <w:separator/>
      </w:r>
    </w:p>
  </w:endnote>
  <w:endnote w:type="continuationSeparator" w:id="0">
    <w:p w:rsidR="008C0B73" w:rsidRPr="009D30E6" w:rsidRDefault="008C0B73" w:rsidP="007E663E">
      <w:pPr>
        <w:rPr>
          <w:sz w:val="17"/>
          <w:szCs w:val="17"/>
        </w:rPr>
      </w:pPr>
      <w:r w:rsidRPr="009D30E6">
        <w:rPr>
          <w:sz w:val="17"/>
          <w:szCs w:val="17"/>
        </w:rPr>
        <w:separator/>
      </w:r>
    </w:p>
    <w:p w:rsidR="008C0B73" w:rsidRPr="007E663E" w:rsidRDefault="008C0B73" w:rsidP="007E663E">
      <w:pPr>
        <w:spacing w:after="60"/>
        <w:rPr>
          <w:sz w:val="17"/>
          <w:szCs w:val="17"/>
        </w:rPr>
      </w:pPr>
      <w:r>
        <w:rPr>
          <w:sz w:val="17"/>
        </w:rPr>
        <w:t>[Continuación de la nota de la página anterior]</w:t>
      </w:r>
    </w:p>
  </w:endnote>
  <w:endnote w:type="continuationNotice" w:id="1">
    <w:p w:rsidR="008C0B73" w:rsidRPr="007E663E" w:rsidRDefault="008C0B7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B73" w:rsidRDefault="008C0B73">
      <w:r>
        <w:separator/>
      </w:r>
    </w:p>
  </w:footnote>
  <w:footnote w:type="continuationSeparator" w:id="0">
    <w:p w:rsidR="008C0B73" w:rsidRPr="009D30E6" w:rsidRDefault="008C0B73" w:rsidP="007E663E">
      <w:pPr>
        <w:rPr>
          <w:sz w:val="17"/>
          <w:szCs w:val="17"/>
        </w:rPr>
      </w:pPr>
      <w:r w:rsidRPr="009D30E6">
        <w:rPr>
          <w:sz w:val="17"/>
          <w:szCs w:val="17"/>
        </w:rPr>
        <w:separator/>
      </w:r>
    </w:p>
    <w:p w:rsidR="008C0B73" w:rsidRPr="007E663E" w:rsidRDefault="008C0B73" w:rsidP="007E663E">
      <w:pPr>
        <w:spacing w:after="60"/>
        <w:rPr>
          <w:sz w:val="17"/>
          <w:szCs w:val="17"/>
        </w:rPr>
      </w:pPr>
      <w:r>
        <w:rPr>
          <w:sz w:val="17"/>
        </w:rPr>
        <w:t>[Continuación de la nota de la página anterior]</w:t>
      </w:r>
    </w:p>
  </w:footnote>
  <w:footnote w:type="continuationNotice" w:id="1">
    <w:p w:rsidR="008C0B73" w:rsidRPr="007E663E" w:rsidRDefault="008C0B7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8C0B73" w:rsidP="00477D6B">
    <w:pPr>
      <w:jc w:val="right"/>
    </w:pPr>
    <w:bookmarkStart w:id="6" w:name="Code2"/>
    <w:bookmarkEnd w:id="6"/>
    <w:r>
      <w:t>CWS/7/17</w:t>
    </w:r>
  </w:p>
  <w:p w:rsidR="00AE7F20" w:rsidRDefault="00AE7F20" w:rsidP="00477D6B">
    <w:pPr>
      <w:jc w:val="right"/>
    </w:pPr>
    <w:r>
      <w:t xml:space="preserve">página </w:t>
    </w:r>
    <w:r>
      <w:fldChar w:fldCharType="begin"/>
    </w:r>
    <w:r>
      <w:instrText xml:space="preserve"> PAGE  \* MERGEFORMAT </w:instrText>
    </w:r>
    <w:r>
      <w:fldChar w:fldCharType="separate"/>
    </w:r>
    <w:r w:rsidR="00C80026">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BB3779"/>
    <w:multiLevelType w:val="hybridMultilevel"/>
    <w:tmpl w:val="1E8676EA"/>
    <w:lvl w:ilvl="0" w:tplc="04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103AB9"/>
    <w:multiLevelType w:val="hybridMultilevel"/>
    <w:tmpl w:val="B72A5B18"/>
    <w:lvl w:ilvl="0" w:tplc="04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8C0B73"/>
    <w:rsid w:val="00010686"/>
    <w:rsid w:val="00041EEE"/>
    <w:rsid w:val="00052915"/>
    <w:rsid w:val="000E3BB3"/>
    <w:rsid w:val="000F5E56"/>
    <w:rsid w:val="001362EE"/>
    <w:rsid w:val="00152CEA"/>
    <w:rsid w:val="001832A6"/>
    <w:rsid w:val="00185EE9"/>
    <w:rsid w:val="001E7125"/>
    <w:rsid w:val="00255E9A"/>
    <w:rsid w:val="002634C4"/>
    <w:rsid w:val="002A7006"/>
    <w:rsid w:val="002A70AD"/>
    <w:rsid w:val="002C2E2F"/>
    <w:rsid w:val="002D7E2D"/>
    <w:rsid w:val="002E0F47"/>
    <w:rsid w:val="002F4E68"/>
    <w:rsid w:val="00310826"/>
    <w:rsid w:val="003151D5"/>
    <w:rsid w:val="00354647"/>
    <w:rsid w:val="00377273"/>
    <w:rsid w:val="003845C1"/>
    <w:rsid w:val="00387287"/>
    <w:rsid w:val="003C1546"/>
    <w:rsid w:val="003E48F1"/>
    <w:rsid w:val="003F347A"/>
    <w:rsid w:val="00423E3E"/>
    <w:rsid w:val="00427AF4"/>
    <w:rsid w:val="0045061B"/>
    <w:rsid w:val="0045231F"/>
    <w:rsid w:val="004647DA"/>
    <w:rsid w:val="0046793F"/>
    <w:rsid w:val="00477808"/>
    <w:rsid w:val="00477D6B"/>
    <w:rsid w:val="004A6C37"/>
    <w:rsid w:val="004E297D"/>
    <w:rsid w:val="00531B02"/>
    <w:rsid w:val="005332F0"/>
    <w:rsid w:val="0055013B"/>
    <w:rsid w:val="00571B99"/>
    <w:rsid w:val="00605827"/>
    <w:rsid w:val="00675021"/>
    <w:rsid w:val="006A06C6"/>
    <w:rsid w:val="006F42AC"/>
    <w:rsid w:val="007224C8"/>
    <w:rsid w:val="00794BE2"/>
    <w:rsid w:val="007A5581"/>
    <w:rsid w:val="007B71FE"/>
    <w:rsid w:val="007D781E"/>
    <w:rsid w:val="007E663E"/>
    <w:rsid w:val="00815082"/>
    <w:rsid w:val="00855EB8"/>
    <w:rsid w:val="0088395E"/>
    <w:rsid w:val="008B2CC1"/>
    <w:rsid w:val="008C0B73"/>
    <w:rsid w:val="008E6BD6"/>
    <w:rsid w:val="0090731E"/>
    <w:rsid w:val="00966A22"/>
    <w:rsid w:val="00972F03"/>
    <w:rsid w:val="009A0C8B"/>
    <w:rsid w:val="009A20CD"/>
    <w:rsid w:val="009B6241"/>
    <w:rsid w:val="00A16FC0"/>
    <w:rsid w:val="00A1735E"/>
    <w:rsid w:val="00A21B15"/>
    <w:rsid w:val="00A32C9E"/>
    <w:rsid w:val="00AB613D"/>
    <w:rsid w:val="00AE7F20"/>
    <w:rsid w:val="00B534D5"/>
    <w:rsid w:val="00B65A0A"/>
    <w:rsid w:val="00B67CDC"/>
    <w:rsid w:val="00B72D36"/>
    <w:rsid w:val="00B8095C"/>
    <w:rsid w:val="00BC4164"/>
    <w:rsid w:val="00BD2DCC"/>
    <w:rsid w:val="00C0364C"/>
    <w:rsid w:val="00C17A8F"/>
    <w:rsid w:val="00C80026"/>
    <w:rsid w:val="00C90559"/>
    <w:rsid w:val="00CA2251"/>
    <w:rsid w:val="00CE1A30"/>
    <w:rsid w:val="00D56C7C"/>
    <w:rsid w:val="00D71B4D"/>
    <w:rsid w:val="00D90289"/>
    <w:rsid w:val="00D93D55"/>
    <w:rsid w:val="00DC4C60"/>
    <w:rsid w:val="00DF67CE"/>
    <w:rsid w:val="00E0079A"/>
    <w:rsid w:val="00E444DA"/>
    <w:rsid w:val="00E45C84"/>
    <w:rsid w:val="00E504E5"/>
    <w:rsid w:val="00EB7A3E"/>
    <w:rsid w:val="00EC1AA7"/>
    <w:rsid w:val="00EC401A"/>
    <w:rsid w:val="00EF530A"/>
    <w:rsid w:val="00EF6622"/>
    <w:rsid w:val="00EF78A9"/>
    <w:rsid w:val="00F15AED"/>
    <w:rsid w:val="00F55408"/>
    <w:rsid w:val="00F66152"/>
    <w:rsid w:val="00F74A41"/>
    <w:rsid w:val="00F80845"/>
    <w:rsid w:val="00F84474"/>
    <w:rsid w:val="00FA0F0D"/>
    <w:rsid w:val="00FD59D1"/>
    <w:rsid w:val="00FD6444"/>
    <w:rsid w:val="00FF4B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1C0523A"/>
  <w15:docId w15:val="{D7E8D7BA-81A7-4F02-9111-29DE4BD5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semiHidden/>
    <w:unhideWhenUsed/>
    <w:rsid w:val="002A7006"/>
    <w:rPr>
      <w:rFonts w:ascii="Segoe UI" w:hAnsi="Segoe UI" w:cs="Segoe UI"/>
      <w:sz w:val="18"/>
      <w:szCs w:val="18"/>
    </w:rPr>
  </w:style>
  <w:style w:type="character" w:customStyle="1" w:styleId="BalloonTextChar">
    <w:name w:val="Balloon Text Char"/>
    <w:basedOn w:val="DefaultParagraphFont"/>
    <w:link w:val="BalloonText"/>
    <w:semiHidden/>
    <w:rsid w:val="002A7006"/>
    <w:rPr>
      <w:rFonts w:ascii="Segoe UI" w:eastAsia="SimSun" w:hAnsi="Segoe UI" w:cs="Segoe UI"/>
      <w:sz w:val="18"/>
      <w:szCs w:val="18"/>
      <w:lang w:val="es-ES" w:eastAsia="zh-CN"/>
    </w:rPr>
  </w:style>
  <w:style w:type="character" w:customStyle="1" w:styleId="Heading2Char">
    <w:name w:val="Heading 2 Char"/>
    <w:basedOn w:val="DefaultParagraphFont"/>
    <w:link w:val="Heading2"/>
    <w:rsid w:val="008C0B73"/>
    <w:rPr>
      <w:rFonts w:ascii="Arial" w:eastAsia="SimSun" w:hAnsi="Arial" w:cs="Arial"/>
      <w:bCs/>
      <w:iCs/>
      <w:caps/>
      <w:sz w:val="22"/>
      <w:szCs w:val="28"/>
      <w:lang w:val="es-ES" w:eastAsia="zh-CN"/>
    </w:rPr>
  </w:style>
  <w:style w:type="character" w:customStyle="1" w:styleId="SignatureChar">
    <w:name w:val="Signature Char"/>
    <w:basedOn w:val="DefaultParagraphFont"/>
    <w:link w:val="Signature"/>
    <w:semiHidden/>
    <w:rsid w:val="008C0B73"/>
    <w:rPr>
      <w:rFonts w:ascii="Arial" w:eastAsia="SimSun" w:hAnsi="Arial" w:cs="Arial"/>
      <w:sz w:val="22"/>
      <w:lang w:val="es-ES" w:eastAsia="zh-CN"/>
    </w:rPr>
  </w:style>
  <w:style w:type="character" w:customStyle="1" w:styleId="ONUMEChar">
    <w:name w:val="ONUM E Char"/>
    <w:link w:val="ONUME"/>
    <w:rsid w:val="008C0B7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(S).dotm</Template>
  <TotalTime>0</TotalTime>
  <Pages>3</Pages>
  <Words>996</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CWS/7/17 (in Spanish)</vt:lpstr>
    </vt:vector>
  </TitlesOfParts>
  <Company>WIPO</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CWS/7/17 (in Spanish)</dc:title>
  <dc:subject>REVISIÓN DE LA NORMA ST.37 DE LA OMPI</dc:subject>
  <dc:creator>WIPO</dc:creator>
  <cp:keywords>CWS, WIPO</cp:keywords>
  <dc:description/>
  <cp:lastModifiedBy>DRAKE Sophie</cp:lastModifiedBy>
  <cp:revision>5</cp:revision>
  <dcterms:created xsi:type="dcterms:W3CDTF">2019-05-17T07:00:00Z</dcterms:created>
  <dcterms:modified xsi:type="dcterms:W3CDTF">2019-05-20T10:54:00Z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aff5008f-d42b-4168-87c9-d83ca7c05be6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