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469A9" w:rsidRPr="001469A9" w14:paraId="352EC54B" w14:textId="77777777" w:rsidTr="00361450">
        <w:tc>
          <w:tcPr>
            <w:tcW w:w="4513" w:type="dxa"/>
            <w:tcBorders>
              <w:bottom w:val="single" w:sz="4" w:space="0" w:color="auto"/>
            </w:tcBorders>
            <w:tcMar>
              <w:bottom w:w="170" w:type="dxa"/>
            </w:tcMar>
          </w:tcPr>
          <w:p w14:paraId="3533C657" w14:textId="77777777" w:rsidR="00EC4E49" w:rsidRPr="001469A9" w:rsidRDefault="00EC4E49" w:rsidP="00916EE2"/>
        </w:tc>
        <w:tc>
          <w:tcPr>
            <w:tcW w:w="4337" w:type="dxa"/>
            <w:tcBorders>
              <w:bottom w:val="single" w:sz="4" w:space="0" w:color="auto"/>
            </w:tcBorders>
            <w:tcMar>
              <w:left w:w="0" w:type="dxa"/>
              <w:right w:w="0" w:type="dxa"/>
            </w:tcMar>
          </w:tcPr>
          <w:p w14:paraId="1E4CD6FE" w14:textId="2CCABF10" w:rsidR="00EC4E49" w:rsidRPr="001469A9" w:rsidRDefault="001469A9" w:rsidP="00916EE2">
            <w:r w:rsidRPr="00174BA2">
              <w:rPr>
                <w:noProof/>
                <w:color w:val="808080"/>
                <w:lang w:val="de-DE" w:eastAsia="de-DE"/>
              </w:rPr>
              <w:drawing>
                <wp:inline distT="0" distB="0" distL="0" distR="0" wp14:anchorId="7910947D" wp14:editId="0C1D6AC9">
                  <wp:extent cx="1857375" cy="1323975"/>
                  <wp:effectExtent l="0" t="0" r="9525" b="9525"/>
                  <wp:docPr id="288" name="Picture 288"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4E08A85" w14:textId="71361BB6" w:rsidR="00EC4E49" w:rsidRPr="001469A9" w:rsidRDefault="001469A9" w:rsidP="00F47C65">
            <w:pPr>
              <w:jc w:val="right"/>
            </w:pPr>
            <w:r w:rsidRPr="00174BA2">
              <w:rPr>
                <w:b/>
                <w:sz w:val="40"/>
                <w:szCs w:val="40"/>
                <w:lang w:val="es-ES"/>
              </w:rPr>
              <w:t>S</w:t>
            </w:r>
          </w:p>
        </w:tc>
      </w:tr>
      <w:tr w:rsidR="001469A9" w:rsidRPr="001469A9" w14:paraId="470E6C1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E5391D4" w14:textId="3FDAEFA1" w:rsidR="008B2CC1" w:rsidRPr="001469A9" w:rsidRDefault="00F47C65" w:rsidP="00F47C65">
            <w:pPr>
              <w:jc w:val="right"/>
              <w:rPr>
                <w:rFonts w:ascii="Arial Black" w:hAnsi="Arial Black"/>
                <w:caps/>
                <w:sz w:val="15"/>
              </w:rPr>
            </w:pPr>
            <w:r w:rsidRPr="001469A9">
              <w:rPr>
                <w:rFonts w:ascii="Arial Black" w:hAnsi="Arial Black"/>
                <w:caps/>
                <w:sz w:val="15"/>
                <w:lang w:val="es-ES_tradnl"/>
              </w:rPr>
              <w:t>CWS/7/14</w:t>
            </w:r>
          </w:p>
        </w:tc>
      </w:tr>
      <w:tr w:rsidR="001469A9" w:rsidRPr="001469A9" w14:paraId="47B9A7CF" w14:textId="77777777" w:rsidTr="00916EE2">
        <w:trPr>
          <w:trHeight w:hRule="exact" w:val="170"/>
        </w:trPr>
        <w:tc>
          <w:tcPr>
            <w:tcW w:w="9356" w:type="dxa"/>
            <w:gridSpan w:val="3"/>
            <w:noWrap/>
            <w:tcMar>
              <w:left w:w="0" w:type="dxa"/>
              <w:right w:w="0" w:type="dxa"/>
            </w:tcMar>
            <w:vAlign w:val="bottom"/>
          </w:tcPr>
          <w:p w14:paraId="0F54EAA0" w14:textId="0596094C" w:rsidR="008B2CC1" w:rsidRPr="001469A9" w:rsidRDefault="00F47C65" w:rsidP="00F47C65">
            <w:pPr>
              <w:jc w:val="right"/>
              <w:rPr>
                <w:rFonts w:ascii="Arial Black" w:hAnsi="Arial Black"/>
                <w:caps/>
                <w:sz w:val="15"/>
              </w:rPr>
            </w:pPr>
            <w:r w:rsidRPr="001469A9">
              <w:rPr>
                <w:rFonts w:ascii="Arial Black" w:hAnsi="Arial Black"/>
                <w:caps/>
                <w:sz w:val="15"/>
                <w:lang w:val="es-ES_tradnl"/>
              </w:rPr>
              <w:t>ORIGINAL: INGLÉS</w:t>
            </w:r>
            <w:r w:rsidR="008B2CC1" w:rsidRPr="001469A9">
              <w:rPr>
                <w:rFonts w:ascii="Arial Black" w:hAnsi="Arial Black"/>
                <w:caps/>
                <w:sz w:val="15"/>
              </w:rPr>
              <w:t xml:space="preserve"> </w:t>
            </w:r>
          </w:p>
        </w:tc>
      </w:tr>
      <w:tr w:rsidR="001469A9" w:rsidRPr="001469A9" w14:paraId="768F1A28" w14:textId="77777777" w:rsidTr="00916EE2">
        <w:trPr>
          <w:trHeight w:hRule="exact" w:val="198"/>
        </w:trPr>
        <w:tc>
          <w:tcPr>
            <w:tcW w:w="9356" w:type="dxa"/>
            <w:gridSpan w:val="3"/>
            <w:tcMar>
              <w:left w:w="0" w:type="dxa"/>
              <w:right w:w="0" w:type="dxa"/>
            </w:tcMar>
            <w:vAlign w:val="bottom"/>
          </w:tcPr>
          <w:p w14:paraId="38678611" w14:textId="0DF7C1B3" w:rsidR="008B2CC1" w:rsidRPr="001469A9" w:rsidRDefault="00F47C65" w:rsidP="00F47C65">
            <w:pPr>
              <w:jc w:val="right"/>
              <w:rPr>
                <w:rFonts w:ascii="Arial Black" w:hAnsi="Arial Black"/>
                <w:caps/>
                <w:sz w:val="15"/>
              </w:rPr>
            </w:pPr>
            <w:r w:rsidRPr="001469A9">
              <w:rPr>
                <w:rFonts w:ascii="Arial Black" w:hAnsi="Arial Black"/>
                <w:caps/>
                <w:sz w:val="15"/>
                <w:lang w:val="es-ES_tradnl"/>
              </w:rPr>
              <w:t>fecha: 14 DE MAYO DE 2019</w:t>
            </w:r>
            <w:r w:rsidR="008B2CC1" w:rsidRPr="001469A9">
              <w:rPr>
                <w:rFonts w:ascii="Arial Black" w:hAnsi="Arial Black"/>
                <w:caps/>
                <w:sz w:val="15"/>
              </w:rPr>
              <w:t xml:space="preserve"> </w:t>
            </w:r>
          </w:p>
        </w:tc>
      </w:tr>
    </w:tbl>
    <w:p w14:paraId="69256D60" w14:textId="77777777" w:rsidR="00F47C65" w:rsidRPr="001469A9" w:rsidRDefault="00F47C65" w:rsidP="008B2CC1"/>
    <w:p w14:paraId="5BE1D82F" w14:textId="77777777" w:rsidR="00F47C65" w:rsidRPr="001469A9" w:rsidRDefault="00F47C65" w:rsidP="008B2CC1"/>
    <w:p w14:paraId="022F7AE3" w14:textId="77777777" w:rsidR="00F47C65" w:rsidRPr="001469A9" w:rsidRDefault="00F47C65" w:rsidP="008B2CC1"/>
    <w:p w14:paraId="728A1AF2" w14:textId="77777777" w:rsidR="00F47C65" w:rsidRPr="001469A9" w:rsidRDefault="00F47C65" w:rsidP="008B2CC1"/>
    <w:p w14:paraId="3738B6DE" w14:textId="77777777" w:rsidR="00F47C65" w:rsidRPr="001469A9" w:rsidRDefault="00F47C65" w:rsidP="008B2CC1"/>
    <w:p w14:paraId="58644BA2" w14:textId="77777777" w:rsidR="00F47C65" w:rsidRPr="001469A9" w:rsidRDefault="00F47C65" w:rsidP="00F47C65">
      <w:pPr>
        <w:rPr>
          <w:b/>
          <w:sz w:val="28"/>
          <w:szCs w:val="28"/>
          <w:lang w:val="es-ES"/>
        </w:rPr>
      </w:pPr>
      <w:r w:rsidRPr="001469A9">
        <w:rPr>
          <w:b/>
          <w:sz w:val="28"/>
          <w:szCs w:val="28"/>
          <w:lang w:val="es-ES_tradnl"/>
        </w:rPr>
        <w:t>Comité de Normas Técnicas de la OMPI (CWS)</w:t>
      </w:r>
    </w:p>
    <w:p w14:paraId="1AB658A6" w14:textId="77777777" w:rsidR="00F47C65" w:rsidRPr="001469A9" w:rsidRDefault="00F47C65" w:rsidP="003845C1">
      <w:pPr>
        <w:rPr>
          <w:lang w:val="es-ES"/>
        </w:rPr>
      </w:pPr>
    </w:p>
    <w:p w14:paraId="6073A721" w14:textId="77777777" w:rsidR="00F47C65" w:rsidRPr="001469A9" w:rsidRDefault="00F47C65" w:rsidP="003845C1">
      <w:pPr>
        <w:rPr>
          <w:lang w:val="es-ES"/>
        </w:rPr>
      </w:pPr>
    </w:p>
    <w:p w14:paraId="4B5CEEFF" w14:textId="64C12FCD" w:rsidR="00F47C65" w:rsidRPr="001469A9" w:rsidRDefault="00F47C65" w:rsidP="00F47C65">
      <w:pPr>
        <w:rPr>
          <w:b/>
          <w:sz w:val="24"/>
          <w:szCs w:val="24"/>
          <w:lang w:val="es-ES"/>
        </w:rPr>
      </w:pPr>
      <w:r w:rsidRPr="001469A9">
        <w:rPr>
          <w:b/>
          <w:sz w:val="24"/>
          <w:szCs w:val="24"/>
          <w:lang w:val="es-ES_tradnl"/>
        </w:rPr>
        <w:t xml:space="preserve">Séptima </w:t>
      </w:r>
      <w:r w:rsidR="00AD1B18">
        <w:rPr>
          <w:b/>
          <w:sz w:val="24"/>
          <w:szCs w:val="24"/>
          <w:lang w:val="es-ES_tradnl"/>
        </w:rPr>
        <w:t>sesión</w:t>
      </w:r>
    </w:p>
    <w:p w14:paraId="6C39F6A9" w14:textId="77777777" w:rsidR="00F47C65" w:rsidRPr="001469A9" w:rsidRDefault="00F47C65" w:rsidP="00F47C65">
      <w:pPr>
        <w:rPr>
          <w:b/>
          <w:sz w:val="24"/>
          <w:szCs w:val="24"/>
          <w:lang w:val="es-ES"/>
        </w:rPr>
      </w:pPr>
      <w:r w:rsidRPr="001469A9">
        <w:rPr>
          <w:b/>
          <w:sz w:val="24"/>
          <w:szCs w:val="24"/>
          <w:lang w:val="es-ES_tradnl"/>
        </w:rPr>
        <w:t>Ginebra, 1 a 5 de julio de 2019</w:t>
      </w:r>
    </w:p>
    <w:p w14:paraId="06B8A204" w14:textId="77777777" w:rsidR="00F47C65" w:rsidRPr="001469A9" w:rsidRDefault="00F47C65" w:rsidP="008B2CC1">
      <w:pPr>
        <w:rPr>
          <w:lang w:val="es-ES"/>
        </w:rPr>
      </w:pPr>
    </w:p>
    <w:p w14:paraId="742C273A" w14:textId="77777777" w:rsidR="00F47C65" w:rsidRPr="001469A9" w:rsidRDefault="00F47C65" w:rsidP="008B2CC1">
      <w:pPr>
        <w:rPr>
          <w:lang w:val="es-ES"/>
        </w:rPr>
      </w:pPr>
    </w:p>
    <w:p w14:paraId="5CE9C99D" w14:textId="77777777" w:rsidR="00F47C65" w:rsidRPr="001469A9" w:rsidRDefault="00F47C65" w:rsidP="008B2CC1">
      <w:pPr>
        <w:rPr>
          <w:lang w:val="es-ES"/>
        </w:rPr>
      </w:pPr>
    </w:p>
    <w:p w14:paraId="64D4EECD" w14:textId="77777777" w:rsidR="00F47C65" w:rsidRPr="001469A9" w:rsidRDefault="00F47C65" w:rsidP="00F47C65">
      <w:pPr>
        <w:rPr>
          <w:caps/>
          <w:sz w:val="24"/>
          <w:lang w:val="es-ES"/>
        </w:rPr>
      </w:pPr>
      <w:bookmarkStart w:id="0" w:name="TitleOfDoc"/>
      <w:bookmarkStart w:id="1" w:name="_GoBack"/>
      <w:bookmarkEnd w:id="0"/>
      <w:r w:rsidRPr="001469A9">
        <w:rPr>
          <w:caps/>
          <w:sz w:val="24"/>
          <w:lang w:val="es-ES_tradnl"/>
        </w:rPr>
        <w:t>REVISIÓN DE LA NORMA ST.26 DE LA OMPI</w:t>
      </w:r>
    </w:p>
    <w:bookmarkEnd w:id="1"/>
    <w:p w14:paraId="57DA0A42" w14:textId="77777777" w:rsidR="00F47C65" w:rsidRPr="001469A9" w:rsidRDefault="00F47C65" w:rsidP="008B2CC1">
      <w:pPr>
        <w:rPr>
          <w:lang w:val="es-ES"/>
        </w:rPr>
      </w:pPr>
    </w:p>
    <w:p w14:paraId="3EFEE4D8" w14:textId="77777777" w:rsidR="00F47C65" w:rsidRPr="001469A9" w:rsidRDefault="00F47C65" w:rsidP="00F47C65">
      <w:pPr>
        <w:rPr>
          <w:i/>
          <w:lang w:val="es-ES"/>
        </w:rPr>
      </w:pPr>
      <w:bookmarkStart w:id="2" w:name="Prepared"/>
      <w:bookmarkEnd w:id="2"/>
      <w:r w:rsidRPr="001469A9">
        <w:rPr>
          <w:i/>
          <w:lang w:val="es-ES_tradnl"/>
        </w:rPr>
        <w:t>Documento preparado por la Oficina Internacional</w:t>
      </w:r>
    </w:p>
    <w:p w14:paraId="539E0A6F" w14:textId="77777777" w:rsidR="00F47C65" w:rsidRPr="001469A9" w:rsidRDefault="00F47C65">
      <w:pPr>
        <w:rPr>
          <w:lang w:val="es-ES"/>
        </w:rPr>
      </w:pPr>
    </w:p>
    <w:p w14:paraId="7103279A" w14:textId="77777777" w:rsidR="00F47C65" w:rsidRPr="001469A9" w:rsidRDefault="00F47C65">
      <w:pPr>
        <w:rPr>
          <w:lang w:val="es-ES"/>
        </w:rPr>
      </w:pPr>
    </w:p>
    <w:p w14:paraId="211332A3" w14:textId="77777777" w:rsidR="00F47C65" w:rsidRPr="001469A9" w:rsidRDefault="00F47C65" w:rsidP="0053057A">
      <w:pPr>
        <w:rPr>
          <w:u w:val="single"/>
          <w:lang w:val="es-ES"/>
        </w:rPr>
      </w:pPr>
    </w:p>
    <w:p w14:paraId="788A5C12" w14:textId="77777777" w:rsidR="00F47C65" w:rsidRPr="001469A9" w:rsidRDefault="00F47C65" w:rsidP="0053057A">
      <w:pPr>
        <w:rPr>
          <w:lang w:val="es-ES"/>
        </w:rPr>
      </w:pPr>
    </w:p>
    <w:p w14:paraId="6EFB1BF7" w14:textId="77777777" w:rsidR="00F47C65" w:rsidRPr="001469A9" w:rsidRDefault="00F47C65" w:rsidP="0053057A">
      <w:pPr>
        <w:rPr>
          <w:lang w:val="es-ES"/>
        </w:rPr>
      </w:pPr>
    </w:p>
    <w:p w14:paraId="144C67EB" w14:textId="77777777" w:rsidR="00F47C65" w:rsidRPr="00AD1B18" w:rsidRDefault="00F47C65" w:rsidP="00592FD3">
      <w:pPr>
        <w:pStyle w:val="Heading2"/>
        <w:spacing w:before="0"/>
        <w:rPr>
          <w:szCs w:val="22"/>
          <w:lang w:val="es-ES"/>
        </w:rPr>
      </w:pPr>
      <w:r w:rsidRPr="001469A9">
        <w:rPr>
          <w:szCs w:val="22"/>
          <w:lang w:val="es-ES_tradnl"/>
        </w:rPr>
        <w:t>Introducción</w:t>
      </w:r>
    </w:p>
    <w:p w14:paraId="4B16C375" w14:textId="06CD280F" w:rsidR="00F47C65" w:rsidRPr="00AD1B18" w:rsidRDefault="000C1B65" w:rsidP="0036684A">
      <w:pPr>
        <w:spacing w:after="240"/>
        <w:rPr>
          <w:szCs w:val="22"/>
          <w:lang w:val="es-ES"/>
        </w:rPr>
      </w:pPr>
      <w:r w:rsidRPr="001469A9">
        <w:rPr>
          <w:szCs w:val="22"/>
        </w:rPr>
        <w:fldChar w:fldCharType="begin"/>
      </w:r>
      <w:r w:rsidRPr="00AD1B18">
        <w:rPr>
          <w:szCs w:val="22"/>
          <w:lang w:val="es-ES"/>
        </w:rPr>
        <w:instrText xml:space="preserve"> AUTONUM  </w:instrText>
      </w:r>
      <w:r w:rsidRPr="001469A9">
        <w:rPr>
          <w:szCs w:val="22"/>
        </w:rPr>
        <w:fldChar w:fldCharType="end"/>
      </w:r>
      <w:r w:rsidRPr="00AD1B18">
        <w:rPr>
          <w:szCs w:val="22"/>
          <w:lang w:val="es-ES"/>
        </w:rPr>
        <w:tab/>
      </w:r>
      <w:r w:rsidR="00AD1B18" w:rsidRPr="00AD1B18">
        <w:rPr>
          <w:szCs w:val="22"/>
          <w:lang w:val="es-ES"/>
        </w:rPr>
        <w:t xml:space="preserve">En la sexta sesión del Comité de Normas Técnicas de la OMPI (CWS), celebrada en Ginebra en 2018, el Equipo Técnico </w:t>
      </w:r>
      <w:r w:rsidR="00A75DA0">
        <w:rPr>
          <w:szCs w:val="22"/>
          <w:lang w:val="es-ES"/>
        </w:rPr>
        <w:t>sobre</w:t>
      </w:r>
      <w:r w:rsidR="00AD1B18" w:rsidRPr="00AD1B18">
        <w:rPr>
          <w:szCs w:val="22"/>
          <w:lang w:val="es-ES"/>
        </w:rPr>
        <w:t xml:space="preserve"> </w:t>
      </w:r>
      <w:r w:rsidR="00A75DA0">
        <w:rPr>
          <w:szCs w:val="22"/>
          <w:lang w:val="es-ES"/>
        </w:rPr>
        <w:t>l</w:t>
      </w:r>
      <w:r w:rsidR="00AD1B18" w:rsidRPr="00AD1B18">
        <w:rPr>
          <w:szCs w:val="22"/>
          <w:lang w:val="es-ES"/>
        </w:rPr>
        <w:t xml:space="preserve">istas de </w:t>
      </w:r>
      <w:r w:rsidR="00A75DA0">
        <w:rPr>
          <w:szCs w:val="22"/>
          <w:lang w:val="es-ES"/>
        </w:rPr>
        <w:t>s</w:t>
      </w:r>
      <w:r w:rsidR="00AD1B18" w:rsidRPr="00AD1B18">
        <w:rPr>
          <w:szCs w:val="22"/>
          <w:lang w:val="es-ES"/>
        </w:rPr>
        <w:t>ecuencias</w:t>
      </w:r>
      <w:r w:rsidR="00A75DA0">
        <w:rPr>
          <w:szCs w:val="22"/>
          <w:lang w:val="es-ES"/>
        </w:rPr>
        <w:t xml:space="preserve"> </w:t>
      </w:r>
      <w:r w:rsidR="00BD0988">
        <w:rPr>
          <w:szCs w:val="22"/>
          <w:lang w:val="es-ES"/>
        </w:rPr>
        <w:t xml:space="preserve">(Equipo Técnico SEQL) </w:t>
      </w:r>
      <w:r w:rsidR="00AD1B18" w:rsidRPr="00AD1B18">
        <w:rPr>
          <w:szCs w:val="22"/>
          <w:lang w:val="es-ES"/>
        </w:rPr>
        <w:t xml:space="preserve">propuso una serie de modificaciones de la Norma ST.26 de la OMPI (véase el documento CWS/6/16). Entre las modificaciones se contaban la modificación del cuerpo principal de la </w:t>
      </w:r>
      <w:r w:rsidR="00A75DA0">
        <w:rPr>
          <w:szCs w:val="22"/>
          <w:lang w:val="es-ES"/>
        </w:rPr>
        <w:t>N</w:t>
      </w:r>
      <w:r w:rsidR="00AD1B18" w:rsidRPr="00AD1B18">
        <w:rPr>
          <w:szCs w:val="22"/>
          <w:lang w:val="es-ES"/>
        </w:rPr>
        <w:t xml:space="preserve">orma, modificaciones de los </w:t>
      </w:r>
      <w:r w:rsidR="00A75DA0">
        <w:rPr>
          <w:szCs w:val="22"/>
          <w:lang w:val="es-ES"/>
        </w:rPr>
        <w:t>A</w:t>
      </w:r>
      <w:r w:rsidR="00AD1B18" w:rsidRPr="00AD1B18">
        <w:rPr>
          <w:szCs w:val="22"/>
          <w:lang w:val="es-ES"/>
        </w:rPr>
        <w:t xml:space="preserve">nexos I, II, III, IV y VI de la </w:t>
      </w:r>
      <w:r w:rsidR="00BD0988">
        <w:rPr>
          <w:szCs w:val="22"/>
          <w:lang w:val="es-ES"/>
        </w:rPr>
        <w:t xml:space="preserve">misma y la adición de un nuevo Anexo VII, sobre </w:t>
      </w:r>
      <w:r w:rsidR="00BD0988" w:rsidRPr="00BD0988">
        <w:rPr>
          <w:szCs w:val="22"/>
          <w:lang w:val="es-ES"/>
        </w:rPr>
        <w:t>la</w:t>
      </w:r>
      <w:r w:rsidR="00AD1B18" w:rsidRPr="00BD0988">
        <w:rPr>
          <w:szCs w:val="22"/>
          <w:lang w:val="es-ES"/>
        </w:rPr>
        <w:t xml:space="preserve"> </w:t>
      </w:r>
      <w:r w:rsidR="00BD0988">
        <w:rPr>
          <w:szCs w:val="22"/>
          <w:lang w:val="es-ES"/>
        </w:rPr>
        <w:t xml:space="preserve">correspondiente </w:t>
      </w:r>
      <w:r w:rsidR="00AD1B18" w:rsidRPr="00BD0988">
        <w:rPr>
          <w:szCs w:val="22"/>
          <w:lang w:val="es-ES"/>
        </w:rPr>
        <w:t>transformaci</w:t>
      </w:r>
      <w:r w:rsidR="00BD0988" w:rsidRPr="00BD0988">
        <w:rPr>
          <w:szCs w:val="22"/>
          <w:lang w:val="es-ES"/>
        </w:rPr>
        <w:t>ón d</w:t>
      </w:r>
      <w:r w:rsidR="00BD0988">
        <w:rPr>
          <w:szCs w:val="22"/>
          <w:lang w:val="es-ES"/>
        </w:rPr>
        <w:t>e una lista de secuencias</w:t>
      </w:r>
      <w:r w:rsidR="00AD1B18" w:rsidRPr="00AD1B18">
        <w:rPr>
          <w:szCs w:val="22"/>
          <w:lang w:val="es-ES"/>
        </w:rPr>
        <w:t xml:space="preserve"> </w:t>
      </w:r>
      <w:r w:rsidR="00BD0988">
        <w:rPr>
          <w:szCs w:val="22"/>
          <w:lang w:val="es-ES"/>
        </w:rPr>
        <w:t>de</w:t>
      </w:r>
      <w:r w:rsidR="00AD1B18" w:rsidRPr="00AD1B18">
        <w:rPr>
          <w:szCs w:val="22"/>
          <w:lang w:val="es-ES"/>
        </w:rPr>
        <w:t xml:space="preserve"> la </w:t>
      </w:r>
      <w:r w:rsidR="00A75DA0">
        <w:rPr>
          <w:szCs w:val="22"/>
          <w:lang w:val="es-ES"/>
        </w:rPr>
        <w:t>N</w:t>
      </w:r>
      <w:r w:rsidR="00BD0988">
        <w:rPr>
          <w:szCs w:val="22"/>
          <w:lang w:val="es-ES"/>
        </w:rPr>
        <w:t>orma ST.25 a la</w:t>
      </w:r>
      <w:r w:rsidR="00AD1B18" w:rsidRPr="00AD1B18">
        <w:rPr>
          <w:szCs w:val="22"/>
          <w:lang w:val="es-ES"/>
        </w:rPr>
        <w:t xml:space="preserve"> </w:t>
      </w:r>
      <w:r w:rsidR="00A75DA0">
        <w:rPr>
          <w:szCs w:val="22"/>
          <w:lang w:val="es-ES"/>
        </w:rPr>
        <w:t>N</w:t>
      </w:r>
      <w:r w:rsidR="00AD1B18" w:rsidRPr="00AD1B18">
        <w:rPr>
          <w:szCs w:val="22"/>
          <w:lang w:val="es-ES"/>
        </w:rPr>
        <w:t xml:space="preserve">orma ST.26 de la OMPI. El CWS aprobó una nueva </w:t>
      </w:r>
      <w:r w:rsidR="008F188B">
        <w:rPr>
          <w:szCs w:val="22"/>
          <w:lang w:val="es-ES"/>
        </w:rPr>
        <w:t>versión de la Norma, la versión </w:t>
      </w:r>
      <w:r w:rsidR="00AD1B18" w:rsidRPr="00AD1B18">
        <w:rPr>
          <w:szCs w:val="22"/>
          <w:lang w:val="es-ES"/>
        </w:rPr>
        <w:t>1.2, que incluía los cambios propuestos que figuran en el documento CWS/6/16, pero con la adición de lo siguiente</w:t>
      </w:r>
      <w:r w:rsidR="0036684A" w:rsidRPr="00AD1B18">
        <w:rPr>
          <w:szCs w:val="22"/>
          <w:lang w:val="es-ES"/>
        </w:rPr>
        <w:t>:</w:t>
      </w:r>
    </w:p>
    <w:p w14:paraId="39770045" w14:textId="0CA7ABFB" w:rsidR="00F47C65" w:rsidRPr="00A45507" w:rsidRDefault="00A75DA0" w:rsidP="0036684A">
      <w:pPr>
        <w:pStyle w:val="ListParagraph"/>
        <w:numPr>
          <w:ilvl w:val="0"/>
          <w:numId w:val="16"/>
        </w:numPr>
        <w:rPr>
          <w:szCs w:val="22"/>
          <w:lang w:val="es-ES"/>
        </w:rPr>
      </w:pPr>
      <w:r w:rsidRPr="00A45507">
        <w:rPr>
          <w:szCs w:val="22"/>
          <w:lang w:val="es-ES"/>
        </w:rPr>
        <w:t xml:space="preserve">Sustitución de la </w:t>
      </w:r>
      <w:r w:rsidR="00A45507" w:rsidRPr="00A45507">
        <w:rPr>
          <w:szCs w:val="22"/>
          <w:lang w:val="es-ES"/>
        </w:rPr>
        <w:t>palabra</w:t>
      </w:r>
      <w:r w:rsidR="00BD0988">
        <w:rPr>
          <w:szCs w:val="22"/>
          <w:lang w:val="es-ES"/>
        </w:rPr>
        <w:t xml:space="preserve"> “</w:t>
      </w:r>
      <w:r w:rsidR="0036684A" w:rsidRPr="00A45507">
        <w:rPr>
          <w:szCs w:val="22"/>
          <w:lang w:val="es-ES"/>
        </w:rPr>
        <w:t>legal</w:t>
      </w:r>
      <w:r w:rsidR="00BD0988">
        <w:rPr>
          <w:szCs w:val="22"/>
          <w:lang w:val="es-ES"/>
        </w:rPr>
        <w:t>”</w:t>
      </w:r>
      <w:r w:rsidR="0036684A" w:rsidRPr="00A45507">
        <w:rPr>
          <w:szCs w:val="22"/>
          <w:lang w:val="es-ES"/>
        </w:rPr>
        <w:t xml:space="preserve"> </w:t>
      </w:r>
      <w:r w:rsidR="00A45507" w:rsidRPr="00A45507">
        <w:rPr>
          <w:szCs w:val="22"/>
          <w:lang w:val="es-ES"/>
        </w:rPr>
        <w:t>por la palabra</w:t>
      </w:r>
      <w:r w:rsidR="0036684A" w:rsidRPr="00A45507">
        <w:rPr>
          <w:szCs w:val="22"/>
          <w:lang w:val="es-ES"/>
        </w:rPr>
        <w:t xml:space="preserve"> </w:t>
      </w:r>
      <w:r w:rsidR="00BD0988">
        <w:rPr>
          <w:szCs w:val="22"/>
          <w:lang w:val="es-ES"/>
        </w:rPr>
        <w:t>“</w:t>
      </w:r>
      <w:proofErr w:type="spellStart"/>
      <w:r w:rsidR="0036684A" w:rsidRPr="00A45507">
        <w:rPr>
          <w:szCs w:val="22"/>
          <w:lang w:val="es-ES"/>
        </w:rPr>
        <w:t>permitted</w:t>
      </w:r>
      <w:proofErr w:type="spellEnd"/>
      <w:r w:rsidR="00BD0988">
        <w:rPr>
          <w:szCs w:val="22"/>
          <w:lang w:val="es-ES"/>
        </w:rPr>
        <w:t>”</w:t>
      </w:r>
      <w:r w:rsidR="0036684A" w:rsidRPr="00A45507">
        <w:rPr>
          <w:szCs w:val="22"/>
          <w:lang w:val="es-ES"/>
        </w:rPr>
        <w:t xml:space="preserve"> </w:t>
      </w:r>
      <w:r w:rsidR="00A45507" w:rsidRPr="00A45507">
        <w:rPr>
          <w:szCs w:val="22"/>
          <w:lang w:val="es-ES"/>
        </w:rPr>
        <w:t>en tres casos</w:t>
      </w:r>
      <w:r w:rsidR="0036684A" w:rsidRPr="00A45507">
        <w:rPr>
          <w:szCs w:val="22"/>
          <w:lang w:val="es-ES"/>
        </w:rPr>
        <w:t>;</w:t>
      </w:r>
    </w:p>
    <w:p w14:paraId="59BE4D65" w14:textId="63463D07" w:rsidR="00F47C65" w:rsidRPr="00206DF2" w:rsidRDefault="000C6BDE" w:rsidP="000C6BDE">
      <w:pPr>
        <w:pStyle w:val="ListParagraph"/>
        <w:numPr>
          <w:ilvl w:val="0"/>
          <w:numId w:val="16"/>
        </w:numPr>
        <w:rPr>
          <w:szCs w:val="22"/>
          <w:lang w:val="es-ES"/>
        </w:rPr>
      </w:pPr>
      <w:r w:rsidRPr="000C6BDE">
        <w:rPr>
          <w:szCs w:val="22"/>
          <w:lang w:val="es-ES"/>
        </w:rPr>
        <w:t>sustitución de las palabras “porción” y “porciones” por las palabras “región” y “regiones” 15 veces en el Anexo VI “Documento de orientación”;</w:t>
      </w:r>
      <w:r w:rsidR="0036684A" w:rsidRPr="00206DF2">
        <w:rPr>
          <w:szCs w:val="22"/>
          <w:lang w:val="es-ES"/>
        </w:rPr>
        <w:t xml:space="preserve"> </w:t>
      </w:r>
      <w:r w:rsidR="00A45507" w:rsidRPr="00206DF2">
        <w:rPr>
          <w:szCs w:val="22"/>
          <w:lang w:val="es-ES"/>
        </w:rPr>
        <w:t>y</w:t>
      </w:r>
    </w:p>
    <w:p w14:paraId="0849E24B" w14:textId="77777777" w:rsidR="00F47C65" w:rsidRPr="001469A9" w:rsidRDefault="00F47C65" w:rsidP="00F47C65">
      <w:pPr>
        <w:pStyle w:val="ListParagraph"/>
        <w:numPr>
          <w:ilvl w:val="0"/>
          <w:numId w:val="16"/>
        </w:numPr>
        <w:spacing w:after="220"/>
        <w:contextualSpacing w:val="0"/>
        <w:rPr>
          <w:szCs w:val="22"/>
          <w:lang w:val="es-ES"/>
        </w:rPr>
      </w:pPr>
      <w:r w:rsidRPr="001469A9">
        <w:rPr>
          <w:szCs w:val="22"/>
          <w:lang w:val="es-ES_tradnl"/>
        </w:rPr>
        <w:t>Adición de una nueva frase, a saber, “La clave de caracterización “base_ modificada” para la secuencia de nucleótidos” está presente tanto en la Norma ST.25 como en la Norma ST.26; no obstante, la situación hipotética 7 contiene recomendaciones apropiadas” tras la primera frase de la situación hipotética 9 del Anexo VII, Recomendación para la transformación de una lista de secuencias de ST.25 a ST.26.</w:t>
      </w:r>
      <w:r w:rsidR="0036684A" w:rsidRPr="001469A9">
        <w:rPr>
          <w:szCs w:val="22"/>
          <w:lang w:val="es-ES"/>
        </w:rPr>
        <w:t xml:space="preserve"> </w:t>
      </w:r>
    </w:p>
    <w:p w14:paraId="2A3AC532" w14:textId="6DD571AB" w:rsidR="00F47C65" w:rsidRPr="000C6BDE" w:rsidRDefault="003B5B74" w:rsidP="00B36DD8">
      <w:pPr>
        <w:keepNext/>
        <w:keepLines/>
        <w:spacing w:after="220"/>
        <w:rPr>
          <w:szCs w:val="22"/>
          <w:lang w:val="es-ES"/>
        </w:rPr>
      </w:pPr>
      <w:r w:rsidRPr="000C6BDE">
        <w:rPr>
          <w:szCs w:val="22"/>
          <w:lang w:val="es-ES"/>
        </w:rPr>
        <w:lastRenderedPageBreak/>
        <w:t>2.</w:t>
      </w:r>
      <w:r w:rsidRPr="000C6BDE">
        <w:rPr>
          <w:szCs w:val="22"/>
          <w:lang w:val="es-ES"/>
        </w:rPr>
        <w:tab/>
      </w:r>
      <w:r w:rsidR="000C6BDE" w:rsidRPr="000C6BDE">
        <w:rPr>
          <w:szCs w:val="22"/>
          <w:lang w:val="es-ES"/>
        </w:rPr>
        <w:t>En su sexta sesión, el</w:t>
      </w:r>
      <w:r w:rsidRPr="000C6BDE">
        <w:rPr>
          <w:szCs w:val="22"/>
          <w:lang w:val="es-ES"/>
        </w:rPr>
        <w:t xml:space="preserve"> CWS</w:t>
      </w:r>
      <w:r w:rsidR="000C6BDE" w:rsidRPr="000C6BDE">
        <w:rPr>
          <w:szCs w:val="22"/>
          <w:lang w:val="es-ES"/>
        </w:rPr>
        <w:t xml:space="preserve"> convino también en </w:t>
      </w:r>
      <w:r w:rsidR="00BD0988">
        <w:rPr>
          <w:szCs w:val="22"/>
          <w:lang w:val="es-ES"/>
        </w:rPr>
        <w:t>que se modifique</w:t>
      </w:r>
      <w:r w:rsidR="000C6BDE" w:rsidRPr="000C6BDE">
        <w:rPr>
          <w:szCs w:val="22"/>
          <w:lang w:val="es-ES"/>
        </w:rPr>
        <w:t xml:space="preserve"> la descripci</w:t>
      </w:r>
      <w:r w:rsidR="000C6BDE">
        <w:rPr>
          <w:szCs w:val="22"/>
          <w:lang w:val="es-ES"/>
        </w:rPr>
        <w:t xml:space="preserve">ón de la Tarea </w:t>
      </w:r>
      <w:r w:rsidR="00BD0988">
        <w:rPr>
          <w:szCs w:val="22"/>
          <w:lang w:val="es-ES"/>
        </w:rPr>
        <w:t>N</w:t>
      </w:r>
      <w:r w:rsidR="008F188B">
        <w:rPr>
          <w:szCs w:val="22"/>
          <w:lang w:val="es-ES"/>
        </w:rPr>
        <w:t>.</w:t>
      </w:r>
      <w:r w:rsidR="00BD0988">
        <w:rPr>
          <w:szCs w:val="22"/>
          <w:lang w:val="es-ES"/>
        </w:rPr>
        <w:t>º</w:t>
      </w:r>
      <w:r w:rsidR="008F188B">
        <w:rPr>
          <w:szCs w:val="22"/>
          <w:lang w:val="es-ES"/>
        </w:rPr>
        <w:t xml:space="preserve"> </w:t>
      </w:r>
      <w:r w:rsidRPr="000C6BDE">
        <w:rPr>
          <w:szCs w:val="22"/>
          <w:lang w:val="es-ES"/>
        </w:rPr>
        <w:t xml:space="preserve">44 </w:t>
      </w:r>
      <w:r w:rsidR="000C6BDE">
        <w:rPr>
          <w:szCs w:val="22"/>
          <w:lang w:val="es-ES"/>
        </w:rPr>
        <w:t>para que diga lo siguiente</w:t>
      </w:r>
      <w:r w:rsidRPr="000C6BDE">
        <w:rPr>
          <w:szCs w:val="22"/>
          <w:lang w:val="es-ES"/>
        </w:rPr>
        <w:t>:</w:t>
      </w:r>
    </w:p>
    <w:p w14:paraId="78651317" w14:textId="77777777" w:rsidR="00F47C65" w:rsidRPr="001469A9" w:rsidRDefault="00F47C65" w:rsidP="00F47C65">
      <w:pPr>
        <w:pStyle w:val="ListParagraph"/>
        <w:keepNext/>
        <w:keepLines/>
        <w:numPr>
          <w:ilvl w:val="0"/>
          <w:numId w:val="16"/>
        </w:numPr>
        <w:spacing w:after="220"/>
        <w:rPr>
          <w:szCs w:val="22"/>
          <w:lang w:val="es-ES"/>
        </w:rPr>
      </w:pPr>
      <w:r w:rsidRPr="001469A9">
        <w:rPr>
          <w:i/>
          <w:szCs w:val="22"/>
          <w:lang w:val="es-ES_tradnl"/>
        </w:rPr>
        <w:t>Descripción</w:t>
      </w:r>
      <w:r w:rsidRPr="001469A9">
        <w:rPr>
          <w:szCs w:val="22"/>
          <w:lang w:val="es-ES_tradnl"/>
        </w:rPr>
        <w:t>: 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14:paraId="33C99BF0" w14:textId="5BFBB631" w:rsidR="00F47C65" w:rsidRPr="009C6849" w:rsidRDefault="003B5B74" w:rsidP="008C7F45">
      <w:pPr>
        <w:spacing w:after="220"/>
        <w:rPr>
          <w:szCs w:val="22"/>
          <w:lang w:val="es-ES"/>
        </w:rPr>
      </w:pPr>
      <w:r w:rsidRPr="001469A9">
        <w:rPr>
          <w:szCs w:val="22"/>
        </w:rPr>
        <w:fldChar w:fldCharType="begin"/>
      </w:r>
      <w:r w:rsidRPr="009C6849">
        <w:rPr>
          <w:szCs w:val="22"/>
          <w:lang w:val="es-ES"/>
        </w:rPr>
        <w:instrText xml:space="preserve"> AUTONUM  </w:instrText>
      </w:r>
      <w:r w:rsidRPr="001469A9">
        <w:rPr>
          <w:szCs w:val="22"/>
        </w:rPr>
        <w:fldChar w:fldCharType="end"/>
      </w:r>
      <w:r w:rsidRPr="009C6849">
        <w:rPr>
          <w:szCs w:val="22"/>
          <w:lang w:val="es-ES"/>
        </w:rPr>
        <w:tab/>
      </w:r>
      <w:r w:rsidR="009C6849" w:rsidRPr="009C6849">
        <w:rPr>
          <w:szCs w:val="22"/>
          <w:lang w:val="es-ES"/>
        </w:rPr>
        <w:t xml:space="preserve">Así pues, </w:t>
      </w:r>
      <w:r w:rsidR="009C6849">
        <w:rPr>
          <w:szCs w:val="22"/>
          <w:lang w:val="es-ES"/>
        </w:rPr>
        <w:t xml:space="preserve">en febrero de 2019 se publicó </w:t>
      </w:r>
      <w:r w:rsidR="009C6849" w:rsidRPr="009C6849">
        <w:rPr>
          <w:szCs w:val="22"/>
          <w:lang w:val="es-ES"/>
        </w:rPr>
        <w:t>la última versi</w:t>
      </w:r>
      <w:r w:rsidR="009C6849">
        <w:rPr>
          <w:szCs w:val="22"/>
          <w:lang w:val="es-ES"/>
        </w:rPr>
        <w:t>ó</w:t>
      </w:r>
      <w:r w:rsidR="009C6849" w:rsidRPr="009C6849">
        <w:rPr>
          <w:szCs w:val="22"/>
          <w:lang w:val="es-ES"/>
        </w:rPr>
        <w:t>n de la Norma</w:t>
      </w:r>
      <w:r w:rsidRPr="009C6849">
        <w:rPr>
          <w:szCs w:val="22"/>
          <w:lang w:val="es-ES"/>
        </w:rPr>
        <w:t xml:space="preserve"> ST.26</w:t>
      </w:r>
      <w:r w:rsidR="009C6849" w:rsidRPr="009C6849">
        <w:rPr>
          <w:szCs w:val="22"/>
          <w:lang w:val="es-ES"/>
        </w:rPr>
        <w:t xml:space="preserve"> de la OMPI</w:t>
      </w:r>
      <w:r w:rsidRPr="009C6849">
        <w:rPr>
          <w:szCs w:val="22"/>
          <w:lang w:val="es-ES"/>
        </w:rPr>
        <w:t xml:space="preserve">, </w:t>
      </w:r>
      <w:r w:rsidR="00BD0988">
        <w:rPr>
          <w:szCs w:val="22"/>
          <w:lang w:val="es-ES"/>
        </w:rPr>
        <w:t xml:space="preserve">a saber, la </w:t>
      </w:r>
      <w:r w:rsidRPr="009C6849">
        <w:rPr>
          <w:szCs w:val="22"/>
          <w:lang w:val="es-ES"/>
        </w:rPr>
        <w:t>v</w:t>
      </w:r>
      <w:r w:rsidR="00AF7224" w:rsidRPr="009C6849">
        <w:rPr>
          <w:szCs w:val="22"/>
          <w:lang w:val="es-ES"/>
        </w:rPr>
        <w:t>ersi</w:t>
      </w:r>
      <w:r w:rsidR="009C6849">
        <w:rPr>
          <w:szCs w:val="22"/>
          <w:lang w:val="es-ES"/>
        </w:rPr>
        <w:t>ón</w:t>
      </w:r>
      <w:r w:rsidR="00AF7224" w:rsidRPr="009C6849">
        <w:rPr>
          <w:szCs w:val="22"/>
          <w:lang w:val="es-ES"/>
        </w:rPr>
        <w:t xml:space="preserve"> 1.2. </w:t>
      </w:r>
    </w:p>
    <w:p w14:paraId="619A91ED" w14:textId="70929EDA" w:rsidR="00F47C65" w:rsidRPr="004A4365" w:rsidRDefault="0036684A" w:rsidP="00792BF0">
      <w:pPr>
        <w:spacing w:after="220"/>
        <w:rPr>
          <w:szCs w:val="22"/>
          <w:lang w:val="es-ES"/>
        </w:rPr>
      </w:pPr>
      <w:r w:rsidRPr="001469A9">
        <w:rPr>
          <w:szCs w:val="22"/>
        </w:rPr>
        <w:fldChar w:fldCharType="begin"/>
      </w:r>
      <w:r w:rsidRPr="004A4365">
        <w:rPr>
          <w:szCs w:val="22"/>
          <w:lang w:val="es-ES"/>
        </w:rPr>
        <w:instrText xml:space="preserve"> AUTONUM  </w:instrText>
      </w:r>
      <w:r w:rsidRPr="001469A9">
        <w:rPr>
          <w:szCs w:val="22"/>
        </w:rPr>
        <w:fldChar w:fldCharType="end"/>
      </w:r>
      <w:r w:rsidRPr="004A4365">
        <w:rPr>
          <w:szCs w:val="22"/>
          <w:lang w:val="es-ES"/>
        </w:rPr>
        <w:tab/>
      </w:r>
      <w:r w:rsidR="004A4365" w:rsidRPr="004A4365">
        <w:rPr>
          <w:szCs w:val="22"/>
          <w:lang w:val="es-ES"/>
        </w:rPr>
        <w:t xml:space="preserve">Se han celebrado dos reuniones del Equipo Técnico para examinar las revisiones de la norma ST.26 de la OMPI: una </w:t>
      </w:r>
      <w:r w:rsidR="004A4365">
        <w:rPr>
          <w:szCs w:val="22"/>
          <w:lang w:val="es-ES"/>
        </w:rPr>
        <w:t xml:space="preserve">reunión presencial </w:t>
      </w:r>
      <w:r w:rsidR="004A4365" w:rsidRPr="004A4365">
        <w:rPr>
          <w:szCs w:val="22"/>
          <w:lang w:val="es-ES"/>
        </w:rPr>
        <w:t>durante la sexta sesión del CWS, en octubre de 2018, y otra en abril de 2019, mediante una conferencia en línea.</w:t>
      </w:r>
      <w:r w:rsidRPr="004A4365">
        <w:rPr>
          <w:szCs w:val="22"/>
          <w:lang w:val="es-ES"/>
        </w:rPr>
        <w:t xml:space="preserve"> </w:t>
      </w:r>
    </w:p>
    <w:p w14:paraId="73ADD3B2" w14:textId="1E05882C" w:rsidR="00F47C65" w:rsidRPr="00BD0988" w:rsidRDefault="001469A9" w:rsidP="001469A9">
      <w:pPr>
        <w:pStyle w:val="Heading2"/>
        <w:rPr>
          <w:szCs w:val="22"/>
          <w:lang w:val="es-ES"/>
        </w:rPr>
      </w:pPr>
      <w:r w:rsidRPr="001469A9">
        <w:rPr>
          <w:szCs w:val="22"/>
          <w:lang w:val="es-ES_tradnl"/>
        </w:rPr>
        <w:t>Resumen de la propuesta de REVISIÓN</w:t>
      </w:r>
    </w:p>
    <w:p w14:paraId="718F3B53" w14:textId="3C3EB8F6" w:rsidR="00F47C65" w:rsidRPr="004A4365" w:rsidRDefault="004A4365" w:rsidP="001469A9">
      <w:pPr>
        <w:pStyle w:val="Heading3"/>
        <w:rPr>
          <w:szCs w:val="22"/>
          <w:lang w:val="es-ES"/>
        </w:rPr>
      </w:pPr>
      <w:r>
        <w:rPr>
          <w:szCs w:val="22"/>
          <w:lang w:val="es-ES_tradnl"/>
        </w:rPr>
        <w:t>Cambios de redacción</w:t>
      </w:r>
    </w:p>
    <w:p w14:paraId="23D79C05" w14:textId="0D21BCFC" w:rsidR="00F47C65" w:rsidRPr="004A4365" w:rsidRDefault="000C1B65" w:rsidP="004A4365">
      <w:pPr>
        <w:spacing w:after="220"/>
        <w:rPr>
          <w:szCs w:val="22"/>
          <w:lang w:val="es-ES"/>
        </w:rPr>
      </w:pPr>
      <w:r w:rsidRPr="001469A9">
        <w:rPr>
          <w:szCs w:val="22"/>
        </w:rPr>
        <w:fldChar w:fldCharType="begin"/>
      </w:r>
      <w:r w:rsidRPr="004A4365">
        <w:rPr>
          <w:szCs w:val="22"/>
          <w:lang w:val="es-ES"/>
        </w:rPr>
        <w:instrText xml:space="preserve"> AUTONUM  </w:instrText>
      </w:r>
      <w:r w:rsidRPr="001469A9">
        <w:rPr>
          <w:szCs w:val="22"/>
        </w:rPr>
        <w:fldChar w:fldCharType="end"/>
      </w:r>
      <w:r w:rsidRPr="004A4365">
        <w:rPr>
          <w:szCs w:val="22"/>
          <w:lang w:val="es-ES"/>
        </w:rPr>
        <w:tab/>
      </w:r>
      <w:r w:rsidR="004A4365" w:rsidRPr="004A4365">
        <w:rPr>
          <w:szCs w:val="22"/>
          <w:lang w:val="es-ES"/>
        </w:rPr>
        <w:t>En el marco de la Tarea N</w:t>
      </w:r>
      <w:r w:rsidR="008F188B">
        <w:rPr>
          <w:szCs w:val="22"/>
          <w:lang w:val="es-ES"/>
        </w:rPr>
        <w:t>.</w:t>
      </w:r>
      <w:r w:rsidR="00BD0988">
        <w:rPr>
          <w:szCs w:val="22"/>
          <w:lang w:val="es-ES"/>
        </w:rPr>
        <w:t>º</w:t>
      </w:r>
      <w:r w:rsidR="008F188B">
        <w:rPr>
          <w:szCs w:val="22"/>
          <w:lang w:val="es-ES"/>
        </w:rPr>
        <w:t xml:space="preserve"> </w:t>
      </w:r>
      <w:r w:rsidR="004A4365" w:rsidRPr="004A4365">
        <w:rPr>
          <w:szCs w:val="22"/>
          <w:lang w:val="es-ES"/>
        </w:rPr>
        <w:t>44, el Equipo Técnico SEQL llevó a cabo un examen de la versión actualmente publicada de la</w:t>
      </w:r>
      <w:r w:rsidR="00BD0988">
        <w:rPr>
          <w:szCs w:val="22"/>
          <w:lang w:val="es-ES"/>
        </w:rPr>
        <w:t xml:space="preserve"> versión 1.2 de la N</w:t>
      </w:r>
      <w:r w:rsidR="004A4365" w:rsidRPr="004A4365">
        <w:rPr>
          <w:szCs w:val="22"/>
          <w:lang w:val="es-ES"/>
        </w:rPr>
        <w:t xml:space="preserve">orma ST.26 de la OMPI. </w:t>
      </w:r>
      <w:r w:rsidR="00BD0988">
        <w:rPr>
          <w:szCs w:val="22"/>
          <w:lang w:val="es-ES"/>
        </w:rPr>
        <w:t>En el marco de</w:t>
      </w:r>
      <w:r w:rsidR="004A4365" w:rsidRPr="004A4365">
        <w:rPr>
          <w:szCs w:val="22"/>
          <w:lang w:val="es-ES"/>
        </w:rPr>
        <w:t xml:space="preserve"> la revisión, se concluyó que er</w:t>
      </w:r>
      <w:r w:rsidR="004A4365">
        <w:rPr>
          <w:szCs w:val="22"/>
          <w:lang w:val="es-ES"/>
        </w:rPr>
        <w:t>a</w:t>
      </w:r>
      <w:r w:rsidR="004A4365" w:rsidRPr="004A4365">
        <w:rPr>
          <w:szCs w:val="22"/>
          <w:lang w:val="es-ES"/>
        </w:rPr>
        <w:t xml:space="preserve"> necesario</w:t>
      </w:r>
      <w:r w:rsidR="00BD0988">
        <w:rPr>
          <w:szCs w:val="22"/>
          <w:lang w:val="es-ES"/>
        </w:rPr>
        <w:t xml:space="preserve"> introducir varias correcciones de forma, </w:t>
      </w:r>
      <w:r w:rsidR="004A4365" w:rsidRPr="004A4365">
        <w:rPr>
          <w:szCs w:val="22"/>
          <w:lang w:val="es-ES"/>
        </w:rPr>
        <w:t>como espacios innecesarios o errores tipográficos. También se requerían correcciones para asegurar que la guía de estilo de la OMPI se reflejara adecuadamente en ese documento, por ejemplo, velar por que la abreviatura utilizada para sustituir "por ejemplo" fuera sistemáticamente "p. ej.".</w:t>
      </w:r>
    </w:p>
    <w:p w14:paraId="25EF617F" w14:textId="187BA92D" w:rsidR="00F47C65" w:rsidRPr="00944B50" w:rsidRDefault="000C1B65" w:rsidP="00792BF0">
      <w:pPr>
        <w:spacing w:after="220"/>
        <w:rPr>
          <w:szCs w:val="22"/>
          <w:lang w:val="es-ES"/>
        </w:rPr>
      </w:pPr>
      <w:r w:rsidRPr="001469A9">
        <w:rPr>
          <w:szCs w:val="22"/>
        </w:rPr>
        <w:fldChar w:fldCharType="begin"/>
      </w:r>
      <w:r w:rsidRPr="00944B50">
        <w:rPr>
          <w:szCs w:val="22"/>
          <w:lang w:val="es-ES"/>
        </w:rPr>
        <w:instrText xml:space="preserve"> AUTONUM  </w:instrText>
      </w:r>
      <w:r w:rsidRPr="001469A9">
        <w:rPr>
          <w:szCs w:val="22"/>
        </w:rPr>
        <w:fldChar w:fldCharType="end"/>
      </w:r>
      <w:r w:rsidRPr="00944B50">
        <w:rPr>
          <w:szCs w:val="22"/>
          <w:lang w:val="es-ES"/>
        </w:rPr>
        <w:tab/>
      </w:r>
      <w:r w:rsidR="00944B50" w:rsidRPr="00944B50">
        <w:rPr>
          <w:szCs w:val="22"/>
          <w:lang w:val="es-ES"/>
        </w:rPr>
        <w:t xml:space="preserve">Esas correcciones se indican en el Anexo del presente documento (Anexo I de la </w:t>
      </w:r>
      <w:r w:rsidR="00944B50">
        <w:rPr>
          <w:szCs w:val="22"/>
          <w:lang w:val="es-ES"/>
        </w:rPr>
        <w:t>N</w:t>
      </w:r>
      <w:r w:rsidR="00944B50" w:rsidRPr="00944B50">
        <w:rPr>
          <w:szCs w:val="22"/>
          <w:lang w:val="es-ES"/>
        </w:rPr>
        <w:t xml:space="preserve">orma ST.26 de la OMPI) mediante un texto destacado en verde para que el CWS las examine durante su séptima sesión. Aunque el Equipo Técnico </w:t>
      </w:r>
      <w:r w:rsidR="00944B50">
        <w:rPr>
          <w:szCs w:val="22"/>
          <w:lang w:val="es-ES"/>
        </w:rPr>
        <w:t>detectó</w:t>
      </w:r>
      <w:r w:rsidR="00944B50" w:rsidRPr="00944B50">
        <w:rPr>
          <w:szCs w:val="22"/>
          <w:lang w:val="es-ES"/>
        </w:rPr>
        <w:t xml:space="preserve"> cambios </w:t>
      </w:r>
      <w:r w:rsidR="00944B50">
        <w:rPr>
          <w:szCs w:val="22"/>
          <w:lang w:val="es-ES"/>
        </w:rPr>
        <w:t xml:space="preserve">necesarios </w:t>
      </w:r>
      <w:r w:rsidR="00944B50" w:rsidRPr="00944B50">
        <w:rPr>
          <w:szCs w:val="22"/>
          <w:lang w:val="es-ES"/>
        </w:rPr>
        <w:t>en el tex</w:t>
      </w:r>
      <w:r w:rsidR="00BD0988">
        <w:rPr>
          <w:szCs w:val="22"/>
          <w:lang w:val="es-ES"/>
        </w:rPr>
        <w:t>to de los Anexos I a VII de la N</w:t>
      </w:r>
      <w:r w:rsidR="00944B50" w:rsidRPr="00944B50">
        <w:rPr>
          <w:szCs w:val="22"/>
          <w:lang w:val="es-ES"/>
        </w:rPr>
        <w:t>orma ST.26 de la OMPI, en el presente documento solo se ha incluido el Anexo I.</w:t>
      </w:r>
      <w:r w:rsidR="005C681B" w:rsidRPr="00944B50">
        <w:rPr>
          <w:szCs w:val="22"/>
          <w:lang w:val="es-ES"/>
        </w:rPr>
        <w:t xml:space="preserve">  </w:t>
      </w:r>
    </w:p>
    <w:p w14:paraId="0FFA39D2" w14:textId="0024950D" w:rsidR="00F47C65" w:rsidRPr="00944B50" w:rsidRDefault="00944B50" w:rsidP="0077455E">
      <w:pPr>
        <w:pStyle w:val="Heading3"/>
        <w:rPr>
          <w:szCs w:val="22"/>
          <w:lang w:val="es-ES"/>
        </w:rPr>
      </w:pPr>
      <w:r w:rsidRPr="00944B50">
        <w:rPr>
          <w:szCs w:val="22"/>
          <w:lang w:val="es-ES"/>
        </w:rPr>
        <w:t>Cambios sustantivos</w:t>
      </w:r>
    </w:p>
    <w:p w14:paraId="5701126D" w14:textId="5BF060A8" w:rsidR="00F47C65" w:rsidRPr="00944B50" w:rsidRDefault="000C1B65" w:rsidP="0077455E">
      <w:pPr>
        <w:spacing w:after="240"/>
        <w:rPr>
          <w:szCs w:val="22"/>
          <w:lang w:val="es-ES"/>
        </w:rPr>
      </w:pPr>
      <w:r w:rsidRPr="001469A9">
        <w:rPr>
          <w:szCs w:val="22"/>
        </w:rPr>
        <w:fldChar w:fldCharType="begin"/>
      </w:r>
      <w:r w:rsidRPr="00944B50">
        <w:rPr>
          <w:szCs w:val="22"/>
          <w:lang w:val="es-ES"/>
        </w:rPr>
        <w:instrText xml:space="preserve"> AUTONUM  </w:instrText>
      </w:r>
      <w:r w:rsidRPr="001469A9">
        <w:rPr>
          <w:szCs w:val="22"/>
        </w:rPr>
        <w:fldChar w:fldCharType="end"/>
      </w:r>
      <w:r w:rsidRPr="00944B50">
        <w:rPr>
          <w:szCs w:val="22"/>
          <w:lang w:val="es-ES"/>
        </w:rPr>
        <w:tab/>
      </w:r>
      <w:r w:rsidR="00944B50" w:rsidRPr="00944B50">
        <w:rPr>
          <w:szCs w:val="22"/>
          <w:lang w:val="es-ES"/>
        </w:rPr>
        <w:t xml:space="preserve">El Equipo Técnico SEQL </w:t>
      </w:r>
      <w:r w:rsidR="00BD0988">
        <w:rPr>
          <w:szCs w:val="22"/>
          <w:lang w:val="es-ES"/>
        </w:rPr>
        <w:t>propone los siguientes cambios a los fines de complementar la</w:t>
      </w:r>
      <w:r w:rsidR="00944B50" w:rsidRPr="00944B50">
        <w:rPr>
          <w:szCs w:val="22"/>
          <w:lang w:val="es-ES"/>
        </w:rPr>
        <w:t xml:space="preserve"> revisión de los Anexos I y VII de la </w:t>
      </w:r>
      <w:r w:rsidR="00BD0988">
        <w:rPr>
          <w:szCs w:val="22"/>
          <w:lang w:val="es-ES"/>
        </w:rPr>
        <w:t>N</w:t>
      </w:r>
      <w:r w:rsidR="00944B50" w:rsidRPr="00944B50">
        <w:rPr>
          <w:szCs w:val="22"/>
          <w:lang w:val="es-ES"/>
        </w:rPr>
        <w:t xml:space="preserve">orma ST.26 de la OMPI, tal como se señalan en el Anexo, utilizando el resaltado amarillo para las adiciones y el resaltado </w:t>
      </w:r>
      <w:r w:rsidR="00944B50">
        <w:rPr>
          <w:szCs w:val="22"/>
          <w:lang w:val="es-ES"/>
        </w:rPr>
        <w:t>morado</w:t>
      </w:r>
      <w:r w:rsidR="00944B50" w:rsidRPr="00944B50">
        <w:rPr>
          <w:szCs w:val="22"/>
          <w:lang w:val="es-ES"/>
        </w:rPr>
        <w:t xml:space="preserve"> para las supresiones. No se proponen cambios sustanciales </w:t>
      </w:r>
      <w:r w:rsidR="002B744F">
        <w:rPr>
          <w:szCs w:val="22"/>
          <w:lang w:val="es-ES"/>
        </w:rPr>
        <w:t>respecto</w:t>
      </w:r>
      <w:r w:rsidR="00944B50" w:rsidRPr="00944B50">
        <w:rPr>
          <w:szCs w:val="22"/>
          <w:lang w:val="es-ES"/>
        </w:rPr>
        <w:t xml:space="preserve"> </w:t>
      </w:r>
      <w:r w:rsidR="002B744F">
        <w:rPr>
          <w:szCs w:val="22"/>
          <w:lang w:val="es-ES"/>
        </w:rPr>
        <w:t>d</w:t>
      </w:r>
      <w:r w:rsidR="00944B50" w:rsidRPr="00944B50">
        <w:rPr>
          <w:szCs w:val="22"/>
          <w:lang w:val="es-ES"/>
        </w:rPr>
        <w:t>el cuerpo principal de la Norma OMPI ST.26</w:t>
      </w:r>
      <w:r w:rsidR="007B4DD2" w:rsidRPr="00944B50">
        <w:rPr>
          <w:szCs w:val="22"/>
          <w:lang w:val="es-ES"/>
        </w:rPr>
        <w:t>:</w:t>
      </w:r>
    </w:p>
    <w:p w14:paraId="536AFCFF" w14:textId="269A9657" w:rsidR="00F47C65" w:rsidRPr="00EB1A58" w:rsidRDefault="00EB1A58" w:rsidP="00F24B92">
      <w:pPr>
        <w:pStyle w:val="ONUME"/>
        <w:numPr>
          <w:ilvl w:val="1"/>
          <w:numId w:val="18"/>
        </w:numPr>
        <w:ind w:left="567" w:firstLine="0"/>
        <w:rPr>
          <w:szCs w:val="22"/>
          <w:lang w:val="es-ES"/>
        </w:rPr>
      </w:pPr>
      <w:r w:rsidRPr="00EB1A58">
        <w:rPr>
          <w:szCs w:val="22"/>
          <w:lang w:val="es-ES"/>
        </w:rPr>
        <w:t xml:space="preserve">Una actualización del cuadro 9 del </w:t>
      </w:r>
      <w:r>
        <w:rPr>
          <w:szCs w:val="22"/>
          <w:lang w:val="es-ES"/>
        </w:rPr>
        <w:t>A</w:t>
      </w:r>
      <w:r w:rsidRPr="00EB1A58">
        <w:rPr>
          <w:szCs w:val="22"/>
          <w:lang w:val="es-ES"/>
        </w:rPr>
        <w:t>nexo I para incorporar las actualizaciones previstas en la versión 10.8 del cuadro de características del INSDC</w:t>
      </w:r>
      <w:r w:rsidR="00804D92" w:rsidRPr="00EB1A58">
        <w:rPr>
          <w:szCs w:val="22"/>
          <w:lang w:val="es-ES"/>
        </w:rPr>
        <w:t>;</w:t>
      </w:r>
    </w:p>
    <w:p w14:paraId="0E90D795" w14:textId="6DAFB831" w:rsidR="00F47C65" w:rsidRPr="00EB1A58" w:rsidRDefault="00EB1A58" w:rsidP="00F24B92">
      <w:pPr>
        <w:pStyle w:val="ONUME"/>
        <w:numPr>
          <w:ilvl w:val="1"/>
          <w:numId w:val="18"/>
        </w:numPr>
        <w:ind w:left="567" w:firstLine="0"/>
        <w:rPr>
          <w:szCs w:val="22"/>
          <w:lang w:val="es-ES"/>
        </w:rPr>
      </w:pPr>
      <w:r w:rsidRPr="00EB1A58">
        <w:rPr>
          <w:szCs w:val="22"/>
          <w:lang w:val="es-ES"/>
        </w:rPr>
        <w:t xml:space="preserve">En la sección 5.27 del Anexo I, </w:t>
      </w:r>
      <w:r>
        <w:rPr>
          <w:szCs w:val="22"/>
          <w:lang w:val="es-ES"/>
        </w:rPr>
        <w:t>añadir</w:t>
      </w:r>
      <w:r w:rsidR="00A11BE9" w:rsidRPr="00EB1A58">
        <w:rPr>
          <w:szCs w:val="22"/>
          <w:lang w:val="es-ES"/>
        </w:rPr>
        <w:t xml:space="preserve"> </w:t>
      </w:r>
      <w:r w:rsidRPr="00EB1A58">
        <w:rPr>
          <w:szCs w:val="22"/>
          <w:lang w:val="es-ES"/>
        </w:rPr>
        <w:t>los siguientes calificadores facultativos</w:t>
      </w:r>
      <w:r w:rsidR="00A11BE9" w:rsidRPr="00EB1A58">
        <w:rPr>
          <w:szCs w:val="22"/>
          <w:lang w:val="es-ES"/>
        </w:rPr>
        <w:t>:</w:t>
      </w:r>
    </w:p>
    <w:p w14:paraId="61D8A8DF" w14:textId="77777777" w:rsidR="000F6485" w:rsidRPr="000F6485" w:rsidRDefault="000F6485" w:rsidP="000F6485">
      <w:pPr>
        <w:pStyle w:val="ListParagraph"/>
        <w:keepLines/>
        <w:numPr>
          <w:ilvl w:val="0"/>
          <w:numId w:val="16"/>
        </w:numPr>
        <w:ind w:left="1080" w:firstLine="90"/>
        <w:rPr>
          <w:szCs w:val="22"/>
          <w:lang w:val="es-ES_tradnl"/>
        </w:rPr>
      </w:pPr>
      <w:proofErr w:type="spellStart"/>
      <w:r w:rsidRPr="000F6485">
        <w:rPr>
          <w:szCs w:val="22"/>
          <w:lang w:val="es-ES_tradnl"/>
        </w:rPr>
        <w:t>function</w:t>
      </w:r>
      <w:proofErr w:type="spellEnd"/>
    </w:p>
    <w:p w14:paraId="4FD35B16" w14:textId="77777777" w:rsidR="000F6485" w:rsidRPr="000F6485" w:rsidRDefault="000F6485" w:rsidP="000F6485">
      <w:pPr>
        <w:pStyle w:val="ListParagraph"/>
        <w:keepLines/>
        <w:numPr>
          <w:ilvl w:val="0"/>
          <w:numId w:val="16"/>
        </w:numPr>
        <w:ind w:left="1080" w:firstLine="90"/>
        <w:rPr>
          <w:szCs w:val="22"/>
          <w:lang w:val="es-ES_tradnl"/>
        </w:rPr>
      </w:pPr>
      <w:r w:rsidRPr="000F6485">
        <w:rPr>
          <w:szCs w:val="22"/>
          <w:lang w:val="es-ES_tradnl"/>
        </w:rPr>
        <w:t>gene</w:t>
      </w:r>
    </w:p>
    <w:p w14:paraId="7A5A404B" w14:textId="77777777" w:rsidR="000F6485" w:rsidRPr="000F6485" w:rsidRDefault="000F6485" w:rsidP="000F6485">
      <w:pPr>
        <w:pStyle w:val="ListParagraph"/>
        <w:keepLines/>
        <w:numPr>
          <w:ilvl w:val="0"/>
          <w:numId w:val="16"/>
        </w:numPr>
        <w:ind w:left="1080" w:firstLine="90"/>
        <w:rPr>
          <w:szCs w:val="22"/>
          <w:lang w:val="es-ES_tradnl"/>
        </w:rPr>
      </w:pPr>
      <w:proofErr w:type="spellStart"/>
      <w:r w:rsidRPr="000F6485">
        <w:rPr>
          <w:szCs w:val="22"/>
          <w:lang w:val="es-ES_tradnl"/>
        </w:rPr>
        <w:t>gene_synonym</w:t>
      </w:r>
      <w:proofErr w:type="spellEnd"/>
    </w:p>
    <w:p w14:paraId="73616D43" w14:textId="77777777" w:rsidR="000F6485" w:rsidRPr="000F6485" w:rsidRDefault="000F6485" w:rsidP="00592FD3">
      <w:pPr>
        <w:pStyle w:val="ListParagraph"/>
        <w:keepLines/>
        <w:numPr>
          <w:ilvl w:val="0"/>
          <w:numId w:val="16"/>
        </w:numPr>
        <w:spacing w:after="220"/>
        <w:ind w:left="1080" w:firstLine="86"/>
        <w:contextualSpacing w:val="0"/>
        <w:rPr>
          <w:szCs w:val="22"/>
          <w:lang w:val="es-ES_tradnl"/>
        </w:rPr>
      </w:pPr>
      <w:proofErr w:type="spellStart"/>
      <w:r w:rsidRPr="000F6485">
        <w:rPr>
          <w:szCs w:val="22"/>
          <w:lang w:val="es-ES_tradnl"/>
        </w:rPr>
        <w:t>map</w:t>
      </w:r>
      <w:proofErr w:type="spellEnd"/>
    </w:p>
    <w:p w14:paraId="3E64E449" w14:textId="24C93C7A" w:rsidR="00F47C65" w:rsidRPr="000F6485" w:rsidRDefault="000F6485" w:rsidP="00592FD3">
      <w:pPr>
        <w:pStyle w:val="ONUME"/>
        <w:keepNext/>
        <w:keepLines/>
        <w:numPr>
          <w:ilvl w:val="1"/>
          <w:numId w:val="18"/>
        </w:numPr>
        <w:ind w:left="567" w:firstLine="0"/>
        <w:rPr>
          <w:szCs w:val="22"/>
          <w:lang w:val="es-ES"/>
        </w:rPr>
      </w:pPr>
      <w:r w:rsidRPr="000F6485">
        <w:rPr>
          <w:szCs w:val="22"/>
          <w:lang w:val="es-ES"/>
        </w:rPr>
        <w:t>En la sección</w:t>
      </w:r>
      <w:r w:rsidR="00A11BE9" w:rsidRPr="000F6485">
        <w:rPr>
          <w:szCs w:val="22"/>
          <w:lang w:val="es-ES"/>
        </w:rPr>
        <w:t xml:space="preserve"> 5.33</w:t>
      </w:r>
      <w:r w:rsidRPr="000F6485">
        <w:rPr>
          <w:szCs w:val="22"/>
          <w:lang w:val="es-ES"/>
        </w:rPr>
        <w:t xml:space="preserve"> del Anexo I</w:t>
      </w:r>
      <w:r w:rsidR="00A11BE9" w:rsidRPr="000F6485">
        <w:rPr>
          <w:szCs w:val="22"/>
          <w:lang w:val="es-ES"/>
        </w:rPr>
        <w:t xml:space="preserve">, </w:t>
      </w:r>
      <w:r>
        <w:rPr>
          <w:szCs w:val="22"/>
          <w:lang w:val="es-ES"/>
        </w:rPr>
        <w:t>añadir</w:t>
      </w:r>
      <w:r w:rsidRPr="00EB1A58">
        <w:rPr>
          <w:szCs w:val="22"/>
          <w:lang w:val="es-ES"/>
        </w:rPr>
        <w:t xml:space="preserve"> los siguientes calificadores facultativos</w:t>
      </w:r>
      <w:r w:rsidR="00A11BE9" w:rsidRPr="000F6485">
        <w:rPr>
          <w:szCs w:val="22"/>
          <w:lang w:val="es-ES"/>
        </w:rPr>
        <w:t>:</w:t>
      </w:r>
    </w:p>
    <w:p w14:paraId="2B9617A4" w14:textId="77777777" w:rsidR="000F6485" w:rsidRPr="00792BF0" w:rsidRDefault="000F6485" w:rsidP="00592FD3">
      <w:pPr>
        <w:pStyle w:val="ListParagraph"/>
        <w:keepNext/>
        <w:keepLines/>
        <w:numPr>
          <w:ilvl w:val="0"/>
          <w:numId w:val="16"/>
        </w:numPr>
        <w:ind w:left="1080" w:firstLine="90"/>
        <w:rPr>
          <w:szCs w:val="22"/>
        </w:rPr>
      </w:pPr>
      <w:r w:rsidRPr="00792BF0">
        <w:rPr>
          <w:szCs w:val="22"/>
        </w:rPr>
        <w:t>allele</w:t>
      </w:r>
    </w:p>
    <w:p w14:paraId="3815C3B3" w14:textId="77777777" w:rsidR="000F6485" w:rsidRPr="00792BF0" w:rsidRDefault="000F6485" w:rsidP="00592FD3">
      <w:pPr>
        <w:pStyle w:val="ListParagraph"/>
        <w:keepNext/>
        <w:keepLines/>
        <w:numPr>
          <w:ilvl w:val="0"/>
          <w:numId w:val="16"/>
        </w:numPr>
        <w:ind w:left="1080" w:firstLine="90"/>
        <w:rPr>
          <w:szCs w:val="22"/>
        </w:rPr>
      </w:pPr>
      <w:r w:rsidRPr="00792BF0">
        <w:rPr>
          <w:szCs w:val="22"/>
        </w:rPr>
        <w:t>direction</w:t>
      </w:r>
    </w:p>
    <w:p w14:paraId="36016AB1" w14:textId="77777777" w:rsidR="000F6485" w:rsidRPr="00792BF0" w:rsidRDefault="000F6485" w:rsidP="00592FD3">
      <w:pPr>
        <w:pStyle w:val="ListParagraph"/>
        <w:keepNext/>
        <w:keepLines/>
        <w:numPr>
          <w:ilvl w:val="0"/>
          <w:numId w:val="16"/>
        </w:numPr>
        <w:ind w:left="1080" w:firstLine="90"/>
        <w:rPr>
          <w:szCs w:val="22"/>
        </w:rPr>
      </w:pPr>
      <w:r w:rsidRPr="00792BF0">
        <w:rPr>
          <w:szCs w:val="22"/>
        </w:rPr>
        <w:t>gene</w:t>
      </w:r>
    </w:p>
    <w:p w14:paraId="6F66D8C5" w14:textId="77777777" w:rsidR="000F6485" w:rsidRPr="00792BF0" w:rsidRDefault="000F6485" w:rsidP="00592FD3">
      <w:pPr>
        <w:pStyle w:val="ListParagraph"/>
        <w:keepNext/>
        <w:keepLines/>
        <w:numPr>
          <w:ilvl w:val="0"/>
          <w:numId w:val="16"/>
        </w:numPr>
        <w:ind w:left="1080" w:firstLine="90"/>
        <w:rPr>
          <w:szCs w:val="22"/>
        </w:rPr>
      </w:pPr>
      <w:proofErr w:type="spellStart"/>
      <w:r w:rsidRPr="00792BF0">
        <w:rPr>
          <w:szCs w:val="22"/>
        </w:rPr>
        <w:t>gene_synonym</w:t>
      </w:r>
      <w:proofErr w:type="spellEnd"/>
    </w:p>
    <w:p w14:paraId="579700EA" w14:textId="77777777" w:rsidR="000F6485" w:rsidRPr="00792BF0" w:rsidRDefault="000F6485" w:rsidP="00592FD3">
      <w:pPr>
        <w:pStyle w:val="ListParagraph"/>
        <w:keepNext/>
        <w:keepLines/>
        <w:numPr>
          <w:ilvl w:val="0"/>
          <w:numId w:val="16"/>
        </w:numPr>
        <w:ind w:left="1080" w:firstLine="90"/>
        <w:rPr>
          <w:szCs w:val="22"/>
        </w:rPr>
      </w:pPr>
      <w:r w:rsidRPr="00792BF0">
        <w:rPr>
          <w:szCs w:val="22"/>
        </w:rPr>
        <w:t>map</w:t>
      </w:r>
    </w:p>
    <w:p w14:paraId="570AFAE1" w14:textId="77777777" w:rsidR="000F6485" w:rsidRPr="00792BF0" w:rsidRDefault="000F6485" w:rsidP="00592FD3">
      <w:pPr>
        <w:pStyle w:val="ListParagraph"/>
        <w:keepNext/>
        <w:keepLines/>
        <w:numPr>
          <w:ilvl w:val="0"/>
          <w:numId w:val="16"/>
        </w:numPr>
        <w:ind w:left="1080" w:firstLine="90"/>
        <w:rPr>
          <w:szCs w:val="22"/>
        </w:rPr>
      </w:pPr>
      <w:r w:rsidRPr="00792BF0">
        <w:rPr>
          <w:szCs w:val="22"/>
        </w:rPr>
        <w:lastRenderedPageBreak/>
        <w:t>note</w:t>
      </w:r>
    </w:p>
    <w:p w14:paraId="3A38AB50" w14:textId="5B477CD4" w:rsidR="00F47C65" w:rsidRPr="001469A9" w:rsidRDefault="000F6485" w:rsidP="00592FD3">
      <w:pPr>
        <w:pStyle w:val="ListParagraph"/>
        <w:keepNext/>
        <w:keepLines/>
        <w:numPr>
          <w:ilvl w:val="0"/>
          <w:numId w:val="16"/>
        </w:numPr>
        <w:spacing w:after="220"/>
        <w:ind w:left="1080" w:firstLine="86"/>
        <w:contextualSpacing w:val="0"/>
        <w:rPr>
          <w:szCs w:val="22"/>
        </w:rPr>
      </w:pPr>
      <w:proofErr w:type="spellStart"/>
      <w:r w:rsidRPr="00792BF0">
        <w:rPr>
          <w:szCs w:val="22"/>
        </w:rPr>
        <w:t>standard_name</w:t>
      </w:r>
      <w:proofErr w:type="spellEnd"/>
    </w:p>
    <w:p w14:paraId="40E51C90" w14:textId="08BA2C9E" w:rsidR="00F47C65" w:rsidRPr="000F6485" w:rsidRDefault="000F6485" w:rsidP="00F24B92">
      <w:pPr>
        <w:pStyle w:val="ONUME"/>
        <w:numPr>
          <w:ilvl w:val="1"/>
          <w:numId w:val="18"/>
        </w:numPr>
        <w:ind w:left="567" w:firstLine="0"/>
        <w:rPr>
          <w:szCs w:val="22"/>
          <w:lang w:val="es-ES"/>
        </w:rPr>
      </w:pPr>
      <w:r>
        <w:rPr>
          <w:szCs w:val="22"/>
          <w:lang w:val="es-ES"/>
        </w:rPr>
        <w:t>En la sección</w:t>
      </w:r>
      <w:r w:rsidR="00A11BE9" w:rsidRPr="000F6485">
        <w:rPr>
          <w:szCs w:val="22"/>
          <w:lang w:val="es-ES"/>
        </w:rPr>
        <w:t xml:space="preserve"> 5.43</w:t>
      </w:r>
      <w:r>
        <w:rPr>
          <w:szCs w:val="22"/>
          <w:lang w:val="es-ES"/>
        </w:rPr>
        <w:t xml:space="preserve"> del Anexo I</w:t>
      </w:r>
      <w:r w:rsidR="00A11BE9" w:rsidRPr="000F6485">
        <w:rPr>
          <w:szCs w:val="22"/>
          <w:lang w:val="es-ES"/>
        </w:rPr>
        <w:t xml:space="preserve">, </w:t>
      </w:r>
      <w:r>
        <w:rPr>
          <w:szCs w:val="22"/>
          <w:lang w:val="es-ES"/>
        </w:rPr>
        <w:t>añadir</w:t>
      </w:r>
      <w:r w:rsidRPr="00EB1A58">
        <w:rPr>
          <w:szCs w:val="22"/>
          <w:lang w:val="es-ES"/>
        </w:rPr>
        <w:t xml:space="preserve"> los siguientes calificadores facultativos</w:t>
      </w:r>
      <w:r w:rsidR="00A11BE9" w:rsidRPr="000F6485">
        <w:rPr>
          <w:szCs w:val="22"/>
          <w:lang w:val="es-ES"/>
        </w:rPr>
        <w:t>:</w:t>
      </w:r>
    </w:p>
    <w:p w14:paraId="0DA8FC2D" w14:textId="0CF2AB28" w:rsidR="00F47C65" w:rsidRPr="001469A9" w:rsidRDefault="000F6485" w:rsidP="001469A9">
      <w:pPr>
        <w:pStyle w:val="ListParagraph"/>
        <w:keepNext/>
        <w:keepLines/>
        <w:numPr>
          <w:ilvl w:val="0"/>
          <w:numId w:val="16"/>
        </w:numPr>
        <w:spacing w:after="220"/>
        <w:ind w:left="1080" w:firstLine="86"/>
        <w:contextualSpacing w:val="0"/>
        <w:rPr>
          <w:szCs w:val="22"/>
        </w:rPr>
      </w:pPr>
      <w:r w:rsidRPr="00792BF0">
        <w:rPr>
          <w:szCs w:val="22"/>
        </w:rPr>
        <w:t>operon</w:t>
      </w:r>
    </w:p>
    <w:p w14:paraId="52D663AB" w14:textId="7D80503F" w:rsidR="00F47C65" w:rsidRPr="000F6485" w:rsidRDefault="000F6485" w:rsidP="00F24B92">
      <w:pPr>
        <w:pStyle w:val="ONUME"/>
        <w:numPr>
          <w:ilvl w:val="1"/>
          <w:numId w:val="18"/>
        </w:numPr>
        <w:ind w:left="567" w:firstLine="0"/>
        <w:rPr>
          <w:szCs w:val="22"/>
          <w:lang w:val="es-ES"/>
        </w:rPr>
      </w:pPr>
      <w:r w:rsidRPr="000F6485">
        <w:rPr>
          <w:szCs w:val="22"/>
          <w:lang w:val="es-ES"/>
        </w:rPr>
        <w:t xml:space="preserve"> en la sección 6.16 del Anexo I, añadir las siguientes l</w:t>
      </w:r>
      <w:r>
        <w:rPr>
          <w:szCs w:val="22"/>
          <w:lang w:val="es-ES"/>
        </w:rPr>
        <w:t>íneas</w:t>
      </w:r>
      <w:r w:rsidR="00A11BE9" w:rsidRPr="000F6485">
        <w:rPr>
          <w:szCs w:val="22"/>
          <w:lang w:val="es-ES"/>
        </w:rPr>
        <w:t>:</w:t>
      </w:r>
    </w:p>
    <w:p w14:paraId="5FE4F880" w14:textId="66504991" w:rsidR="00F47C65" w:rsidRPr="000F6485" w:rsidRDefault="000F6485" w:rsidP="0049175F">
      <w:pPr>
        <w:pStyle w:val="ListParagraph"/>
        <w:keepNext/>
        <w:keepLines/>
        <w:numPr>
          <w:ilvl w:val="0"/>
          <w:numId w:val="16"/>
        </w:numPr>
        <w:ind w:left="1080" w:firstLine="90"/>
        <w:rPr>
          <w:szCs w:val="22"/>
          <w:lang w:val="es-ES"/>
        </w:rPr>
      </w:pPr>
      <w:r>
        <w:rPr>
          <w:szCs w:val="22"/>
          <w:lang w:val="es-ES"/>
        </w:rPr>
        <w:t>En la columna “</w:t>
      </w:r>
      <w:proofErr w:type="spellStart"/>
      <w:r w:rsidR="00A11BE9" w:rsidRPr="000F6485">
        <w:rPr>
          <w:szCs w:val="22"/>
          <w:lang w:val="es-ES"/>
        </w:rPr>
        <w:t>Example</w:t>
      </w:r>
      <w:proofErr w:type="spellEnd"/>
      <w:r w:rsidRPr="000F6485">
        <w:rPr>
          <w:szCs w:val="22"/>
          <w:lang w:val="es-ES"/>
        </w:rPr>
        <w:t>”</w:t>
      </w:r>
      <w:r w:rsidR="00A11BE9" w:rsidRPr="000F6485">
        <w:rPr>
          <w:szCs w:val="22"/>
          <w:lang w:val="es-ES"/>
        </w:rPr>
        <w:t>: &lt;</w:t>
      </w:r>
      <w:proofErr w:type="spellStart"/>
      <w:r w:rsidR="00A11BE9" w:rsidRPr="000F6485">
        <w:rPr>
          <w:szCs w:val="22"/>
          <w:lang w:val="es-ES"/>
        </w:rPr>
        <w:t>INSDQualifier_value</w:t>
      </w:r>
      <w:proofErr w:type="spellEnd"/>
      <w:r w:rsidR="00A11BE9" w:rsidRPr="000F6485">
        <w:rPr>
          <w:szCs w:val="22"/>
          <w:lang w:val="es-ES"/>
        </w:rPr>
        <w:t>&gt;1.1.</w:t>
      </w:r>
      <w:proofErr w:type="gramStart"/>
      <w:r w:rsidR="00A11BE9" w:rsidRPr="000F6485">
        <w:rPr>
          <w:szCs w:val="22"/>
          <w:lang w:val="es-ES"/>
        </w:rPr>
        <w:t>2.n</w:t>
      </w:r>
      <w:proofErr w:type="gramEnd"/>
      <w:r w:rsidR="00A11BE9" w:rsidRPr="000F6485">
        <w:rPr>
          <w:szCs w:val="22"/>
          <w:lang w:val="es-ES"/>
        </w:rPr>
        <w:t>1&lt;/</w:t>
      </w:r>
      <w:proofErr w:type="spellStart"/>
      <w:r w:rsidR="00A11BE9" w:rsidRPr="000F6485">
        <w:rPr>
          <w:szCs w:val="22"/>
          <w:lang w:val="es-ES"/>
        </w:rPr>
        <w:t>INSDQualifier_value</w:t>
      </w:r>
      <w:proofErr w:type="spellEnd"/>
      <w:r w:rsidR="00A11BE9" w:rsidRPr="000F6485">
        <w:rPr>
          <w:szCs w:val="22"/>
          <w:lang w:val="es-ES"/>
        </w:rPr>
        <w:t>&gt;</w:t>
      </w:r>
      <w:r w:rsidR="00804D92" w:rsidRPr="000F6485">
        <w:rPr>
          <w:szCs w:val="22"/>
          <w:lang w:val="es-ES"/>
        </w:rPr>
        <w:t xml:space="preserve">; </w:t>
      </w:r>
      <w:r>
        <w:rPr>
          <w:szCs w:val="22"/>
          <w:lang w:val="es-ES"/>
        </w:rPr>
        <w:t>y</w:t>
      </w:r>
    </w:p>
    <w:p w14:paraId="14A8FCD5" w14:textId="1B9BEB6C" w:rsidR="00F47C65" w:rsidRPr="001469A9" w:rsidRDefault="007A7517" w:rsidP="0049175F">
      <w:pPr>
        <w:pStyle w:val="ListParagraph"/>
        <w:keepNext/>
        <w:keepLines/>
        <w:numPr>
          <w:ilvl w:val="0"/>
          <w:numId w:val="16"/>
        </w:numPr>
        <w:spacing w:after="220"/>
        <w:ind w:left="1080" w:firstLine="86"/>
        <w:contextualSpacing w:val="0"/>
        <w:rPr>
          <w:szCs w:val="22"/>
        </w:rPr>
      </w:pPr>
      <w:proofErr w:type="spellStart"/>
      <w:r w:rsidRPr="007A7517">
        <w:rPr>
          <w:szCs w:val="22"/>
        </w:rPr>
        <w:t>En</w:t>
      </w:r>
      <w:proofErr w:type="spellEnd"/>
      <w:r w:rsidR="00A11BE9" w:rsidRPr="001469A9">
        <w:rPr>
          <w:szCs w:val="22"/>
        </w:rPr>
        <w:t xml:space="preserve"> </w:t>
      </w:r>
      <w:r>
        <w:rPr>
          <w:szCs w:val="22"/>
        </w:rPr>
        <w:t xml:space="preserve">la </w:t>
      </w:r>
      <w:proofErr w:type="spellStart"/>
      <w:r>
        <w:rPr>
          <w:szCs w:val="22"/>
        </w:rPr>
        <w:t>columna</w:t>
      </w:r>
      <w:proofErr w:type="spellEnd"/>
      <w:r>
        <w:rPr>
          <w:szCs w:val="22"/>
        </w:rPr>
        <w:t xml:space="preserve"> “</w:t>
      </w:r>
      <w:r w:rsidR="00A11BE9" w:rsidRPr="001469A9">
        <w:rPr>
          <w:szCs w:val="22"/>
        </w:rPr>
        <w:t>Comment</w:t>
      </w:r>
      <w:r>
        <w:rPr>
          <w:szCs w:val="22"/>
        </w:rPr>
        <w:t xml:space="preserve">”, </w:t>
      </w:r>
      <w:proofErr w:type="spellStart"/>
      <w:r>
        <w:rPr>
          <w:szCs w:val="22"/>
        </w:rPr>
        <w:t>añadir</w:t>
      </w:r>
      <w:proofErr w:type="spellEnd"/>
      <w:r>
        <w:rPr>
          <w:szCs w:val="22"/>
        </w:rPr>
        <w:t xml:space="preserve"> el </w:t>
      </w:r>
      <w:proofErr w:type="spellStart"/>
      <w:r>
        <w:rPr>
          <w:szCs w:val="22"/>
        </w:rPr>
        <w:t>siguiente</w:t>
      </w:r>
      <w:proofErr w:type="spellEnd"/>
      <w:r>
        <w:rPr>
          <w:szCs w:val="22"/>
        </w:rPr>
        <w:t xml:space="preserve"> </w:t>
      </w:r>
      <w:proofErr w:type="spellStart"/>
      <w:r>
        <w:rPr>
          <w:szCs w:val="22"/>
        </w:rPr>
        <w:t>texto</w:t>
      </w:r>
      <w:proofErr w:type="spellEnd"/>
      <w:r w:rsidR="00A11BE9" w:rsidRPr="001469A9">
        <w:rPr>
          <w:szCs w:val="22"/>
        </w:rPr>
        <w:t>: “Symbols including a</w:t>
      </w:r>
      <w:r w:rsidR="00804D92" w:rsidRPr="001469A9">
        <w:rPr>
          <w:szCs w:val="22"/>
        </w:rPr>
        <w:t>n “n”, e.g. “n”, “n1” and so on.</w:t>
      </w:r>
      <w:r w:rsidR="00A11BE9" w:rsidRPr="001469A9">
        <w:rPr>
          <w:szCs w:val="22"/>
        </w:rPr>
        <w:t>”</w:t>
      </w:r>
    </w:p>
    <w:p w14:paraId="1A2ED29C" w14:textId="4D49345A" w:rsidR="00F47C65" w:rsidRPr="0078294A" w:rsidRDefault="0078294A" w:rsidP="00F24B92">
      <w:pPr>
        <w:pStyle w:val="ONUME"/>
        <w:numPr>
          <w:ilvl w:val="1"/>
          <w:numId w:val="18"/>
        </w:numPr>
        <w:ind w:left="567" w:firstLine="0"/>
        <w:rPr>
          <w:szCs w:val="22"/>
          <w:lang w:val="es-ES"/>
        </w:rPr>
      </w:pPr>
      <w:r w:rsidRPr="0078294A">
        <w:rPr>
          <w:szCs w:val="22"/>
          <w:lang w:val="es-ES"/>
        </w:rPr>
        <w:t>Modificar el tercer párrafo del Anexo VII, a saber,</w:t>
      </w:r>
      <w:r w:rsidR="00AA563A" w:rsidRPr="0078294A">
        <w:rPr>
          <w:szCs w:val="22"/>
          <w:lang w:val="es-ES"/>
        </w:rPr>
        <w:t xml:space="preserve"> “</w:t>
      </w:r>
      <w:r w:rsidRPr="0078294A">
        <w:rPr>
          <w:szCs w:val="22"/>
          <w:lang w:val="es-ES"/>
        </w:rPr>
        <w:t>Recomendaciones relativas a la eventual adición o supresión de material”: en la primera frase, sustituir la palabra “conversi</w:t>
      </w:r>
      <w:r>
        <w:rPr>
          <w:szCs w:val="22"/>
          <w:lang w:val="es-ES"/>
        </w:rPr>
        <w:t>ón” por la palabra “transformación”</w:t>
      </w:r>
      <w:r w:rsidR="00AA563A" w:rsidRPr="0078294A">
        <w:rPr>
          <w:szCs w:val="22"/>
          <w:lang w:val="es-ES"/>
        </w:rPr>
        <w:t xml:space="preserve">. </w:t>
      </w:r>
      <w:r w:rsidRPr="0078294A">
        <w:rPr>
          <w:szCs w:val="22"/>
          <w:lang w:val="es-ES"/>
        </w:rPr>
        <w:t>La palabra “</w:t>
      </w:r>
      <w:r>
        <w:rPr>
          <w:szCs w:val="22"/>
          <w:lang w:val="es-ES"/>
        </w:rPr>
        <w:t>conversió</w:t>
      </w:r>
      <w:r w:rsidRPr="0078294A">
        <w:rPr>
          <w:szCs w:val="22"/>
          <w:lang w:val="es-ES"/>
        </w:rPr>
        <w:t>n” induce a pensar que existe una correspondencia individual entre component</w:t>
      </w:r>
      <w:r>
        <w:rPr>
          <w:szCs w:val="22"/>
          <w:lang w:val="es-ES"/>
        </w:rPr>
        <w:t>e</w:t>
      </w:r>
      <w:r w:rsidRPr="0078294A">
        <w:rPr>
          <w:szCs w:val="22"/>
          <w:lang w:val="es-ES"/>
        </w:rPr>
        <w:t xml:space="preserve">s </w:t>
      </w:r>
      <w:r>
        <w:rPr>
          <w:szCs w:val="22"/>
          <w:lang w:val="es-ES"/>
        </w:rPr>
        <w:t xml:space="preserve">y eso es incorrecto desde </w:t>
      </w:r>
      <w:r w:rsidRPr="0078294A">
        <w:rPr>
          <w:szCs w:val="22"/>
          <w:lang w:val="es-ES"/>
        </w:rPr>
        <w:t>el punto de vista t</w:t>
      </w:r>
      <w:r>
        <w:rPr>
          <w:szCs w:val="22"/>
          <w:lang w:val="es-ES"/>
        </w:rPr>
        <w:t>écnico</w:t>
      </w:r>
      <w:r w:rsidR="007821D8" w:rsidRPr="0078294A">
        <w:rPr>
          <w:szCs w:val="22"/>
          <w:lang w:val="es-ES"/>
        </w:rPr>
        <w:t>.</w:t>
      </w:r>
    </w:p>
    <w:p w14:paraId="22EF4714" w14:textId="026B64C4" w:rsidR="00F47C65" w:rsidRPr="00A661CC" w:rsidRDefault="00A661CC" w:rsidP="00F24B92">
      <w:pPr>
        <w:pStyle w:val="ONUME"/>
        <w:numPr>
          <w:ilvl w:val="1"/>
          <w:numId w:val="18"/>
        </w:numPr>
        <w:ind w:left="567" w:firstLine="0"/>
        <w:rPr>
          <w:szCs w:val="22"/>
          <w:lang w:val="es-ES"/>
        </w:rPr>
      </w:pPr>
      <w:r w:rsidRPr="00A661CC">
        <w:rPr>
          <w:szCs w:val="22"/>
          <w:lang w:val="es-ES"/>
        </w:rPr>
        <w:t>Actualizar el Nº24 de la situación hipotética 8 de</w:t>
      </w:r>
      <w:r>
        <w:rPr>
          <w:szCs w:val="22"/>
          <w:lang w:val="es-ES"/>
        </w:rPr>
        <w:t>l Anexo VII</w:t>
      </w:r>
      <w:r w:rsidR="00AA563A" w:rsidRPr="00A661CC">
        <w:rPr>
          <w:szCs w:val="22"/>
          <w:lang w:val="es-ES"/>
        </w:rPr>
        <w:t xml:space="preserve">: </w:t>
      </w:r>
      <w:r>
        <w:rPr>
          <w:szCs w:val="22"/>
          <w:lang w:val="es-ES"/>
        </w:rPr>
        <w:t xml:space="preserve">sustituir la palabra </w:t>
      </w:r>
      <w:r w:rsidR="002B744F">
        <w:rPr>
          <w:szCs w:val="22"/>
          <w:lang w:val="es-ES"/>
        </w:rPr>
        <w:t>“SITE”</w:t>
      </w:r>
      <w:r w:rsidR="00AA563A" w:rsidRPr="00A661CC">
        <w:rPr>
          <w:szCs w:val="22"/>
          <w:lang w:val="es-ES"/>
        </w:rPr>
        <w:t xml:space="preserve"> </w:t>
      </w:r>
      <w:r>
        <w:rPr>
          <w:szCs w:val="22"/>
          <w:lang w:val="es-ES"/>
        </w:rPr>
        <w:t>por la palabra</w:t>
      </w:r>
      <w:r w:rsidR="00AA563A" w:rsidRPr="00A661CC">
        <w:rPr>
          <w:szCs w:val="22"/>
          <w:lang w:val="es-ES"/>
        </w:rPr>
        <w:t xml:space="preserve"> </w:t>
      </w:r>
      <w:r w:rsidR="002B744F">
        <w:rPr>
          <w:szCs w:val="22"/>
          <w:lang w:val="es-ES"/>
        </w:rPr>
        <w:t>“REGION”</w:t>
      </w:r>
      <w:r w:rsidR="00AA563A" w:rsidRPr="00A661CC">
        <w:rPr>
          <w:szCs w:val="22"/>
          <w:lang w:val="es-ES"/>
        </w:rPr>
        <w:t xml:space="preserve">. </w:t>
      </w:r>
      <w:r w:rsidRPr="00A661CC">
        <w:rPr>
          <w:szCs w:val="22"/>
          <w:lang w:val="es-ES"/>
        </w:rPr>
        <w:t>Este cambio fue propuesto por los autores, quienes observaron que hay un conflicto entre la especificación funcional que describe la i</w:t>
      </w:r>
      <w:r w:rsidR="002B744F">
        <w:rPr>
          <w:szCs w:val="22"/>
          <w:lang w:val="es-ES"/>
        </w:rPr>
        <w:t>mportación de secuencias de la N</w:t>
      </w:r>
      <w:r w:rsidRPr="00A661CC">
        <w:rPr>
          <w:szCs w:val="22"/>
          <w:lang w:val="es-ES"/>
        </w:rPr>
        <w:t xml:space="preserve">orma ST.25 y este ejemplo; </w:t>
      </w:r>
      <w:r w:rsidR="002B744F">
        <w:rPr>
          <w:szCs w:val="22"/>
          <w:lang w:val="es-ES"/>
        </w:rPr>
        <w:t>las i</w:t>
      </w:r>
      <w:r w:rsidRPr="00A661CC">
        <w:rPr>
          <w:szCs w:val="22"/>
          <w:lang w:val="es-ES"/>
        </w:rPr>
        <w:t xml:space="preserve">nstancias XML </w:t>
      </w:r>
      <w:r w:rsidR="002B744F">
        <w:rPr>
          <w:szCs w:val="22"/>
          <w:lang w:val="es-ES"/>
        </w:rPr>
        <w:t>deben figurar como archivos separados</w:t>
      </w:r>
      <w:r w:rsidR="00F65B72" w:rsidRPr="00A661CC">
        <w:rPr>
          <w:szCs w:val="22"/>
          <w:lang w:val="es-ES"/>
        </w:rPr>
        <w:t>.</w:t>
      </w:r>
    </w:p>
    <w:p w14:paraId="54F41847" w14:textId="2B7D2732" w:rsidR="00F47C65" w:rsidRPr="00424DE1" w:rsidRDefault="000C1B65" w:rsidP="00E823A5">
      <w:pPr>
        <w:spacing w:after="220"/>
        <w:rPr>
          <w:szCs w:val="22"/>
          <w:lang w:val="es-ES"/>
        </w:rPr>
      </w:pPr>
      <w:r w:rsidRPr="001469A9">
        <w:rPr>
          <w:szCs w:val="22"/>
        </w:rPr>
        <w:fldChar w:fldCharType="begin"/>
      </w:r>
      <w:r w:rsidRPr="00424DE1">
        <w:rPr>
          <w:szCs w:val="22"/>
          <w:lang w:val="es-ES"/>
        </w:rPr>
        <w:instrText xml:space="preserve"> AUTONUM  </w:instrText>
      </w:r>
      <w:r w:rsidRPr="001469A9">
        <w:rPr>
          <w:szCs w:val="22"/>
        </w:rPr>
        <w:fldChar w:fldCharType="end"/>
      </w:r>
      <w:r w:rsidRPr="00424DE1">
        <w:rPr>
          <w:szCs w:val="22"/>
          <w:lang w:val="es-ES"/>
        </w:rPr>
        <w:tab/>
      </w:r>
      <w:r w:rsidR="00424DE1" w:rsidRPr="00424DE1">
        <w:rPr>
          <w:szCs w:val="22"/>
          <w:lang w:val="es-ES"/>
        </w:rPr>
        <w:t>Además, el Equipo Técnico SEQL propone que, en consonancia con las modificaciones propuestas de otras normas técnicas de la OMPI, el contenido del Anexo III de la Norma ST.26 de la OMPI y del Apéndice del Anexo VI de la Norma ST.26 de la OMPI, que son instancias XML, se proporcionen como dos archivos separados, y que, en su lugar, en la Norma se incl</w:t>
      </w:r>
      <w:r w:rsidR="00062154">
        <w:rPr>
          <w:szCs w:val="22"/>
          <w:lang w:val="es-ES"/>
        </w:rPr>
        <w:t>uya un enlace a esos archivos. S</w:t>
      </w:r>
      <w:r w:rsidR="00424DE1" w:rsidRPr="00424DE1">
        <w:rPr>
          <w:szCs w:val="22"/>
          <w:lang w:val="es-ES"/>
        </w:rPr>
        <w:t>e espera que con ello se facilitará todavía más la lectura de la Norma.</w:t>
      </w:r>
      <w:r w:rsidR="00C63153" w:rsidRPr="00424DE1">
        <w:rPr>
          <w:szCs w:val="22"/>
          <w:lang w:val="es-ES"/>
        </w:rPr>
        <w:t xml:space="preserve"> </w:t>
      </w:r>
    </w:p>
    <w:p w14:paraId="41D68B4C" w14:textId="27CD82FD" w:rsidR="00F47C65" w:rsidRPr="00062154" w:rsidRDefault="001A2367" w:rsidP="00E823A5">
      <w:pPr>
        <w:spacing w:after="220"/>
        <w:rPr>
          <w:szCs w:val="22"/>
          <w:lang w:val="es-ES"/>
        </w:rPr>
      </w:pPr>
      <w:r w:rsidRPr="001469A9">
        <w:rPr>
          <w:szCs w:val="22"/>
        </w:rPr>
        <w:fldChar w:fldCharType="begin"/>
      </w:r>
      <w:r w:rsidRPr="00062154">
        <w:rPr>
          <w:szCs w:val="22"/>
          <w:lang w:val="es-ES"/>
        </w:rPr>
        <w:instrText xml:space="preserve"> AUTONUM  </w:instrText>
      </w:r>
      <w:r w:rsidRPr="001469A9">
        <w:rPr>
          <w:szCs w:val="22"/>
        </w:rPr>
        <w:fldChar w:fldCharType="end"/>
      </w:r>
      <w:r w:rsidRPr="00062154">
        <w:rPr>
          <w:szCs w:val="22"/>
          <w:lang w:val="es-ES"/>
        </w:rPr>
        <w:tab/>
      </w:r>
      <w:r w:rsidR="00062154" w:rsidRPr="00062154">
        <w:rPr>
          <w:szCs w:val="22"/>
          <w:lang w:val="es-ES"/>
        </w:rPr>
        <w:t>Para más información sobre esos cambios, véase el Anexo</w:t>
      </w:r>
      <w:r w:rsidR="00804D92" w:rsidRPr="00062154">
        <w:rPr>
          <w:szCs w:val="22"/>
          <w:lang w:val="es-ES"/>
        </w:rPr>
        <w:t>.</w:t>
      </w:r>
    </w:p>
    <w:p w14:paraId="58094E11" w14:textId="6109B13F" w:rsidR="00F47C65" w:rsidRPr="00BD0988" w:rsidRDefault="00792BF0" w:rsidP="001469A9">
      <w:pPr>
        <w:pStyle w:val="ONUME"/>
        <w:tabs>
          <w:tab w:val="num" w:pos="567"/>
        </w:tabs>
        <w:ind w:left="5534"/>
        <w:rPr>
          <w:i/>
          <w:lang w:val="es-ES"/>
        </w:rPr>
      </w:pPr>
      <w:r w:rsidRPr="001469A9">
        <w:rPr>
          <w:i/>
        </w:rPr>
        <w:fldChar w:fldCharType="begin"/>
      </w:r>
      <w:r w:rsidRPr="00BD0988">
        <w:rPr>
          <w:i/>
          <w:lang w:val="es-ES"/>
        </w:rPr>
        <w:instrText xml:space="preserve"> AUTONUM  </w:instrText>
      </w:r>
      <w:r w:rsidRPr="001469A9">
        <w:rPr>
          <w:i/>
        </w:rPr>
        <w:fldChar w:fldCharType="end"/>
      </w:r>
      <w:r w:rsidRPr="00BD0988">
        <w:rPr>
          <w:i/>
          <w:lang w:val="es-ES"/>
        </w:rPr>
        <w:tab/>
      </w:r>
      <w:r w:rsidR="001469A9" w:rsidRPr="001469A9">
        <w:rPr>
          <w:i/>
          <w:lang w:val="es-ES_tradnl"/>
        </w:rPr>
        <w:t>Se invita al CWS a:</w:t>
      </w:r>
    </w:p>
    <w:p w14:paraId="6BC153B0" w14:textId="2B6F52BB" w:rsidR="00F47C65" w:rsidRPr="00062154" w:rsidRDefault="00B83381" w:rsidP="00B83381">
      <w:pPr>
        <w:pStyle w:val="BodyText"/>
        <w:tabs>
          <w:tab w:val="left" w:pos="6101"/>
          <w:tab w:val="left" w:pos="6668"/>
        </w:tabs>
        <w:ind w:left="5533"/>
        <w:rPr>
          <w:i/>
          <w:szCs w:val="22"/>
          <w:lang w:val="es-ES"/>
        </w:rPr>
      </w:pPr>
      <w:r w:rsidRPr="00BD0988">
        <w:rPr>
          <w:i/>
          <w:lang w:val="es-ES"/>
        </w:rPr>
        <w:tab/>
      </w:r>
      <w:r w:rsidRPr="00062154">
        <w:rPr>
          <w:i/>
          <w:lang w:val="es-ES"/>
        </w:rPr>
        <w:t>a)</w:t>
      </w:r>
      <w:r w:rsidRPr="00062154">
        <w:rPr>
          <w:i/>
          <w:lang w:val="es-ES"/>
        </w:rPr>
        <w:tab/>
      </w:r>
      <w:r w:rsidR="00F02A99" w:rsidRPr="00062154">
        <w:rPr>
          <w:i/>
          <w:lang w:val="es-ES"/>
        </w:rPr>
        <w:t>t</w:t>
      </w:r>
      <w:r w:rsidR="00062154" w:rsidRPr="00062154">
        <w:rPr>
          <w:i/>
          <w:lang w:val="es-ES"/>
        </w:rPr>
        <w:t xml:space="preserve">omar nota del contenido del presente </w:t>
      </w:r>
      <w:r w:rsidR="00F02A99" w:rsidRPr="00062154">
        <w:rPr>
          <w:i/>
          <w:lang w:val="es-ES"/>
        </w:rPr>
        <w:t>document</w:t>
      </w:r>
      <w:r w:rsidR="00062154" w:rsidRPr="00062154">
        <w:rPr>
          <w:i/>
          <w:lang w:val="es-ES"/>
        </w:rPr>
        <w:t>o</w:t>
      </w:r>
      <w:r w:rsidR="00F02A99" w:rsidRPr="00062154">
        <w:rPr>
          <w:i/>
          <w:lang w:val="es-ES"/>
        </w:rPr>
        <w:t>;</w:t>
      </w:r>
    </w:p>
    <w:p w14:paraId="1021DF50" w14:textId="0AC215B1" w:rsidR="00F47C65" w:rsidRPr="00BD0988" w:rsidRDefault="00B83381" w:rsidP="001469A9">
      <w:pPr>
        <w:pStyle w:val="BodyText"/>
        <w:tabs>
          <w:tab w:val="left" w:pos="6101"/>
          <w:tab w:val="left" w:pos="6668"/>
        </w:tabs>
        <w:ind w:left="5530"/>
        <w:rPr>
          <w:i/>
          <w:lang w:val="es-ES"/>
        </w:rPr>
      </w:pPr>
      <w:r w:rsidRPr="00062154">
        <w:rPr>
          <w:i/>
          <w:lang w:val="es-ES"/>
        </w:rPr>
        <w:tab/>
      </w:r>
      <w:r w:rsidR="001469A9" w:rsidRPr="001469A9">
        <w:rPr>
          <w:i/>
          <w:lang w:val="es-ES_tradnl"/>
        </w:rPr>
        <w:t>b)</w:t>
      </w:r>
      <w:r w:rsidR="001469A9" w:rsidRPr="001469A9">
        <w:rPr>
          <w:lang w:val="es-ES_tradnl"/>
        </w:rPr>
        <w:tab/>
      </w:r>
      <w:r w:rsidR="001469A9" w:rsidRPr="001469A9">
        <w:rPr>
          <w:i/>
          <w:lang w:val="es-ES_tradnl"/>
        </w:rPr>
        <w:t xml:space="preserve">considerar la aprobación de la propuesta de revisión de la Norma ST.26 de la OMPI, mencionada en los párrafos 4 a 6 y reproducida en los Anexos I </w:t>
      </w:r>
      <w:r w:rsidR="002B744F">
        <w:rPr>
          <w:i/>
          <w:lang w:val="es-ES_tradnl"/>
        </w:rPr>
        <w:t xml:space="preserve">y II </w:t>
      </w:r>
      <w:r w:rsidR="001469A9" w:rsidRPr="001469A9">
        <w:rPr>
          <w:i/>
          <w:lang w:val="es-ES_tradnl"/>
        </w:rPr>
        <w:t>del presente documento, y</w:t>
      </w:r>
      <w:r w:rsidR="00062154">
        <w:rPr>
          <w:i/>
          <w:lang w:val="es-ES_tradnl"/>
        </w:rPr>
        <w:t xml:space="preserve"> a</w:t>
      </w:r>
      <w:r w:rsidR="001469A9" w:rsidRPr="001469A9">
        <w:rPr>
          <w:i/>
          <w:lang w:val="es-ES_tradnl"/>
        </w:rPr>
        <w:t xml:space="preserve"> tomar una decisión al respecto; y</w:t>
      </w:r>
      <w:r w:rsidR="00F02A99" w:rsidRPr="00BD0988">
        <w:rPr>
          <w:i/>
          <w:lang w:val="es-ES"/>
        </w:rPr>
        <w:t xml:space="preserve"> </w:t>
      </w:r>
    </w:p>
    <w:p w14:paraId="2E45DAD6" w14:textId="5C8149B8" w:rsidR="00F47C65" w:rsidRDefault="00111590" w:rsidP="00B83381">
      <w:pPr>
        <w:pStyle w:val="BodyText"/>
        <w:tabs>
          <w:tab w:val="left" w:pos="6101"/>
          <w:tab w:val="left" w:pos="6668"/>
        </w:tabs>
        <w:spacing w:after="0"/>
        <w:ind w:left="5530"/>
        <w:rPr>
          <w:i/>
          <w:lang w:val="es-ES"/>
        </w:rPr>
      </w:pPr>
      <w:r w:rsidRPr="00BD0988">
        <w:rPr>
          <w:i/>
          <w:lang w:val="es-ES"/>
        </w:rPr>
        <w:tab/>
      </w:r>
      <w:r w:rsidRPr="00062154">
        <w:rPr>
          <w:i/>
          <w:lang w:val="es-ES"/>
        </w:rPr>
        <w:t>c)</w:t>
      </w:r>
      <w:r w:rsidRPr="00062154">
        <w:rPr>
          <w:i/>
          <w:lang w:val="es-ES"/>
        </w:rPr>
        <w:tab/>
      </w:r>
      <w:r w:rsidR="00062154" w:rsidRPr="00062154">
        <w:rPr>
          <w:i/>
          <w:lang w:val="es-ES"/>
        </w:rPr>
        <w:t xml:space="preserve">examinar y aprobar la propuesta de presentar el contenido del Anexo III y del Apéndice del Anexo VI de la Norma ST.26 de la OMPI como dos archivos separados, con enlace a la Norma, como se indica en el párrafo 7 </w:t>
      </w:r>
      <w:r w:rsidR="00062154" w:rsidRPr="00062154">
        <w:rPr>
          <w:lang w:val="es-ES"/>
        </w:rPr>
        <w:t>supra</w:t>
      </w:r>
      <w:r w:rsidRPr="00062154">
        <w:rPr>
          <w:i/>
          <w:lang w:val="es-ES"/>
        </w:rPr>
        <w:t>.</w:t>
      </w:r>
    </w:p>
    <w:p w14:paraId="66F61100" w14:textId="2A511543" w:rsidR="00592FD3" w:rsidRDefault="00592FD3" w:rsidP="00B83381">
      <w:pPr>
        <w:pStyle w:val="BodyText"/>
        <w:tabs>
          <w:tab w:val="left" w:pos="6101"/>
          <w:tab w:val="left" w:pos="6668"/>
        </w:tabs>
        <w:spacing w:after="0"/>
        <w:ind w:left="5530"/>
        <w:rPr>
          <w:i/>
          <w:lang w:val="es-ES"/>
        </w:rPr>
      </w:pPr>
    </w:p>
    <w:p w14:paraId="03A9863B" w14:textId="77777777" w:rsidR="00592FD3" w:rsidRPr="00062154" w:rsidRDefault="00592FD3" w:rsidP="00B83381">
      <w:pPr>
        <w:pStyle w:val="BodyText"/>
        <w:tabs>
          <w:tab w:val="left" w:pos="6101"/>
          <w:tab w:val="left" w:pos="6668"/>
        </w:tabs>
        <w:spacing w:after="0"/>
        <w:ind w:left="5530"/>
        <w:rPr>
          <w:i/>
          <w:lang w:val="es-ES"/>
        </w:rPr>
      </w:pPr>
    </w:p>
    <w:p w14:paraId="3E91005C" w14:textId="50DF2749" w:rsidR="00F47C65" w:rsidRPr="00062154" w:rsidRDefault="005C681B" w:rsidP="005C681B">
      <w:pPr>
        <w:pStyle w:val="Endofdocument-Annex"/>
        <w:ind w:left="5529"/>
        <w:rPr>
          <w:lang w:val="es-ES"/>
        </w:rPr>
      </w:pPr>
      <w:r w:rsidRPr="00062154">
        <w:rPr>
          <w:lang w:val="es-ES"/>
        </w:rPr>
        <w:t>[</w:t>
      </w:r>
      <w:r w:rsidR="00062154" w:rsidRPr="00062154">
        <w:rPr>
          <w:lang w:val="es-ES"/>
        </w:rPr>
        <w:t>Sigue el Anexo</w:t>
      </w:r>
      <w:r w:rsidR="005D144F" w:rsidRPr="00062154">
        <w:rPr>
          <w:lang w:val="es-ES"/>
        </w:rPr>
        <w:t xml:space="preserve"> </w:t>
      </w:r>
      <w:r w:rsidR="00792BF0" w:rsidRPr="00062154">
        <w:rPr>
          <w:lang w:val="es-ES"/>
        </w:rPr>
        <w:t>(</w:t>
      </w:r>
      <w:r w:rsidR="00062154" w:rsidRPr="00062154">
        <w:rPr>
          <w:lang w:val="es-ES"/>
        </w:rPr>
        <w:t>Anexo</w:t>
      </w:r>
      <w:r w:rsidR="00592FD3">
        <w:rPr>
          <w:lang w:val="es-ES"/>
        </w:rPr>
        <w:t xml:space="preserve"> I</w:t>
      </w:r>
      <w:r w:rsidR="00062154" w:rsidRPr="00062154">
        <w:rPr>
          <w:lang w:val="es-ES"/>
        </w:rPr>
        <w:t xml:space="preserve"> de la Norma </w:t>
      </w:r>
      <w:r w:rsidR="00792BF0" w:rsidRPr="00062154">
        <w:rPr>
          <w:lang w:val="es-ES"/>
        </w:rPr>
        <w:t>ST.26)]</w:t>
      </w:r>
    </w:p>
    <w:p w14:paraId="5360A083" w14:textId="59944C4D" w:rsidR="00792BF0" w:rsidRPr="00062154" w:rsidRDefault="00792BF0" w:rsidP="005C681B">
      <w:pPr>
        <w:pStyle w:val="Endofdocument-Annex"/>
        <w:ind w:left="5529"/>
        <w:rPr>
          <w:lang w:val="es-ES"/>
        </w:rPr>
      </w:pPr>
    </w:p>
    <w:sectPr w:rsidR="00792BF0" w:rsidRPr="00062154" w:rsidSect="00145D4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BAD11" w14:textId="77777777" w:rsidR="00145D4A" w:rsidRDefault="00145D4A">
      <w:r>
        <w:separator/>
      </w:r>
    </w:p>
  </w:endnote>
  <w:endnote w:type="continuationSeparator" w:id="0">
    <w:p w14:paraId="0C857DAB" w14:textId="77777777" w:rsidR="00145D4A" w:rsidRDefault="00145D4A" w:rsidP="003B38C1">
      <w:r>
        <w:separator/>
      </w:r>
    </w:p>
    <w:p w14:paraId="7832AF42" w14:textId="77777777" w:rsidR="00145D4A" w:rsidRPr="003B38C1" w:rsidRDefault="00145D4A" w:rsidP="003B38C1">
      <w:pPr>
        <w:spacing w:after="60"/>
        <w:rPr>
          <w:sz w:val="17"/>
        </w:rPr>
      </w:pPr>
      <w:r>
        <w:rPr>
          <w:sz w:val="17"/>
        </w:rPr>
        <w:t>[Endnote continued from previous page]</w:t>
      </w:r>
    </w:p>
  </w:endnote>
  <w:endnote w:type="continuationNotice" w:id="1">
    <w:p w14:paraId="3118F577" w14:textId="77777777" w:rsidR="00145D4A" w:rsidRPr="003B38C1" w:rsidRDefault="00145D4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C3C5F" w14:textId="77777777" w:rsidR="00145D4A" w:rsidRDefault="00145D4A">
      <w:r>
        <w:separator/>
      </w:r>
    </w:p>
  </w:footnote>
  <w:footnote w:type="continuationSeparator" w:id="0">
    <w:p w14:paraId="6EED7DFA" w14:textId="77777777" w:rsidR="00145D4A" w:rsidRDefault="00145D4A" w:rsidP="008B60B2">
      <w:r>
        <w:separator/>
      </w:r>
    </w:p>
    <w:p w14:paraId="2806E3EC" w14:textId="77777777" w:rsidR="00145D4A" w:rsidRPr="00ED77FB" w:rsidRDefault="00145D4A" w:rsidP="008B60B2">
      <w:pPr>
        <w:spacing w:after="60"/>
        <w:rPr>
          <w:sz w:val="17"/>
          <w:szCs w:val="17"/>
        </w:rPr>
      </w:pPr>
      <w:r w:rsidRPr="00ED77FB">
        <w:rPr>
          <w:sz w:val="17"/>
          <w:szCs w:val="17"/>
        </w:rPr>
        <w:t>[Footnote continued from previous page]</w:t>
      </w:r>
    </w:p>
  </w:footnote>
  <w:footnote w:type="continuationNotice" w:id="1">
    <w:p w14:paraId="7F6941C4" w14:textId="77777777" w:rsidR="00145D4A" w:rsidRPr="00ED77FB" w:rsidRDefault="00145D4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C16ED" w14:textId="3ACEE72F" w:rsidR="00EC4E49" w:rsidRPr="00F24B92" w:rsidRDefault="001469A9" w:rsidP="001469A9">
    <w:pPr>
      <w:jc w:val="right"/>
    </w:pPr>
    <w:r w:rsidRPr="00F24B92">
      <w:rPr>
        <w:lang w:val="es-ES_tradnl"/>
      </w:rPr>
      <w:t>CWS/7/14</w:t>
    </w:r>
  </w:p>
  <w:p w14:paraId="18B8654E" w14:textId="296F8001" w:rsidR="00EC4E49" w:rsidRPr="00F24B92" w:rsidRDefault="00F24B92" w:rsidP="001469A9">
    <w:pPr>
      <w:jc w:val="right"/>
    </w:pPr>
    <w:r w:rsidRPr="00F24B92">
      <w:rPr>
        <w:lang w:val="es-ES_tradnl"/>
      </w:rPr>
      <w:t>página</w:t>
    </w:r>
    <w:r w:rsidRPr="00F24B92">
      <w:t xml:space="preserve"> </w:t>
    </w:r>
    <w:r w:rsidR="00EC4E49" w:rsidRPr="00F24B92">
      <w:fldChar w:fldCharType="begin"/>
    </w:r>
    <w:r w:rsidR="00EC4E49" w:rsidRPr="00F24B92">
      <w:instrText xml:space="preserve"> PAGE  \* MERGEFORMAT </w:instrText>
    </w:r>
    <w:r w:rsidR="00EC4E49" w:rsidRPr="00F24B92">
      <w:fldChar w:fldCharType="separate"/>
    </w:r>
    <w:r w:rsidR="00FA75D6">
      <w:rPr>
        <w:noProof/>
      </w:rPr>
      <w:t>4</w:t>
    </w:r>
    <w:r w:rsidR="00EC4E49" w:rsidRPr="00F24B92">
      <w:fldChar w:fldCharType="end"/>
    </w:r>
  </w:p>
  <w:p w14:paraId="751327B1" w14:textId="77777777" w:rsidR="00EC4E49" w:rsidRPr="00F24B92" w:rsidRDefault="00EC4E49" w:rsidP="00477D6B">
    <w:pPr>
      <w:jc w:val="right"/>
    </w:pPr>
  </w:p>
  <w:p w14:paraId="7AE6A0A4" w14:textId="77777777" w:rsidR="008A134B" w:rsidRPr="00F24B92"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D614DA"/>
    <w:multiLevelType w:val="hybridMultilevel"/>
    <w:tmpl w:val="3BE8A102"/>
    <w:lvl w:ilvl="0" w:tplc="51603708">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9F7F80"/>
    <w:multiLevelType w:val="hybridMultilevel"/>
    <w:tmpl w:val="645A2F90"/>
    <w:lvl w:ilvl="0" w:tplc="3FB451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306806"/>
    <w:multiLevelType w:val="hybridMultilevel"/>
    <w:tmpl w:val="88D4C054"/>
    <w:lvl w:ilvl="0" w:tplc="3FB451B2">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lang w:val="es-E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7777D4"/>
    <w:multiLevelType w:val="hybridMultilevel"/>
    <w:tmpl w:val="866665B6"/>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9DB0454"/>
    <w:multiLevelType w:val="hybridMultilevel"/>
    <w:tmpl w:val="E4DEAABA"/>
    <w:lvl w:ilvl="0" w:tplc="496891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1578E"/>
    <w:multiLevelType w:val="hybridMultilevel"/>
    <w:tmpl w:val="3C18CC98"/>
    <w:lvl w:ilvl="0" w:tplc="1CAAFB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40157"/>
    <w:multiLevelType w:val="hybridMultilevel"/>
    <w:tmpl w:val="14BE2056"/>
    <w:lvl w:ilvl="0" w:tplc="3FB451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C2CFF"/>
    <w:multiLevelType w:val="hybridMultilevel"/>
    <w:tmpl w:val="2C788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1664E2"/>
    <w:multiLevelType w:val="hybridMultilevel"/>
    <w:tmpl w:val="4064A23C"/>
    <w:lvl w:ilvl="0" w:tplc="B0202D04">
      <w:start w:val="6"/>
      <w:numFmt w:val="lowerLetter"/>
      <w:lvlText w:val="(%1)"/>
      <w:lvlJc w:val="left"/>
      <w:pPr>
        <w:ind w:left="720" w:hanging="360"/>
      </w:pPr>
      <w:rPr>
        <w:rFonts w:hint="default"/>
      </w:rPr>
    </w:lvl>
    <w:lvl w:ilvl="1" w:tplc="0F94F5A2">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F328B"/>
    <w:multiLevelType w:val="hybridMultilevel"/>
    <w:tmpl w:val="79BC95D4"/>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60781F19"/>
    <w:multiLevelType w:val="hybridMultilevel"/>
    <w:tmpl w:val="74F8E4D4"/>
    <w:lvl w:ilvl="0" w:tplc="51603708">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7" w15:restartNumberingAfterBreak="0">
    <w:nsid w:val="6EA45C2D"/>
    <w:multiLevelType w:val="hybridMultilevel"/>
    <w:tmpl w:val="E48453D0"/>
    <w:lvl w:ilvl="0" w:tplc="51603708">
      <w:start w:val="1"/>
      <w:numFmt w:val="bullet"/>
      <w:lvlText w:val=""/>
      <w:lvlJc w:val="left"/>
      <w:pPr>
        <w:ind w:left="149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65327"/>
    <w:multiLevelType w:val="hybridMultilevel"/>
    <w:tmpl w:val="A6905BB4"/>
    <w:lvl w:ilvl="0" w:tplc="51603708">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9" w15:restartNumberingAfterBreak="0">
    <w:nsid w:val="79CC5587"/>
    <w:multiLevelType w:val="hybridMultilevel"/>
    <w:tmpl w:val="B2DAFCD6"/>
    <w:lvl w:ilvl="0" w:tplc="51603708">
      <w:start w:val="1"/>
      <w:numFmt w:val="bullet"/>
      <w:lvlText w:val=""/>
      <w:lvlJc w:val="left"/>
      <w:pPr>
        <w:ind w:left="720" w:hanging="360"/>
      </w:pPr>
      <w:rPr>
        <w:rFonts w:ascii="Symbol" w:hAnsi="Symbol" w:hint="default"/>
      </w:rPr>
    </w:lvl>
    <w:lvl w:ilvl="1" w:tplc="0F94F5A2">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2"/>
  </w:num>
  <w:num w:numId="6">
    <w:abstractNumId w:val="5"/>
  </w:num>
  <w:num w:numId="7">
    <w:abstractNumId w:val="8"/>
  </w:num>
  <w:num w:numId="8">
    <w:abstractNumId w:val="9"/>
  </w:num>
  <w:num w:numId="9">
    <w:abstractNumId w:val="3"/>
  </w:num>
  <w:num w:numId="10">
    <w:abstractNumId w:val="11"/>
  </w:num>
  <w:num w:numId="11">
    <w:abstractNumId w:val="10"/>
  </w:num>
  <w:num w:numId="12">
    <w:abstractNumId w:val="18"/>
  </w:num>
  <w:num w:numId="13">
    <w:abstractNumId w:val="15"/>
  </w:num>
  <w:num w:numId="14">
    <w:abstractNumId w:val="16"/>
  </w:num>
  <w:num w:numId="15">
    <w:abstractNumId w:val="1"/>
  </w:num>
  <w:num w:numId="16">
    <w:abstractNumId w:val="17"/>
  </w:num>
  <w:num w:numId="17">
    <w:abstractNumId w:val="7"/>
  </w:num>
  <w:num w:numId="18">
    <w:abstractNumId w:val="6"/>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am Server TMs\Spanish|Team Server TMs\Spanish|Team Server TMs\Spanish|Team Server TMs\Spanish|Team Server TMs\Spanish|Team Server TMs\Spanish|Team Server TMs\Spanish|Team Server TMs\Spanish|Team Server TMs\Spanish|Team Server TMs\Spanish|Team Server TMs\Spanish|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145D4A"/>
    <w:rsid w:val="00043CAA"/>
    <w:rsid w:val="00062154"/>
    <w:rsid w:val="00075432"/>
    <w:rsid w:val="000820AB"/>
    <w:rsid w:val="00084C62"/>
    <w:rsid w:val="00093F65"/>
    <w:rsid w:val="000968ED"/>
    <w:rsid w:val="000A72D0"/>
    <w:rsid w:val="000C1B65"/>
    <w:rsid w:val="000C6BDE"/>
    <w:rsid w:val="000C7559"/>
    <w:rsid w:val="000F5E56"/>
    <w:rsid w:val="000F6485"/>
    <w:rsid w:val="00104584"/>
    <w:rsid w:val="00111590"/>
    <w:rsid w:val="001362EE"/>
    <w:rsid w:val="00145D4A"/>
    <w:rsid w:val="001469A9"/>
    <w:rsid w:val="00150886"/>
    <w:rsid w:val="001647D5"/>
    <w:rsid w:val="001832A6"/>
    <w:rsid w:val="00183971"/>
    <w:rsid w:val="001A2367"/>
    <w:rsid w:val="001C407D"/>
    <w:rsid w:val="001D0D69"/>
    <w:rsid w:val="00202DB6"/>
    <w:rsid w:val="00206DF2"/>
    <w:rsid w:val="0021217E"/>
    <w:rsid w:val="002634C4"/>
    <w:rsid w:val="002928D3"/>
    <w:rsid w:val="002B744F"/>
    <w:rsid w:val="002E1E58"/>
    <w:rsid w:val="002F1FE6"/>
    <w:rsid w:val="002F4E68"/>
    <w:rsid w:val="00312F7F"/>
    <w:rsid w:val="00320B2A"/>
    <w:rsid w:val="003457AE"/>
    <w:rsid w:val="00361450"/>
    <w:rsid w:val="00363D39"/>
    <w:rsid w:val="0036684A"/>
    <w:rsid w:val="003673CF"/>
    <w:rsid w:val="00382293"/>
    <w:rsid w:val="00382E19"/>
    <w:rsid w:val="003845C1"/>
    <w:rsid w:val="003A6F89"/>
    <w:rsid w:val="003B38C1"/>
    <w:rsid w:val="003B5B74"/>
    <w:rsid w:val="003B78EA"/>
    <w:rsid w:val="003C2244"/>
    <w:rsid w:val="004023FC"/>
    <w:rsid w:val="00417E7B"/>
    <w:rsid w:val="00423E3E"/>
    <w:rsid w:val="00424DE1"/>
    <w:rsid w:val="00427AF4"/>
    <w:rsid w:val="00433341"/>
    <w:rsid w:val="004469F5"/>
    <w:rsid w:val="004647DA"/>
    <w:rsid w:val="00474062"/>
    <w:rsid w:val="004747A4"/>
    <w:rsid w:val="00477D6B"/>
    <w:rsid w:val="0049175F"/>
    <w:rsid w:val="004A4365"/>
    <w:rsid w:val="004F58A9"/>
    <w:rsid w:val="004F7804"/>
    <w:rsid w:val="005019FF"/>
    <w:rsid w:val="0053057A"/>
    <w:rsid w:val="00530C08"/>
    <w:rsid w:val="005414BF"/>
    <w:rsid w:val="00560A29"/>
    <w:rsid w:val="005803C0"/>
    <w:rsid w:val="00592FD3"/>
    <w:rsid w:val="005C08E9"/>
    <w:rsid w:val="005C1A8B"/>
    <w:rsid w:val="005C6649"/>
    <w:rsid w:val="005C681B"/>
    <w:rsid w:val="005D144F"/>
    <w:rsid w:val="005F3DE3"/>
    <w:rsid w:val="00605827"/>
    <w:rsid w:val="006241F3"/>
    <w:rsid w:val="00641C5E"/>
    <w:rsid w:val="00646050"/>
    <w:rsid w:val="006503FF"/>
    <w:rsid w:val="006713CA"/>
    <w:rsid w:val="00676C5C"/>
    <w:rsid w:val="00677EA9"/>
    <w:rsid w:val="006E3813"/>
    <w:rsid w:val="006E3F61"/>
    <w:rsid w:val="00703F02"/>
    <w:rsid w:val="00751D1C"/>
    <w:rsid w:val="0077455E"/>
    <w:rsid w:val="007821D8"/>
    <w:rsid w:val="0078294A"/>
    <w:rsid w:val="00792BF0"/>
    <w:rsid w:val="007A7517"/>
    <w:rsid w:val="007B4DD2"/>
    <w:rsid w:val="007C2BAC"/>
    <w:rsid w:val="007D1613"/>
    <w:rsid w:val="007D2719"/>
    <w:rsid w:val="007E4C0E"/>
    <w:rsid w:val="007E5E5D"/>
    <w:rsid w:val="00804D92"/>
    <w:rsid w:val="00830E30"/>
    <w:rsid w:val="00837164"/>
    <w:rsid w:val="008444D0"/>
    <w:rsid w:val="008A134B"/>
    <w:rsid w:val="008A4A09"/>
    <w:rsid w:val="008B2CC1"/>
    <w:rsid w:val="008B60B2"/>
    <w:rsid w:val="008C3025"/>
    <w:rsid w:val="008C7F45"/>
    <w:rsid w:val="008F188B"/>
    <w:rsid w:val="0090731E"/>
    <w:rsid w:val="00916EE2"/>
    <w:rsid w:val="00944B50"/>
    <w:rsid w:val="00966A22"/>
    <w:rsid w:val="0096722F"/>
    <w:rsid w:val="00974DBC"/>
    <w:rsid w:val="00980843"/>
    <w:rsid w:val="009C6849"/>
    <w:rsid w:val="009C7DB0"/>
    <w:rsid w:val="009D558B"/>
    <w:rsid w:val="009E2791"/>
    <w:rsid w:val="009E3F6F"/>
    <w:rsid w:val="009F499F"/>
    <w:rsid w:val="00A11BE9"/>
    <w:rsid w:val="00A37342"/>
    <w:rsid w:val="00A42DAF"/>
    <w:rsid w:val="00A45507"/>
    <w:rsid w:val="00A45BD8"/>
    <w:rsid w:val="00A51ED3"/>
    <w:rsid w:val="00A661CC"/>
    <w:rsid w:val="00A75DA0"/>
    <w:rsid w:val="00A80287"/>
    <w:rsid w:val="00A869B7"/>
    <w:rsid w:val="00A86AEA"/>
    <w:rsid w:val="00AA563A"/>
    <w:rsid w:val="00AC205C"/>
    <w:rsid w:val="00AD1B18"/>
    <w:rsid w:val="00AF0A6B"/>
    <w:rsid w:val="00AF7224"/>
    <w:rsid w:val="00B05A69"/>
    <w:rsid w:val="00B22C99"/>
    <w:rsid w:val="00B36B54"/>
    <w:rsid w:val="00B36DD8"/>
    <w:rsid w:val="00B44E4A"/>
    <w:rsid w:val="00B61808"/>
    <w:rsid w:val="00B83381"/>
    <w:rsid w:val="00B9734B"/>
    <w:rsid w:val="00BA30E2"/>
    <w:rsid w:val="00BD0988"/>
    <w:rsid w:val="00BE59A9"/>
    <w:rsid w:val="00C0065B"/>
    <w:rsid w:val="00C11BFE"/>
    <w:rsid w:val="00C234EA"/>
    <w:rsid w:val="00C5068F"/>
    <w:rsid w:val="00C63153"/>
    <w:rsid w:val="00C64709"/>
    <w:rsid w:val="00C86D74"/>
    <w:rsid w:val="00CA7B97"/>
    <w:rsid w:val="00CC38F2"/>
    <w:rsid w:val="00CD04F1"/>
    <w:rsid w:val="00CD2D80"/>
    <w:rsid w:val="00CD59F2"/>
    <w:rsid w:val="00D3124F"/>
    <w:rsid w:val="00D31ECC"/>
    <w:rsid w:val="00D45252"/>
    <w:rsid w:val="00D66A54"/>
    <w:rsid w:val="00D71B4D"/>
    <w:rsid w:val="00D93D55"/>
    <w:rsid w:val="00D94AE6"/>
    <w:rsid w:val="00DA3F74"/>
    <w:rsid w:val="00E04CD1"/>
    <w:rsid w:val="00E15015"/>
    <w:rsid w:val="00E221BF"/>
    <w:rsid w:val="00E335FE"/>
    <w:rsid w:val="00E7050B"/>
    <w:rsid w:val="00E823A5"/>
    <w:rsid w:val="00E93E21"/>
    <w:rsid w:val="00EA7D6E"/>
    <w:rsid w:val="00EB1A58"/>
    <w:rsid w:val="00EB44AC"/>
    <w:rsid w:val="00EC4E49"/>
    <w:rsid w:val="00ED77FB"/>
    <w:rsid w:val="00EE45FA"/>
    <w:rsid w:val="00EF46E5"/>
    <w:rsid w:val="00F02A99"/>
    <w:rsid w:val="00F24B92"/>
    <w:rsid w:val="00F47C65"/>
    <w:rsid w:val="00F518BB"/>
    <w:rsid w:val="00F65B72"/>
    <w:rsid w:val="00F66152"/>
    <w:rsid w:val="00FA75D6"/>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2EAA050"/>
  <w15:docId w15:val="{88975813-6083-4509-8AF8-099401FC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34"/>
    <w:qFormat/>
    <w:rsid w:val="00F02A99"/>
    <w:pPr>
      <w:ind w:left="720"/>
      <w:contextualSpacing/>
    </w:pPr>
  </w:style>
  <w:style w:type="character" w:customStyle="1" w:styleId="ONUMEChar">
    <w:name w:val="ONUM E Char"/>
    <w:basedOn w:val="DefaultParagraphFont"/>
    <w:link w:val="ONUME"/>
    <w:uiPriority w:val="99"/>
    <w:rsid w:val="00792BF0"/>
    <w:rPr>
      <w:rFonts w:ascii="Arial" w:eastAsia="SimSun" w:hAnsi="Arial" w:cs="Arial"/>
      <w:sz w:val="22"/>
      <w:lang w:val="en-US" w:eastAsia="zh-CN"/>
    </w:rPr>
  </w:style>
  <w:style w:type="character" w:customStyle="1" w:styleId="BodyTextChar">
    <w:name w:val="Body Text Char"/>
    <w:link w:val="BodyText"/>
    <w:rsid w:val="00792BF0"/>
    <w:rPr>
      <w:rFonts w:ascii="Arial" w:eastAsia="SimSun" w:hAnsi="Arial" w:cs="Arial"/>
      <w:sz w:val="22"/>
      <w:lang w:val="en-US" w:eastAsia="zh-CN"/>
    </w:rPr>
  </w:style>
  <w:style w:type="character" w:styleId="CommentReference">
    <w:name w:val="annotation reference"/>
    <w:basedOn w:val="DefaultParagraphFont"/>
    <w:semiHidden/>
    <w:unhideWhenUsed/>
    <w:rsid w:val="00183971"/>
    <w:rPr>
      <w:sz w:val="16"/>
      <w:szCs w:val="16"/>
    </w:rPr>
  </w:style>
  <w:style w:type="paragraph" w:styleId="CommentSubject">
    <w:name w:val="annotation subject"/>
    <w:basedOn w:val="CommentText"/>
    <w:next w:val="CommentText"/>
    <w:link w:val="CommentSubjectChar"/>
    <w:semiHidden/>
    <w:unhideWhenUsed/>
    <w:rsid w:val="00183971"/>
    <w:rPr>
      <w:b/>
      <w:bCs/>
      <w:sz w:val="20"/>
    </w:rPr>
  </w:style>
  <w:style w:type="character" w:customStyle="1" w:styleId="CommentTextChar">
    <w:name w:val="Comment Text Char"/>
    <w:basedOn w:val="DefaultParagraphFont"/>
    <w:link w:val="CommentText"/>
    <w:semiHidden/>
    <w:rsid w:val="0018397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3971"/>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D3813-28E7-4CD5-B057-079C680F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(E).dotm</Template>
  <TotalTime>0</TotalTime>
  <Pages>4</Pages>
  <Words>1103</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CWS/7/14 (in Spanish)</vt:lpstr>
    </vt:vector>
  </TitlesOfParts>
  <Company>WIPO</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CWS/7/14 (in Spanish)</dc:title>
  <dc:subject>REVISIÓN DE LA NORMA ST.26 DE LA OMPI</dc:subject>
  <dc:creator>WIPO</dc:creator>
  <cp:keywords>CWS, WIPO</cp:keywords>
  <cp:lastModifiedBy>DRAKE Sophie</cp:lastModifiedBy>
  <cp:revision>7</cp:revision>
  <cp:lastPrinted>2019-05-16T14:33:00Z</cp:lastPrinted>
  <dcterms:created xsi:type="dcterms:W3CDTF">2019-05-16T15:13:00Z</dcterms:created>
  <dcterms:modified xsi:type="dcterms:W3CDTF">2019-05-21T09:23:00Z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