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B2DA2" w14:paraId="625AD941" w14:textId="77777777" w:rsidTr="00361450">
        <w:tc>
          <w:tcPr>
            <w:tcW w:w="4513" w:type="dxa"/>
            <w:tcBorders>
              <w:bottom w:val="single" w:sz="4" w:space="0" w:color="auto"/>
            </w:tcBorders>
            <w:tcMar>
              <w:bottom w:w="170" w:type="dxa"/>
            </w:tcMar>
          </w:tcPr>
          <w:p w14:paraId="28D4DC3F" w14:textId="77777777" w:rsidR="00EC4E49" w:rsidRPr="00CB2DA2" w:rsidRDefault="00EC4E49" w:rsidP="00ED46C2">
            <w:pPr>
              <w:spacing w:line="360" w:lineRule="auto"/>
              <w:rPr>
                <w:lang w:val="es-ES"/>
              </w:rPr>
            </w:pPr>
          </w:p>
        </w:tc>
        <w:tc>
          <w:tcPr>
            <w:tcW w:w="4337" w:type="dxa"/>
            <w:tcBorders>
              <w:bottom w:val="single" w:sz="4" w:space="0" w:color="auto"/>
            </w:tcBorders>
            <w:tcMar>
              <w:left w:w="0" w:type="dxa"/>
              <w:right w:w="0" w:type="dxa"/>
            </w:tcMar>
          </w:tcPr>
          <w:p w14:paraId="09123262" w14:textId="255FFCDC" w:rsidR="00EC4E49" w:rsidRPr="00CB2DA2" w:rsidRDefault="004B5380" w:rsidP="00ED46C2">
            <w:pPr>
              <w:spacing w:line="360" w:lineRule="auto"/>
              <w:rPr>
                <w:lang w:val="es-ES"/>
              </w:rPr>
            </w:pPr>
            <w:r w:rsidRPr="00CB2DA2">
              <w:rPr>
                <w:noProof/>
                <w:lang w:val="de-DE" w:eastAsia="de-DE"/>
              </w:rPr>
              <w:drawing>
                <wp:inline distT="0" distB="0" distL="0" distR="0" wp14:anchorId="6E744A0D" wp14:editId="7E49D585">
                  <wp:extent cx="1859280" cy="1322705"/>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1A2396BF" w14:textId="242579C1" w:rsidR="00EC4E49" w:rsidRPr="00CB2DA2" w:rsidRDefault="004B5380" w:rsidP="00ED46C2">
            <w:pPr>
              <w:spacing w:line="360" w:lineRule="auto"/>
              <w:jc w:val="right"/>
              <w:rPr>
                <w:lang w:val="es-ES"/>
              </w:rPr>
            </w:pPr>
            <w:r w:rsidRPr="00CB2DA2">
              <w:rPr>
                <w:b/>
                <w:sz w:val="40"/>
                <w:szCs w:val="40"/>
                <w:lang w:val="es-ES"/>
              </w:rPr>
              <w:t>S</w:t>
            </w:r>
          </w:p>
        </w:tc>
      </w:tr>
      <w:tr w:rsidR="008B2CC1" w:rsidRPr="00CB2DA2" w14:paraId="0007072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24D7179" w14:textId="77777777" w:rsidR="008B2CC1" w:rsidRPr="00CB2DA2" w:rsidRDefault="00C0065B" w:rsidP="00ED46C2">
            <w:pPr>
              <w:spacing w:line="360" w:lineRule="auto"/>
              <w:jc w:val="right"/>
              <w:rPr>
                <w:rFonts w:ascii="Arial Black" w:hAnsi="Arial Black"/>
                <w:caps/>
                <w:sz w:val="15"/>
                <w:lang w:val="es-ES"/>
              </w:rPr>
            </w:pPr>
            <w:r w:rsidRPr="00CB2DA2">
              <w:rPr>
                <w:rFonts w:ascii="Arial Black" w:hAnsi="Arial Black"/>
                <w:caps/>
                <w:sz w:val="15"/>
                <w:lang w:val="es-ES"/>
              </w:rPr>
              <w:t>CWS/7</w:t>
            </w:r>
            <w:r w:rsidR="00CD59F2" w:rsidRPr="00CB2DA2">
              <w:rPr>
                <w:rFonts w:ascii="Arial Black" w:hAnsi="Arial Black"/>
                <w:caps/>
                <w:sz w:val="15"/>
                <w:lang w:val="es-ES"/>
              </w:rPr>
              <w:t>/</w:t>
            </w:r>
            <w:bookmarkStart w:id="0" w:name="Code"/>
            <w:bookmarkEnd w:id="0"/>
            <w:r w:rsidR="00F05590" w:rsidRPr="00CB2DA2">
              <w:rPr>
                <w:rFonts w:ascii="Arial Black" w:hAnsi="Arial Black"/>
                <w:caps/>
                <w:sz w:val="15"/>
                <w:lang w:val="es-ES"/>
              </w:rPr>
              <w:t>1</w:t>
            </w:r>
            <w:r w:rsidR="00B932FA" w:rsidRPr="00CB2DA2">
              <w:rPr>
                <w:rFonts w:ascii="Arial Black" w:hAnsi="Arial Black"/>
                <w:caps/>
                <w:sz w:val="15"/>
                <w:lang w:val="es-ES"/>
              </w:rPr>
              <w:t>1</w:t>
            </w:r>
          </w:p>
        </w:tc>
      </w:tr>
      <w:tr w:rsidR="008B2CC1" w:rsidRPr="00CB2DA2" w14:paraId="1EFFF774" w14:textId="77777777" w:rsidTr="00916EE2">
        <w:trPr>
          <w:trHeight w:hRule="exact" w:val="170"/>
        </w:trPr>
        <w:tc>
          <w:tcPr>
            <w:tcW w:w="9356" w:type="dxa"/>
            <w:gridSpan w:val="3"/>
            <w:noWrap/>
            <w:tcMar>
              <w:left w:w="0" w:type="dxa"/>
              <w:right w:w="0" w:type="dxa"/>
            </w:tcMar>
            <w:vAlign w:val="bottom"/>
          </w:tcPr>
          <w:p w14:paraId="28AA0EA1" w14:textId="6F7D593B" w:rsidR="008B2CC1" w:rsidRPr="00CB2DA2" w:rsidRDefault="008B2CC1" w:rsidP="004B5380">
            <w:pPr>
              <w:spacing w:line="360" w:lineRule="auto"/>
              <w:jc w:val="right"/>
              <w:rPr>
                <w:rFonts w:ascii="Arial Black" w:hAnsi="Arial Black"/>
                <w:caps/>
                <w:sz w:val="15"/>
                <w:lang w:val="es-ES"/>
              </w:rPr>
            </w:pPr>
            <w:r w:rsidRPr="00CB2DA2">
              <w:rPr>
                <w:rFonts w:ascii="Arial Black" w:hAnsi="Arial Black"/>
                <w:caps/>
                <w:sz w:val="15"/>
                <w:lang w:val="es-ES"/>
              </w:rPr>
              <w:t>ORIGINAL:</w:t>
            </w:r>
            <w:r w:rsidR="001647D5" w:rsidRPr="00CB2DA2">
              <w:rPr>
                <w:rFonts w:ascii="Arial Black" w:hAnsi="Arial Black"/>
                <w:caps/>
                <w:sz w:val="15"/>
                <w:lang w:val="es-ES"/>
              </w:rPr>
              <w:t xml:space="preserve"> </w:t>
            </w:r>
            <w:bookmarkStart w:id="1" w:name="Original"/>
            <w:bookmarkEnd w:id="1"/>
            <w:r w:rsidR="004B5380" w:rsidRPr="00CB2DA2">
              <w:rPr>
                <w:rFonts w:ascii="Arial Black" w:hAnsi="Arial Black"/>
                <w:caps/>
                <w:sz w:val="15"/>
                <w:lang w:val="es-ES"/>
              </w:rPr>
              <w:t>INGLÉS</w:t>
            </w:r>
          </w:p>
        </w:tc>
      </w:tr>
      <w:tr w:rsidR="008B2CC1" w:rsidRPr="00CB2DA2" w14:paraId="0A553798" w14:textId="77777777" w:rsidTr="00916EE2">
        <w:trPr>
          <w:trHeight w:hRule="exact" w:val="198"/>
        </w:trPr>
        <w:tc>
          <w:tcPr>
            <w:tcW w:w="9356" w:type="dxa"/>
            <w:gridSpan w:val="3"/>
            <w:tcMar>
              <w:left w:w="0" w:type="dxa"/>
              <w:right w:w="0" w:type="dxa"/>
            </w:tcMar>
            <w:vAlign w:val="bottom"/>
          </w:tcPr>
          <w:p w14:paraId="5CC4F0C2" w14:textId="235DF4B8" w:rsidR="008B2CC1" w:rsidRPr="00CB2DA2" w:rsidRDefault="004B5380" w:rsidP="004B5380">
            <w:pPr>
              <w:spacing w:line="360" w:lineRule="auto"/>
              <w:jc w:val="right"/>
              <w:rPr>
                <w:rFonts w:ascii="Arial Black" w:hAnsi="Arial Black"/>
                <w:caps/>
                <w:sz w:val="15"/>
                <w:lang w:val="es-ES"/>
              </w:rPr>
            </w:pPr>
            <w:r w:rsidRPr="00CB2DA2">
              <w:rPr>
                <w:rFonts w:ascii="Arial Black" w:hAnsi="Arial Black"/>
                <w:caps/>
                <w:sz w:val="15"/>
                <w:lang w:val="es-ES"/>
              </w:rPr>
              <w:t>FECHA</w:t>
            </w:r>
            <w:r w:rsidR="008B2CC1" w:rsidRPr="00CB2DA2">
              <w:rPr>
                <w:rFonts w:ascii="Arial Black" w:hAnsi="Arial Black"/>
                <w:caps/>
                <w:sz w:val="15"/>
                <w:lang w:val="es-ES"/>
              </w:rPr>
              <w:t>:</w:t>
            </w:r>
            <w:r w:rsidR="001647D5" w:rsidRPr="00CB2DA2">
              <w:rPr>
                <w:rFonts w:ascii="Arial Black" w:hAnsi="Arial Black"/>
                <w:caps/>
                <w:sz w:val="15"/>
                <w:lang w:val="es-ES"/>
              </w:rPr>
              <w:t xml:space="preserve"> </w:t>
            </w:r>
            <w:bookmarkStart w:id="2" w:name="Date"/>
            <w:bookmarkEnd w:id="2"/>
            <w:r w:rsidRPr="00CB2DA2">
              <w:rPr>
                <w:rFonts w:ascii="Arial Black" w:hAnsi="Arial Black"/>
                <w:caps/>
                <w:sz w:val="15"/>
                <w:lang w:val="es-ES"/>
              </w:rPr>
              <w:t>4 DE JUNIO DE</w:t>
            </w:r>
            <w:r w:rsidR="0068209E" w:rsidRPr="00CB2DA2">
              <w:rPr>
                <w:rFonts w:ascii="Arial Black" w:hAnsi="Arial Black"/>
                <w:caps/>
                <w:sz w:val="15"/>
                <w:lang w:val="es-ES"/>
              </w:rPr>
              <w:t xml:space="preserve"> 2019</w:t>
            </w:r>
            <w:r w:rsidR="008B2CC1" w:rsidRPr="00CB2DA2">
              <w:rPr>
                <w:rFonts w:ascii="Arial Black" w:hAnsi="Arial Black"/>
                <w:caps/>
                <w:sz w:val="15"/>
                <w:lang w:val="es-ES"/>
              </w:rPr>
              <w:t xml:space="preserve"> </w:t>
            </w:r>
          </w:p>
        </w:tc>
      </w:tr>
    </w:tbl>
    <w:p w14:paraId="02427207" w14:textId="77777777" w:rsidR="008B2CC1" w:rsidRPr="00CB2DA2" w:rsidRDefault="008B2CC1" w:rsidP="0068209E">
      <w:pPr>
        <w:rPr>
          <w:lang w:val="es-ES"/>
        </w:rPr>
      </w:pPr>
    </w:p>
    <w:p w14:paraId="4A1D25AC" w14:textId="77777777" w:rsidR="008B2CC1" w:rsidRPr="00CB2DA2" w:rsidRDefault="008B2CC1" w:rsidP="0068209E">
      <w:pPr>
        <w:rPr>
          <w:lang w:val="es-ES"/>
        </w:rPr>
      </w:pPr>
    </w:p>
    <w:p w14:paraId="5B3B1AFD" w14:textId="77777777" w:rsidR="008B2CC1" w:rsidRPr="00CB2DA2" w:rsidRDefault="008B2CC1" w:rsidP="0068209E">
      <w:pPr>
        <w:rPr>
          <w:lang w:val="es-ES"/>
        </w:rPr>
      </w:pPr>
    </w:p>
    <w:p w14:paraId="05875526" w14:textId="77777777" w:rsidR="008B2CC1" w:rsidRPr="00CB2DA2" w:rsidRDefault="008B2CC1" w:rsidP="0068209E">
      <w:pPr>
        <w:rPr>
          <w:lang w:val="es-ES"/>
        </w:rPr>
      </w:pPr>
    </w:p>
    <w:p w14:paraId="33DA423C" w14:textId="77777777" w:rsidR="008B2CC1" w:rsidRPr="00CB2DA2" w:rsidRDefault="008B2CC1" w:rsidP="0068209E">
      <w:pPr>
        <w:rPr>
          <w:lang w:val="es-ES"/>
        </w:rPr>
      </w:pPr>
    </w:p>
    <w:p w14:paraId="46F68D4F" w14:textId="21135483" w:rsidR="003845C1" w:rsidRPr="00CB2DA2" w:rsidRDefault="004B5380" w:rsidP="0068209E">
      <w:pPr>
        <w:rPr>
          <w:lang w:val="es-ES"/>
        </w:rPr>
      </w:pPr>
      <w:r w:rsidRPr="00CB2DA2">
        <w:rPr>
          <w:b/>
          <w:sz w:val="28"/>
          <w:szCs w:val="28"/>
          <w:lang w:val="es-ES"/>
        </w:rPr>
        <w:t>Comité de Normas Técnicas de la OMPI (CWS)</w:t>
      </w:r>
    </w:p>
    <w:p w14:paraId="7B97F00E" w14:textId="531A9717" w:rsidR="003845C1" w:rsidRPr="00CB2DA2" w:rsidRDefault="003845C1" w:rsidP="0068209E">
      <w:pPr>
        <w:rPr>
          <w:lang w:val="es-ES"/>
        </w:rPr>
      </w:pPr>
    </w:p>
    <w:p w14:paraId="3E2322D9" w14:textId="77777777" w:rsidR="004B5380" w:rsidRPr="00CB2DA2" w:rsidRDefault="004B5380" w:rsidP="0068209E">
      <w:pPr>
        <w:rPr>
          <w:lang w:val="es-ES"/>
        </w:rPr>
      </w:pPr>
    </w:p>
    <w:p w14:paraId="0EE1398E" w14:textId="28E43A01" w:rsidR="00CD59F2" w:rsidRPr="00CB2DA2" w:rsidRDefault="004B5380" w:rsidP="0068209E">
      <w:pPr>
        <w:rPr>
          <w:b/>
          <w:sz w:val="24"/>
          <w:szCs w:val="24"/>
          <w:lang w:val="es-ES"/>
        </w:rPr>
      </w:pPr>
      <w:r w:rsidRPr="00CB2DA2">
        <w:rPr>
          <w:b/>
          <w:sz w:val="24"/>
          <w:szCs w:val="24"/>
          <w:lang w:val="es-ES"/>
        </w:rPr>
        <w:t>Séptima Sesión</w:t>
      </w:r>
    </w:p>
    <w:p w14:paraId="7169C8C9" w14:textId="1B68FB4B" w:rsidR="008B2CC1" w:rsidRPr="00CB2DA2" w:rsidRDefault="00CD59F2" w:rsidP="0068209E">
      <w:pPr>
        <w:rPr>
          <w:b/>
          <w:sz w:val="24"/>
          <w:szCs w:val="24"/>
          <w:lang w:val="es-ES"/>
        </w:rPr>
      </w:pPr>
      <w:r w:rsidRPr="00CB2DA2">
        <w:rPr>
          <w:b/>
          <w:sz w:val="24"/>
          <w:szCs w:val="24"/>
          <w:lang w:val="es-ES"/>
        </w:rPr>
        <w:t>G</w:t>
      </w:r>
      <w:r w:rsidR="004B5380" w:rsidRPr="00CB2DA2">
        <w:rPr>
          <w:b/>
          <w:sz w:val="24"/>
          <w:szCs w:val="24"/>
          <w:lang w:val="es-ES"/>
        </w:rPr>
        <w:t>inebra</w:t>
      </w:r>
      <w:r w:rsidRPr="00CB2DA2">
        <w:rPr>
          <w:b/>
          <w:sz w:val="24"/>
          <w:szCs w:val="24"/>
          <w:lang w:val="es-ES"/>
        </w:rPr>
        <w:t xml:space="preserve">, </w:t>
      </w:r>
      <w:r w:rsidR="004B5380" w:rsidRPr="00CB2DA2">
        <w:rPr>
          <w:b/>
          <w:sz w:val="24"/>
          <w:szCs w:val="24"/>
          <w:lang w:val="es-ES"/>
        </w:rPr>
        <w:t>1 a 5 de julio de</w:t>
      </w:r>
      <w:r w:rsidR="00C0065B" w:rsidRPr="00CB2DA2">
        <w:rPr>
          <w:b/>
          <w:sz w:val="24"/>
          <w:szCs w:val="24"/>
          <w:lang w:val="es-ES"/>
        </w:rPr>
        <w:t xml:space="preserve"> 2019</w:t>
      </w:r>
    </w:p>
    <w:p w14:paraId="0248BCD0" w14:textId="77777777" w:rsidR="008B2CC1" w:rsidRPr="00CB2DA2" w:rsidRDefault="008B2CC1" w:rsidP="0068209E">
      <w:pPr>
        <w:rPr>
          <w:lang w:val="es-ES"/>
        </w:rPr>
      </w:pPr>
    </w:p>
    <w:p w14:paraId="3B80195B" w14:textId="77777777" w:rsidR="008B2CC1" w:rsidRPr="00CB2DA2" w:rsidRDefault="008B2CC1" w:rsidP="0068209E">
      <w:pPr>
        <w:rPr>
          <w:lang w:val="es-ES"/>
        </w:rPr>
      </w:pPr>
    </w:p>
    <w:p w14:paraId="3C598ED4" w14:textId="77777777" w:rsidR="008B2CC1" w:rsidRPr="00CB2DA2" w:rsidRDefault="008B2CC1" w:rsidP="0068209E">
      <w:pPr>
        <w:rPr>
          <w:lang w:val="es-ES"/>
        </w:rPr>
      </w:pPr>
    </w:p>
    <w:p w14:paraId="52C93288" w14:textId="5614477A" w:rsidR="008B2CC1" w:rsidRPr="00CB2DA2" w:rsidRDefault="004B5380" w:rsidP="0068209E">
      <w:pPr>
        <w:rPr>
          <w:caps/>
          <w:sz w:val="24"/>
          <w:lang w:val="es-ES"/>
        </w:rPr>
      </w:pPr>
      <w:bookmarkStart w:id="3" w:name="TitleOfDoc"/>
      <w:bookmarkStart w:id="4" w:name="_GoBack"/>
      <w:bookmarkEnd w:id="3"/>
      <w:r w:rsidRPr="00CB2DA2">
        <w:rPr>
          <w:caps/>
          <w:sz w:val="24"/>
          <w:lang w:val="es-ES"/>
        </w:rPr>
        <w:t>informe</w:t>
      </w:r>
      <w:r w:rsidR="00B932FA" w:rsidRPr="00CB2DA2">
        <w:rPr>
          <w:caps/>
          <w:sz w:val="24"/>
          <w:lang w:val="es-ES"/>
        </w:rPr>
        <w:t xml:space="preserve"> </w:t>
      </w:r>
      <w:r w:rsidRPr="00CB2DA2">
        <w:rPr>
          <w:caps/>
          <w:sz w:val="24"/>
          <w:lang w:val="es-ES"/>
        </w:rPr>
        <w:t>sobre la Tarea N. 47</w:t>
      </w:r>
    </w:p>
    <w:bookmarkEnd w:id="4"/>
    <w:p w14:paraId="0BA46B3E" w14:textId="77777777" w:rsidR="008B2CC1" w:rsidRPr="00CB2DA2" w:rsidRDefault="008B2CC1" w:rsidP="0068209E">
      <w:pPr>
        <w:rPr>
          <w:lang w:val="es-ES"/>
        </w:rPr>
      </w:pPr>
    </w:p>
    <w:p w14:paraId="3DB2E937" w14:textId="462928E3" w:rsidR="008B2CC1" w:rsidRPr="00CB2DA2" w:rsidRDefault="0068209E" w:rsidP="0068209E">
      <w:pPr>
        <w:rPr>
          <w:i/>
          <w:lang w:val="es-ES"/>
        </w:rPr>
      </w:pPr>
      <w:bookmarkStart w:id="5" w:name="Prepared"/>
      <w:bookmarkEnd w:id="5"/>
      <w:r w:rsidRPr="00CB2DA2">
        <w:rPr>
          <w:i/>
          <w:lang w:val="es-ES"/>
        </w:rPr>
        <w:t>Document</w:t>
      </w:r>
      <w:r w:rsidR="004B5380" w:rsidRPr="00CB2DA2">
        <w:rPr>
          <w:i/>
          <w:lang w:val="es-ES"/>
        </w:rPr>
        <w:t>o preparado por la Oficina Internacional</w:t>
      </w:r>
    </w:p>
    <w:p w14:paraId="13A9A598" w14:textId="77777777" w:rsidR="00AC205C" w:rsidRPr="00CB2DA2" w:rsidRDefault="00AC205C" w:rsidP="0068209E">
      <w:pPr>
        <w:rPr>
          <w:lang w:val="es-ES"/>
        </w:rPr>
      </w:pPr>
    </w:p>
    <w:p w14:paraId="6E427E0D" w14:textId="77777777" w:rsidR="000F5E56" w:rsidRPr="00CB2DA2" w:rsidRDefault="000F5E56" w:rsidP="0068209E">
      <w:pPr>
        <w:rPr>
          <w:lang w:val="es-ES"/>
        </w:rPr>
      </w:pPr>
    </w:p>
    <w:p w14:paraId="4EAEDCEB" w14:textId="05C00DCB" w:rsidR="002928D3" w:rsidRPr="00CB2DA2" w:rsidRDefault="002928D3" w:rsidP="0068209E">
      <w:pPr>
        <w:rPr>
          <w:u w:val="single"/>
          <w:lang w:val="es-ES"/>
        </w:rPr>
      </w:pPr>
    </w:p>
    <w:p w14:paraId="33DDD1EE" w14:textId="77777777" w:rsidR="00D054A3" w:rsidRPr="00CB2DA2" w:rsidRDefault="00D054A3" w:rsidP="0068209E">
      <w:pPr>
        <w:rPr>
          <w:lang w:val="es-ES"/>
        </w:rPr>
      </w:pPr>
    </w:p>
    <w:p w14:paraId="255E07A1" w14:textId="77777777" w:rsidR="002928D3" w:rsidRPr="00CB2DA2" w:rsidRDefault="002928D3" w:rsidP="0068209E">
      <w:pPr>
        <w:rPr>
          <w:lang w:val="es-ES"/>
        </w:rPr>
      </w:pPr>
    </w:p>
    <w:p w14:paraId="23576051" w14:textId="4CD4616B" w:rsidR="00255386" w:rsidRPr="00CB2DA2" w:rsidRDefault="00255386" w:rsidP="00D054A3">
      <w:pPr>
        <w:pStyle w:val="Heading2"/>
        <w:spacing w:before="0"/>
        <w:rPr>
          <w:lang w:val="es-ES"/>
        </w:rPr>
      </w:pPr>
      <w:r w:rsidRPr="00CB2DA2">
        <w:rPr>
          <w:caps w:val="0"/>
          <w:lang w:val="es-ES"/>
        </w:rPr>
        <w:t>INTRODUC</w:t>
      </w:r>
      <w:r w:rsidR="00783A09" w:rsidRPr="00CB2DA2">
        <w:rPr>
          <w:caps w:val="0"/>
          <w:lang w:val="es-ES"/>
        </w:rPr>
        <w:t>CIÓN</w:t>
      </w:r>
    </w:p>
    <w:p w14:paraId="0B11EE0F" w14:textId="733592F8" w:rsidR="00654ECB" w:rsidRPr="00CB2DA2" w:rsidRDefault="00783A09" w:rsidP="00783A09">
      <w:pPr>
        <w:pStyle w:val="ONUME"/>
        <w:rPr>
          <w:lang w:val="es-ES"/>
        </w:rPr>
      </w:pPr>
      <w:r w:rsidRPr="00CB2DA2">
        <w:rPr>
          <w:lang w:val="es-ES"/>
        </w:rPr>
        <w:t xml:space="preserve">En su quinta sesión, celebrada del 29 de mayo al 2 de junio de 2017, el Comité de Normas Técnicas de la OMPI (CWS) adoptó la Norma ST.27 de la OMPI “Recomendación para el intercambio de datos sobre la situación jurídica de las patentes” </w:t>
      </w:r>
      <w:r w:rsidR="00D054A3" w:rsidRPr="00CB2DA2">
        <w:rPr>
          <w:lang w:val="es-ES"/>
        </w:rPr>
        <w:t>(</w:t>
      </w:r>
      <w:r w:rsidRPr="00CB2DA2">
        <w:rPr>
          <w:lang w:val="es-ES"/>
        </w:rPr>
        <w:t>véanse los párrafos</w:t>
      </w:r>
      <w:r w:rsidR="00255386" w:rsidRPr="00CB2DA2">
        <w:rPr>
          <w:lang w:val="es-ES"/>
        </w:rPr>
        <w:t xml:space="preserve"> 50 </w:t>
      </w:r>
      <w:r w:rsidRPr="00CB2DA2">
        <w:rPr>
          <w:lang w:val="es-ES"/>
        </w:rPr>
        <w:t xml:space="preserve">y </w:t>
      </w:r>
      <w:r w:rsidR="00D054A3" w:rsidRPr="00CB2DA2">
        <w:rPr>
          <w:lang w:val="es-ES"/>
        </w:rPr>
        <w:t xml:space="preserve">51 </w:t>
      </w:r>
      <w:r w:rsidRPr="00234DDD">
        <w:rPr>
          <w:lang w:val="es-ES"/>
        </w:rPr>
        <w:t>del</w:t>
      </w:r>
      <w:r w:rsidR="00D054A3" w:rsidRPr="00234DDD">
        <w:rPr>
          <w:lang w:val="es-ES"/>
        </w:rPr>
        <w:t xml:space="preserve"> document</w:t>
      </w:r>
      <w:r w:rsidRPr="00234DDD">
        <w:rPr>
          <w:lang w:val="es-ES"/>
        </w:rPr>
        <w:t>o</w:t>
      </w:r>
      <w:r w:rsidR="00D054A3" w:rsidRPr="00234DDD">
        <w:rPr>
          <w:lang w:val="es-ES"/>
        </w:rPr>
        <w:t xml:space="preserve"> CWS/5/22</w:t>
      </w:r>
      <w:r w:rsidR="00255386" w:rsidRPr="00234DDD">
        <w:rPr>
          <w:lang w:val="es-ES"/>
        </w:rPr>
        <w:t>)</w:t>
      </w:r>
      <w:r w:rsidR="00D054A3" w:rsidRPr="00234DDD">
        <w:rPr>
          <w:lang w:val="es-ES"/>
        </w:rPr>
        <w:t>.</w:t>
      </w:r>
      <w:r w:rsidRPr="00234DDD">
        <w:rPr>
          <w:lang w:val="es-ES"/>
        </w:rPr>
        <w:t xml:space="preserve"> Tras la decisión tomada en la quinta sesión, la Secretaría envió la</w:t>
      </w:r>
      <w:r w:rsidR="00482EAD" w:rsidRPr="00234DDD">
        <w:rPr>
          <w:lang w:val="es-ES"/>
        </w:rPr>
        <w:t xml:space="preserve"> Circular C.CWS 92</w:t>
      </w:r>
      <w:r w:rsidR="00D054A3" w:rsidRPr="00234DDD">
        <w:rPr>
          <w:lang w:val="es-ES"/>
        </w:rPr>
        <w:t>,</w:t>
      </w:r>
      <w:r w:rsidR="00482EAD" w:rsidRPr="00234DDD">
        <w:rPr>
          <w:lang w:val="es-ES"/>
        </w:rPr>
        <w:t xml:space="preserve"> </w:t>
      </w:r>
      <w:r w:rsidRPr="00234DDD">
        <w:rPr>
          <w:lang w:val="es-ES"/>
        </w:rPr>
        <w:t>para invitar a las Oficinas de Propiedad Intelectual</w:t>
      </w:r>
      <w:r w:rsidR="00654ECB" w:rsidRPr="00234DDD">
        <w:rPr>
          <w:lang w:val="es-ES"/>
        </w:rPr>
        <w:t xml:space="preserve"> (</w:t>
      </w:r>
      <w:r w:rsidRPr="00234DDD">
        <w:rPr>
          <w:lang w:val="es-ES"/>
        </w:rPr>
        <w:t>OPI</w:t>
      </w:r>
      <w:r w:rsidR="00654ECB" w:rsidRPr="00234DDD">
        <w:rPr>
          <w:lang w:val="es-ES"/>
        </w:rPr>
        <w:t>)</w:t>
      </w:r>
      <w:r w:rsidR="00482EAD" w:rsidRPr="00234DDD">
        <w:rPr>
          <w:lang w:val="es-ES"/>
        </w:rPr>
        <w:t xml:space="preserve"> </w:t>
      </w:r>
      <w:r w:rsidR="00234DDD" w:rsidRPr="00234DDD">
        <w:rPr>
          <w:lang w:val="es-ES"/>
        </w:rPr>
        <w:t xml:space="preserve">evaluar </w:t>
      </w:r>
      <w:r w:rsidRPr="00234DDD">
        <w:rPr>
          <w:lang w:val="es-ES"/>
        </w:rPr>
        <w:t>sus prácticas operacionales y sus sistemas de TI</w:t>
      </w:r>
      <w:r w:rsidR="00482EAD" w:rsidRPr="00234DDD">
        <w:rPr>
          <w:lang w:val="es-ES"/>
        </w:rPr>
        <w:t xml:space="preserve"> </w:t>
      </w:r>
      <w:r w:rsidRPr="00234DDD">
        <w:rPr>
          <w:lang w:val="es-ES"/>
        </w:rPr>
        <w:t>a los fines de una aplicación provisional de la nueva Norma</w:t>
      </w:r>
      <w:r w:rsidR="00482EAD" w:rsidRPr="00234DDD">
        <w:rPr>
          <w:lang w:val="es-ES"/>
        </w:rPr>
        <w:t xml:space="preserve"> ST.27</w:t>
      </w:r>
      <w:r w:rsidRPr="00234DDD">
        <w:rPr>
          <w:lang w:val="es-ES"/>
        </w:rPr>
        <w:t xml:space="preserve"> de la OMPI, y a </w:t>
      </w:r>
      <w:r w:rsidR="00234DDD" w:rsidRPr="00234DDD">
        <w:rPr>
          <w:lang w:val="es-ES"/>
        </w:rPr>
        <w:t xml:space="preserve">examinar </w:t>
      </w:r>
      <w:r w:rsidRPr="00234DDD">
        <w:rPr>
          <w:lang w:val="es-ES"/>
        </w:rPr>
        <w:t>las incidencias detalladas provisionales respecto de esa Norma</w:t>
      </w:r>
      <w:r w:rsidR="00482EAD" w:rsidRPr="00234DDD">
        <w:rPr>
          <w:lang w:val="es-ES"/>
        </w:rPr>
        <w:t>.</w:t>
      </w:r>
      <w:r w:rsidR="00482EAD" w:rsidRPr="00CB2DA2">
        <w:rPr>
          <w:lang w:val="es-ES"/>
        </w:rPr>
        <w:t xml:space="preserve"> </w:t>
      </w:r>
    </w:p>
    <w:p w14:paraId="6A16B912" w14:textId="2F3B4285" w:rsidR="00255386" w:rsidRPr="00CB2DA2" w:rsidRDefault="00783A09" w:rsidP="00922F68">
      <w:pPr>
        <w:pStyle w:val="ONUME"/>
        <w:rPr>
          <w:lang w:val="es-ES"/>
        </w:rPr>
      </w:pPr>
      <w:r w:rsidRPr="00CB2DA2">
        <w:rPr>
          <w:lang w:val="es-ES"/>
        </w:rPr>
        <w:t xml:space="preserve">En su sexta sesión, el Comité </w:t>
      </w:r>
      <w:r w:rsidR="001A54DB" w:rsidRPr="00CB2DA2">
        <w:rPr>
          <w:lang w:val="es-ES"/>
        </w:rPr>
        <w:t>tomó nota de que había 11 OPI que habían contestado a la Circular indicando sus planes de aplicación de la Norma</w:t>
      </w:r>
      <w:r w:rsidR="00654ECB" w:rsidRPr="00CB2DA2">
        <w:rPr>
          <w:lang w:val="es-ES"/>
        </w:rPr>
        <w:t xml:space="preserve"> </w:t>
      </w:r>
      <w:r w:rsidR="00482EAD" w:rsidRPr="00CB2DA2">
        <w:rPr>
          <w:lang w:val="es-ES"/>
        </w:rPr>
        <w:t>ST.27</w:t>
      </w:r>
      <w:r w:rsidR="001A54DB" w:rsidRPr="00CB2DA2">
        <w:rPr>
          <w:lang w:val="es-ES"/>
        </w:rPr>
        <w:t xml:space="preserve"> de la OMPI</w:t>
      </w:r>
      <w:r w:rsidR="00482EAD" w:rsidRPr="00CB2DA2">
        <w:rPr>
          <w:lang w:val="es-ES"/>
        </w:rPr>
        <w:t xml:space="preserve">, </w:t>
      </w:r>
      <w:r w:rsidR="001A54DB" w:rsidRPr="00CB2DA2">
        <w:rPr>
          <w:lang w:val="es-ES"/>
        </w:rPr>
        <w:t>y que la mayoría había señalado la necesidad de llevar a cabo un análisis interno más profundo para estar en condiciones de comunicar un calendario de aplicación</w:t>
      </w:r>
      <w:r w:rsidR="00482EAD" w:rsidRPr="00CB2DA2">
        <w:rPr>
          <w:lang w:val="es-ES"/>
        </w:rPr>
        <w:t xml:space="preserve"> (</w:t>
      </w:r>
      <w:r w:rsidR="001A54DB" w:rsidRPr="00CB2DA2">
        <w:rPr>
          <w:lang w:val="es-ES"/>
        </w:rPr>
        <w:t xml:space="preserve">véase el párrafo </w:t>
      </w:r>
      <w:r w:rsidR="00482EAD" w:rsidRPr="00CB2DA2">
        <w:rPr>
          <w:lang w:val="es-ES"/>
        </w:rPr>
        <w:t xml:space="preserve">89 </w:t>
      </w:r>
      <w:r w:rsidR="001A54DB" w:rsidRPr="00CB2DA2">
        <w:rPr>
          <w:lang w:val="es-ES"/>
        </w:rPr>
        <w:t>del</w:t>
      </w:r>
      <w:r w:rsidR="00482EAD" w:rsidRPr="00CB2DA2">
        <w:rPr>
          <w:lang w:val="es-ES"/>
        </w:rPr>
        <w:t xml:space="preserve"> document</w:t>
      </w:r>
      <w:r w:rsidR="001A54DB" w:rsidRPr="00CB2DA2">
        <w:rPr>
          <w:lang w:val="es-ES"/>
        </w:rPr>
        <w:t>o</w:t>
      </w:r>
      <w:r w:rsidR="00482EAD" w:rsidRPr="00CB2DA2">
        <w:rPr>
          <w:lang w:val="es-ES"/>
        </w:rPr>
        <w:t xml:space="preserve"> CWS/6/34)</w:t>
      </w:r>
      <w:r w:rsidR="00654ECB" w:rsidRPr="00CB2DA2">
        <w:rPr>
          <w:lang w:val="es-ES"/>
        </w:rPr>
        <w:t>.</w:t>
      </w:r>
    </w:p>
    <w:p w14:paraId="04C6E9D8" w14:textId="777DB8D3" w:rsidR="00C4387E" w:rsidRPr="00CB2DA2" w:rsidRDefault="007617A9" w:rsidP="007617A9">
      <w:pPr>
        <w:pStyle w:val="ONUME"/>
        <w:rPr>
          <w:lang w:val="es-ES"/>
        </w:rPr>
      </w:pPr>
      <w:r w:rsidRPr="00CB2DA2">
        <w:rPr>
          <w:lang w:val="es-ES"/>
        </w:rPr>
        <w:t xml:space="preserve">En su sexta sesión, el Comité aprobó la versión revisada de la Norma ST.27 de la OMPI, </w:t>
      </w:r>
      <w:r w:rsidR="002F7E14">
        <w:rPr>
          <w:lang w:val="es-ES"/>
        </w:rPr>
        <w:t xml:space="preserve">incluida </w:t>
      </w:r>
      <w:r w:rsidRPr="00CB2DA2">
        <w:rPr>
          <w:lang w:val="es-ES"/>
        </w:rPr>
        <w:t xml:space="preserve">la modificación de las incidencias </w:t>
      </w:r>
      <w:r w:rsidR="002F7E14">
        <w:rPr>
          <w:lang w:val="es-ES"/>
        </w:rPr>
        <w:t>relacionadas con el</w:t>
      </w:r>
      <w:r w:rsidRPr="00CB2DA2">
        <w:rPr>
          <w:lang w:val="es-ES"/>
        </w:rPr>
        <w:t xml:space="preserve"> pago de las tasas de mantenimiento y la mejora de las descripciones de las incidencias </w:t>
      </w:r>
      <w:r w:rsidR="002F7E14">
        <w:rPr>
          <w:lang w:val="es-ES"/>
        </w:rPr>
        <w:t xml:space="preserve">relativas al </w:t>
      </w:r>
      <w:r w:rsidRPr="00CB2DA2">
        <w:rPr>
          <w:lang w:val="es-ES"/>
        </w:rPr>
        <w:t>cambio de nombre y transferencia de titularidad. Se remitieron varios asuntos al Equipo Técnico de la Situación Jurídica para que los examinara más a fondo. (Véanse los párrafos 73 a 86 del documento CWS/6/34).</w:t>
      </w:r>
    </w:p>
    <w:p w14:paraId="5E05B213" w14:textId="7C4F1560" w:rsidR="00255386" w:rsidRPr="00417F74" w:rsidRDefault="007617A9" w:rsidP="00713B4E">
      <w:pPr>
        <w:pStyle w:val="ONUME"/>
        <w:keepLines/>
        <w:rPr>
          <w:lang w:val="es-ES"/>
        </w:rPr>
      </w:pPr>
      <w:r w:rsidRPr="00417F74">
        <w:rPr>
          <w:lang w:val="es-ES"/>
        </w:rPr>
        <w:t>El CWS alentó a las OPI a participar en los debates del Equipo Técnico y a proporcionar sus tablas de correspondencias, en el caso de que aún no lo h</w:t>
      </w:r>
      <w:r w:rsidR="002F7E14" w:rsidRPr="00417F74">
        <w:rPr>
          <w:lang w:val="es-ES"/>
        </w:rPr>
        <w:t>ubieran</w:t>
      </w:r>
      <w:r w:rsidRPr="00417F74">
        <w:rPr>
          <w:lang w:val="es-ES"/>
        </w:rPr>
        <w:t xml:space="preserve"> hecho.</w:t>
      </w:r>
      <w:r w:rsidR="00AD681C" w:rsidRPr="00417F74">
        <w:rPr>
          <w:lang w:val="es-ES"/>
        </w:rPr>
        <w:t xml:space="preserve"> </w:t>
      </w:r>
      <w:r w:rsidRPr="00417F74">
        <w:rPr>
          <w:lang w:val="es-ES"/>
        </w:rPr>
        <w:t>Además, el</w:t>
      </w:r>
      <w:r w:rsidR="00AD681C" w:rsidRPr="00417F74">
        <w:rPr>
          <w:lang w:val="es-ES"/>
        </w:rPr>
        <w:t xml:space="preserve"> CWS </w:t>
      </w:r>
      <w:r w:rsidRPr="00417F74">
        <w:rPr>
          <w:lang w:val="es-ES"/>
        </w:rPr>
        <w:lastRenderedPageBreak/>
        <w:t>modificó la descripción de la Tarea N.º47 de la manera siguiente</w:t>
      </w:r>
      <w:r w:rsidR="00255386" w:rsidRPr="00417F74">
        <w:rPr>
          <w:lang w:val="es-ES"/>
        </w:rPr>
        <w:t xml:space="preserve">: </w:t>
      </w:r>
      <w:r w:rsidR="009E7460" w:rsidRPr="00417F74">
        <w:rPr>
          <w:lang w:val="es-ES"/>
        </w:rPr>
        <w:t>“</w:t>
      </w:r>
      <w:r w:rsidRPr="00417F74">
        <w:rPr>
          <w:lang w:val="es-ES"/>
        </w:rPr>
        <w:t>Preparar una propuesta definitiva sobre las incidencias detalladas y una propuesta definitiva sobre el documento de orientación con respecto a los datos sobre la situación jurídica de las patentes; preparar una propuesta definitiva de documento de orientación con respecto a la situación jurídica de los dibujos y modelos industriales; preparar una recomendación para el intercambio de datos sobre la situación jurídica de las marcas entre oficinas de la propiedad industrial</w:t>
      </w:r>
      <w:r w:rsidR="00255386" w:rsidRPr="00417F74">
        <w:rPr>
          <w:lang w:val="es-ES"/>
        </w:rPr>
        <w:t>”</w:t>
      </w:r>
      <w:r w:rsidR="00AD681C" w:rsidRPr="00417F74">
        <w:rPr>
          <w:lang w:val="es-ES"/>
        </w:rPr>
        <w:t xml:space="preserve">. </w:t>
      </w:r>
      <w:r w:rsidR="00255386" w:rsidRPr="00417F74">
        <w:rPr>
          <w:lang w:val="es-ES"/>
        </w:rPr>
        <w:t>(</w:t>
      </w:r>
      <w:r w:rsidR="009E7460" w:rsidRPr="00417F74">
        <w:rPr>
          <w:lang w:val="es-ES"/>
        </w:rPr>
        <w:t>Véanse los párrafos</w:t>
      </w:r>
      <w:r w:rsidR="00255386" w:rsidRPr="00417F74">
        <w:rPr>
          <w:lang w:val="es-ES"/>
        </w:rPr>
        <w:t xml:space="preserve"> </w:t>
      </w:r>
      <w:r w:rsidR="00AD681C" w:rsidRPr="00417F74">
        <w:rPr>
          <w:lang w:val="es-ES"/>
        </w:rPr>
        <w:t xml:space="preserve">71 </w:t>
      </w:r>
      <w:r w:rsidR="009E7460" w:rsidRPr="00417F74">
        <w:rPr>
          <w:lang w:val="es-ES"/>
        </w:rPr>
        <w:t xml:space="preserve">y </w:t>
      </w:r>
      <w:r w:rsidR="00255386" w:rsidRPr="00417F74">
        <w:rPr>
          <w:lang w:val="es-ES"/>
        </w:rPr>
        <w:t xml:space="preserve">72 </w:t>
      </w:r>
      <w:r w:rsidR="009E7460" w:rsidRPr="00417F74">
        <w:rPr>
          <w:lang w:val="es-ES"/>
        </w:rPr>
        <w:t>del</w:t>
      </w:r>
      <w:r w:rsidR="00255386" w:rsidRPr="00417F74">
        <w:rPr>
          <w:lang w:val="es-ES"/>
        </w:rPr>
        <w:t xml:space="preserve"> document</w:t>
      </w:r>
      <w:r w:rsidR="009E7460" w:rsidRPr="00417F74">
        <w:rPr>
          <w:lang w:val="es-ES"/>
        </w:rPr>
        <w:t>o</w:t>
      </w:r>
      <w:r w:rsidR="00255386" w:rsidRPr="00417F74">
        <w:rPr>
          <w:lang w:val="es-ES"/>
        </w:rPr>
        <w:t xml:space="preserve"> CWS/6/34)</w:t>
      </w:r>
      <w:r w:rsidR="00D054A3" w:rsidRPr="00417F74">
        <w:rPr>
          <w:lang w:val="es-ES"/>
        </w:rPr>
        <w:t>.</w:t>
      </w:r>
      <w:r w:rsidR="00255386" w:rsidRPr="00417F74">
        <w:rPr>
          <w:lang w:val="es-ES"/>
        </w:rPr>
        <w:t xml:space="preserve">  </w:t>
      </w:r>
    </w:p>
    <w:p w14:paraId="27CBAC0F" w14:textId="2D3A658E" w:rsidR="00AD681C" w:rsidRPr="00CB2DA2" w:rsidRDefault="009E7460" w:rsidP="009E7460">
      <w:pPr>
        <w:pStyle w:val="ONUME"/>
        <w:rPr>
          <w:lang w:val="es-ES"/>
        </w:rPr>
      </w:pPr>
      <w:r w:rsidRPr="00CB2DA2">
        <w:rPr>
          <w:lang w:val="es-ES"/>
        </w:rPr>
        <w:t>En su sexta sesión, el CWS aprobó la nueva “Norma ST.87 de la OMPI – Recomendación para el intercambio de datos sobre la situación jurídica de los dibujos y modelos industriales”</w:t>
      </w:r>
      <w:r w:rsidR="00AD681C" w:rsidRPr="00CB2DA2">
        <w:rPr>
          <w:lang w:val="es-ES"/>
        </w:rPr>
        <w:t xml:space="preserve">. </w:t>
      </w:r>
      <w:r w:rsidRPr="00CB2DA2">
        <w:rPr>
          <w:lang w:val="es-ES"/>
        </w:rPr>
        <w:t>El CWS solicitó a la Secretaría que emita una circular a fin de invitar a las OPI a analizar sus prácticas operacionales y sus sistemas de tecnologías de la información y a revisar las incidencias detalladas provisionales.</w:t>
      </w:r>
      <w:r w:rsidR="00AD681C" w:rsidRPr="00CB2DA2">
        <w:rPr>
          <w:lang w:val="es-ES"/>
        </w:rPr>
        <w:t xml:space="preserve"> </w:t>
      </w:r>
      <w:r w:rsidRPr="00CB2DA2">
        <w:rPr>
          <w:lang w:val="es-ES"/>
        </w:rPr>
        <w:t>El CWS pidió al Equipo Técnico de la Situación Jurídica que finalice la lista de incidencias detalladas y prepare el documento de orientación relativo a los datos sobre la situación jurídica de los dibujos y modelos industriales, y que presente ambos documentos a examen y aprobación en su séptima sesión.</w:t>
      </w:r>
      <w:r w:rsidR="001D386E" w:rsidRPr="00CB2DA2">
        <w:rPr>
          <w:lang w:val="es-ES"/>
        </w:rPr>
        <w:t xml:space="preserve"> (</w:t>
      </w:r>
      <w:r w:rsidRPr="00CB2DA2">
        <w:rPr>
          <w:lang w:val="es-ES"/>
        </w:rPr>
        <w:t>Véanse los párrafos</w:t>
      </w:r>
      <w:r w:rsidR="001D386E" w:rsidRPr="00CB2DA2">
        <w:rPr>
          <w:lang w:val="es-ES"/>
        </w:rPr>
        <w:t xml:space="preserve"> 10</w:t>
      </w:r>
      <w:r w:rsidR="00E52FFC" w:rsidRPr="00CB2DA2">
        <w:rPr>
          <w:lang w:val="es-ES"/>
        </w:rPr>
        <w:t xml:space="preserve">2 </w:t>
      </w:r>
      <w:r w:rsidRPr="00CB2DA2">
        <w:rPr>
          <w:lang w:val="es-ES"/>
        </w:rPr>
        <w:t>a</w:t>
      </w:r>
      <w:r w:rsidR="00E52FFC" w:rsidRPr="00CB2DA2">
        <w:rPr>
          <w:lang w:val="es-ES"/>
        </w:rPr>
        <w:t xml:space="preserve"> 105 </w:t>
      </w:r>
      <w:r w:rsidRPr="00CB2DA2">
        <w:rPr>
          <w:lang w:val="es-ES"/>
        </w:rPr>
        <w:t xml:space="preserve">del documento </w:t>
      </w:r>
      <w:r w:rsidR="00E52FFC" w:rsidRPr="00CB2DA2">
        <w:rPr>
          <w:lang w:val="es-ES"/>
        </w:rPr>
        <w:t>CWS/6/34</w:t>
      </w:r>
      <w:r w:rsidR="001D386E" w:rsidRPr="00CB2DA2">
        <w:rPr>
          <w:lang w:val="es-ES"/>
        </w:rPr>
        <w:t>)</w:t>
      </w:r>
      <w:r w:rsidR="00E52FFC" w:rsidRPr="00CB2DA2">
        <w:rPr>
          <w:lang w:val="es-ES"/>
        </w:rPr>
        <w:t>.</w:t>
      </w:r>
    </w:p>
    <w:p w14:paraId="1B8D5BFF" w14:textId="29698027" w:rsidR="00255386" w:rsidRPr="00CB2DA2" w:rsidRDefault="002F7E14" w:rsidP="00922F68">
      <w:pPr>
        <w:pStyle w:val="Heading2"/>
        <w:tabs>
          <w:tab w:val="num" w:pos="567"/>
        </w:tabs>
        <w:spacing w:after="0"/>
        <w:rPr>
          <w:lang w:val="es-ES"/>
        </w:rPr>
      </w:pPr>
      <w:r>
        <w:rPr>
          <w:caps w:val="0"/>
          <w:lang w:val="es-ES"/>
        </w:rPr>
        <w:t>I</w:t>
      </w:r>
      <w:r w:rsidR="009E7460" w:rsidRPr="00CB2DA2">
        <w:rPr>
          <w:caps w:val="0"/>
          <w:lang w:val="es-ES"/>
        </w:rPr>
        <w:t>NFORME PERIÓDICO</w:t>
      </w:r>
    </w:p>
    <w:p w14:paraId="190EF7FE" w14:textId="204F5855" w:rsidR="00255386" w:rsidRPr="00CB2DA2" w:rsidRDefault="009E7460" w:rsidP="009E7460">
      <w:pPr>
        <w:pStyle w:val="ONUME"/>
        <w:rPr>
          <w:lang w:val="es-ES"/>
        </w:rPr>
      </w:pPr>
      <w:r w:rsidRPr="00CB2DA2">
        <w:rPr>
          <w:lang w:val="es-ES"/>
        </w:rPr>
        <w:t>Tras la sexta sesión del</w:t>
      </w:r>
      <w:r w:rsidR="00C4387E" w:rsidRPr="00CB2DA2">
        <w:rPr>
          <w:lang w:val="es-ES"/>
        </w:rPr>
        <w:t xml:space="preserve"> </w:t>
      </w:r>
      <w:r w:rsidR="001D386E" w:rsidRPr="00CB2DA2">
        <w:rPr>
          <w:lang w:val="es-ES"/>
        </w:rPr>
        <w:t>CWS</w:t>
      </w:r>
      <w:r w:rsidR="00255386" w:rsidRPr="00CB2DA2">
        <w:rPr>
          <w:lang w:val="es-ES"/>
        </w:rPr>
        <w:t xml:space="preserve">, </w:t>
      </w:r>
      <w:r w:rsidRPr="00CB2DA2">
        <w:rPr>
          <w:lang w:val="es-ES"/>
        </w:rPr>
        <w:t>el Equipo Técnico de la Situación Jurídica se dedicó a preparar</w:t>
      </w:r>
      <w:r w:rsidR="00255386" w:rsidRPr="00CB2DA2">
        <w:rPr>
          <w:lang w:val="es-ES"/>
        </w:rPr>
        <w:t>:</w:t>
      </w:r>
    </w:p>
    <w:p w14:paraId="6E4C8125" w14:textId="70DFB7D7" w:rsidR="00255386" w:rsidRPr="00CB2DA2" w:rsidRDefault="009E7460" w:rsidP="009E7460">
      <w:pPr>
        <w:pStyle w:val="ListParagraph"/>
        <w:numPr>
          <w:ilvl w:val="0"/>
          <w:numId w:val="7"/>
        </w:numPr>
        <w:spacing w:after="60"/>
        <w:contextualSpacing w:val="0"/>
        <w:rPr>
          <w:szCs w:val="22"/>
          <w:lang w:val="es-ES"/>
        </w:rPr>
      </w:pPr>
      <w:r w:rsidRPr="00CB2DA2">
        <w:rPr>
          <w:szCs w:val="22"/>
          <w:lang w:val="es-ES"/>
        </w:rPr>
        <w:t xml:space="preserve">una propuesta definitiva sobre las incidencias detalladas teniendo en cuenta la información </w:t>
      </w:r>
      <w:r w:rsidR="002F7E14" w:rsidRPr="00CB2DA2">
        <w:rPr>
          <w:szCs w:val="22"/>
          <w:lang w:val="es-ES"/>
        </w:rPr>
        <w:t xml:space="preserve">proporcionada por las OPI </w:t>
      </w:r>
      <w:r w:rsidRPr="00CB2DA2">
        <w:rPr>
          <w:szCs w:val="22"/>
          <w:lang w:val="es-ES"/>
        </w:rPr>
        <w:t>sobre la correspondencia entre las incidencias nacionales o regionales y las incidencias definidas en la Norma ST.27; y</w:t>
      </w:r>
    </w:p>
    <w:p w14:paraId="0803594A" w14:textId="306040CE" w:rsidR="00255386" w:rsidRPr="00CB2DA2" w:rsidRDefault="009E7460" w:rsidP="00713B4E">
      <w:pPr>
        <w:pStyle w:val="ListParagraph"/>
        <w:numPr>
          <w:ilvl w:val="0"/>
          <w:numId w:val="7"/>
        </w:numPr>
        <w:spacing w:after="220"/>
        <w:ind w:left="562"/>
        <w:contextualSpacing w:val="0"/>
        <w:rPr>
          <w:szCs w:val="22"/>
          <w:lang w:val="es-ES"/>
        </w:rPr>
      </w:pPr>
      <w:r w:rsidRPr="00CB2DA2">
        <w:rPr>
          <w:szCs w:val="22"/>
          <w:lang w:val="es-ES"/>
        </w:rPr>
        <w:t>una versión actualizada del documento de orientación de la Norma</w:t>
      </w:r>
      <w:r w:rsidR="00255386" w:rsidRPr="00CB2DA2">
        <w:rPr>
          <w:szCs w:val="22"/>
          <w:lang w:val="es-ES"/>
        </w:rPr>
        <w:t xml:space="preserve"> ST.27</w:t>
      </w:r>
      <w:r w:rsidRPr="00CB2DA2">
        <w:rPr>
          <w:szCs w:val="22"/>
          <w:lang w:val="es-ES"/>
        </w:rPr>
        <w:t xml:space="preserve"> de la OMPI</w:t>
      </w:r>
      <w:r w:rsidR="007A509C" w:rsidRPr="00CB2DA2">
        <w:rPr>
          <w:szCs w:val="22"/>
          <w:lang w:val="es-ES"/>
        </w:rPr>
        <w:t>.</w:t>
      </w:r>
    </w:p>
    <w:p w14:paraId="03850E47" w14:textId="0F7AC73C" w:rsidR="00255386" w:rsidRPr="00CB2DA2" w:rsidRDefault="002F7E14" w:rsidP="00FA4397">
      <w:pPr>
        <w:pStyle w:val="ONUME"/>
        <w:rPr>
          <w:lang w:val="es-ES"/>
        </w:rPr>
      </w:pPr>
      <w:r>
        <w:rPr>
          <w:lang w:val="es-ES"/>
        </w:rPr>
        <w:t>Se presentan a</w:t>
      </w:r>
      <w:r w:rsidR="00FA4397" w:rsidRPr="00CB2DA2">
        <w:rPr>
          <w:lang w:val="es-ES"/>
        </w:rPr>
        <w:t xml:space="preserve"> examen en la séptima sesión del Comité</w:t>
      </w:r>
      <w:r>
        <w:rPr>
          <w:lang w:val="es-ES"/>
        </w:rPr>
        <w:t xml:space="preserve"> l</w:t>
      </w:r>
      <w:r w:rsidRPr="00CB2DA2">
        <w:rPr>
          <w:lang w:val="es-ES"/>
        </w:rPr>
        <w:t>os resultados de las actividades del Equipo Técnico</w:t>
      </w:r>
      <w:r>
        <w:rPr>
          <w:lang w:val="es-ES"/>
        </w:rPr>
        <w:t>, a saber</w:t>
      </w:r>
      <w:r w:rsidR="00FA4397" w:rsidRPr="00CB2DA2">
        <w:rPr>
          <w:lang w:val="es-ES"/>
        </w:rPr>
        <w:t>:</w:t>
      </w:r>
    </w:p>
    <w:p w14:paraId="1415F683" w14:textId="2B69C8E9" w:rsidR="00206E39" w:rsidRPr="00CB2DA2" w:rsidRDefault="00FA4397" w:rsidP="00FA4397">
      <w:pPr>
        <w:pStyle w:val="ListParagraph"/>
        <w:numPr>
          <w:ilvl w:val="0"/>
          <w:numId w:val="7"/>
        </w:numPr>
        <w:spacing w:after="60"/>
        <w:contextualSpacing w:val="0"/>
        <w:rPr>
          <w:lang w:val="es-ES"/>
        </w:rPr>
      </w:pPr>
      <w:r w:rsidRPr="00CB2DA2">
        <w:rPr>
          <w:szCs w:val="22"/>
          <w:lang w:val="es-ES"/>
        </w:rPr>
        <w:t>la revisión propuesta de la Norma ST.27 de la OMPI, incluidas las incidencias detalladas actualizadas y un documento de orientación provisional (véase el documento CWS/7/12).</w:t>
      </w:r>
    </w:p>
    <w:p w14:paraId="299EB504" w14:textId="4ABDD0F0" w:rsidR="00255386" w:rsidRPr="00CB2DA2" w:rsidRDefault="00FA4397" w:rsidP="00922F68">
      <w:pPr>
        <w:pStyle w:val="Heading3"/>
        <w:tabs>
          <w:tab w:val="num" w:pos="567"/>
        </w:tabs>
        <w:spacing w:after="0"/>
        <w:rPr>
          <w:lang w:val="es-ES"/>
        </w:rPr>
      </w:pPr>
      <w:r w:rsidRPr="00CB2DA2">
        <w:rPr>
          <w:lang w:val="es-ES"/>
        </w:rPr>
        <w:t>Correspondencia entre las incidencias nacionales</w:t>
      </w:r>
      <w:r w:rsidR="00994B9C" w:rsidRPr="00CB2DA2">
        <w:rPr>
          <w:lang w:val="es-ES"/>
        </w:rPr>
        <w:t>/</w:t>
      </w:r>
      <w:r w:rsidRPr="00CB2DA2">
        <w:rPr>
          <w:lang w:val="es-ES"/>
        </w:rPr>
        <w:t>regionales y las incidencias definidas en la Norma</w:t>
      </w:r>
      <w:r w:rsidR="00255386" w:rsidRPr="00CB2DA2">
        <w:rPr>
          <w:lang w:val="es-ES"/>
        </w:rPr>
        <w:t xml:space="preserve"> </w:t>
      </w:r>
      <w:r w:rsidR="00994B9C" w:rsidRPr="00CB2DA2">
        <w:rPr>
          <w:lang w:val="es-ES"/>
        </w:rPr>
        <w:t>ST.27</w:t>
      </w:r>
    </w:p>
    <w:p w14:paraId="4893217C" w14:textId="30BA3BFF" w:rsidR="00255386" w:rsidRPr="00CB2DA2" w:rsidRDefault="00747915" w:rsidP="00747915">
      <w:pPr>
        <w:pStyle w:val="ONUME"/>
        <w:rPr>
          <w:lang w:val="es-ES"/>
        </w:rPr>
      </w:pPr>
      <w:r w:rsidRPr="00CB2DA2">
        <w:rPr>
          <w:lang w:val="es-ES"/>
        </w:rPr>
        <w:t xml:space="preserve">En su sexta sesión, el CWS aprobó </w:t>
      </w:r>
      <w:r w:rsidR="00022FE6" w:rsidRPr="00CB2DA2">
        <w:rPr>
          <w:lang w:val="es-ES"/>
        </w:rPr>
        <w:t>la tabla</w:t>
      </w:r>
      <w:r w:rsidRPr="00CB2DA2">
        <w:rPr>
          <w:lang w:val="es-ES"/>
        </w:rPr>
        <w:t xml:space="preserve"> </w:t>
      </w:r>
      <w:r w:rsidR="002F7E14">
        <w:rPr>
          <w:lang w:val="es-ES"/>
        </w:rPr>
        <w:t xml:space="preserve">consolidada </w:t>
      </w:r>
      <w:r w:rsidRPr="00CB2DA2">
        <w:rPr>
          <w:lang w:val="es-ES"/>
        </w:rPr>
        <w:t xml:space="preserve">provisional de correspondencias de 12 OPI y pidió a la Secretaría que </w:t>
      </w:r>
      <w:r w:rsidR="00CB2DA2" w:rsidRPr="00CB2DA2">
        <w:rPr>
          <w:lang w:val="es-ES"/>
        </w:rPr>
        <w:t>la</w:t>
      </w:r>
      <w:r w:rsidRPr="00CB2DA2">
        <w:rPr>
          <w:lang w:val="es-ES"/>
        </w:rPr>
        <w:t xml:space="preserve"> publicara en el sitio web de la OMPI (véase el párrafo 91 del documento CWS/6/24). En enero de 2019, la Oficina Internacional publicó </w:t>
      </w:r>
      <w:r w:rsidR="00CB2DA2" w:rsidRPr="00CB2DA2">
        <w:rPr>
          <w:lang w:val="es-ES"/>
        </w:rPr>
        <w:t xml:space="preserve">las tablas </w:t>
      </w:r>
      <w:r w:rsidRPr="00CB2DA2">
        <w:rPr>
          <w:lang w:val="es-ES"/>
        </w:rPr>
        <w:t xml:space="preserve">de correspondencias </w:t>
      </w:r>
      <w:r w:rsidR="00CB2DA2" w:rsidRPr="00CB2DA2">
        <w:rPr>
          <w:lang w:val="es-ES"/>
        </w:rPr>
        <w:t>de 12 OPI en relación con</w:t>
      </w:r>
      <w:r w:rsidRPr="00CB2DA2">
        <w:rPr>
          <w:lang w:val="es-ES"/>
        </w:rPr>
        <w:t xml:space="preserve"> la Norma ST.27 en la parte 7.13 del Manual de la OMPI.</w:t>
      </w:r>
    </w:p>
    <w:p w14:paraId="4F787361" w14:textId="43F72CFB" w:rsidR="00255386" w:rsidRPr="00CB2DA2" w:rsidRDefault="00747915" w:rsidP="00747915">
      <w:pPr>
        <w:pStyle w:val="ONUME"/>
        <w:rPr>
          <w:lang w:val="es-ES"/>
        </w:rPr>
      </w:pPr>
      <w:r w:rsidRPr="00CB2DA2">
        <w:rPr>
          <w:lang w:val="es-ES"/>
        </w:rPr>
        <w:t xml:space="preserve">La Oficina Internacional siguió colaborando con la Oficina Europea de Patentes (OEP) en la preparación de </w:t>
      </w:r>
      <w:r w:rsidR="00CB2DA2" w:rsidRPr="00CB2DA2">
        <w:rPr>
          <w:lang w:val="es-ES"/>
        </w:rPr>
        <w:t>tablas</w:t>
      </w:r>
      <w:r w:rsidRPr="00CB2DA2">
        <w:rPr>
          <w:lang w:val="es-ES"/>
        </w:rPr>
        <w:t xml:space="preserve"> de correspondencia</w:t>
      </w:r>
      <w:r w:rsidR="00CB2DA2" w:rsidRPr="00CB2DA2">
        <w:rPr>
          <w:lang w:val="es-ES"/>
        </w:rPr>
        <w:t>s</w:t>
      </w:r>
      <w:r w:rsidRPr="00CB2DA2">
        <w:rPr>
          <w:lang w:val="es-ES"/>
        </w:rPr>
        <w:t xml:space="preserve"> para las incidencias nacionales o regionales que determinan la situación jurídica de las patentes incluid</w:t>
      </w:r>
      <w:r w:rsidR="00CB2DA2" w:rsidRPr="00CB2DA2">
        <w:rPr>
          <w:lang w:val="es-ES"/>
        </w:rPr>
        <w:t>a</w:t>
      </w:r>
      <w:r w:rsidRPr="00CB2DA2">
        <w:rPr>
          <w:lang w:val="es-ES"/>
        </w:rPr>
        <w:t>s en la base de datos del Centro Internacional de Documentación de Patentes a la que suministran información alrededor de 50 OPI. La Oficina Internacional considera que esta labor de colaboración es muy importante para proporcionar datos más armonizados y precisos sobre la situación jurídica, de conformidad con la Norma ST.27 de la OMPI, lo que redundará en beneficio de toda la comunidad de la PI, y en particular, de los usuarios</w:t>
      </w:r>
      <w:r w:rsidR="00255386" w:rsidRPr="00CB2DA2">
        <w:rPr>
          <w:lang w:val="es-ES"/>
        </w:rPr>
        <w:t>.</w:t>
      </w:r>
    </w:p>
    <w:p w14:paraId="5AEF2834" w14:textId="680C663D" w:rsidR="00255386" w:rsidRPr="00CB2DA2" w:rsidRDefault="00255386" w:rsidP="00417F74">
      <w:pPr>
        <w:pStyle w:val="Heading3"/>
        <w:keepLines/>
        <w:tabs>
          <w:tab w:val="num" w:pos="567"/>
        </w:tabs>
        <w:spacing w:after="0"/>
        <w:rPr>
          <w:lang w:val="es-ES"/>
        </w:rPr>
      </w:pPr>
      <w:r w:rsidRPr="00CB2DA2">
        <w:rPr>
          <w:lang w:val="es-ES"/>
        </w:rPr>
        <w:lastRenderedPageBreak/>
        <w:t>Prop</w:t>
      </w:r>
      <w:r w:rsidR="00FC03C4" w:rsidRPr="00CB2DA2">
        <w:rPr>
          <w:lang w:val="es-ES"/>
        </w:rPr>
        <w:t>uesta de revisión de la Norma</w:t>
      </w:r>
      <w:r w:rsidRPr="00CB2DA2">
        <w:rPr>
          <w:lang w:val="es-ES"/>
        </w:rPr>
        <w:t xml:space="preserve"> ST.27</w:t>
      </w:r>
      <w:r w:rsidR="00FC03C4" w:rsidRPr="00CB2DA2">
        <w:rPr>
          <w:lang w:val="es-ES"/>
        </w:rPr>
        <w:t xml:space="preserve"> de la OMPI</w:t>
      </w:r>
    </w:p>
    <w:p w14:paraId="7974F438" w14:textId="3734BAB4" w:rsidR="00972DAE" w:rsidRPr="00CB2DA2" w:rsidRDefault="00FC03C4" w:rsidP="00417F74">
      <w:pPr>
        <w:pStyle w:val="ONUME"/>
        <w:keepNext/>
        <w:keepLines/>
        <w:rPr>
          <w:lang w:val="es-ES"/>
        </w:rPr>
      </w:pPr>
      <w:r w:rsidRPr="00CB2DA2">
        <w:rPr>
          <w:lang w:val="es-ES"/>
        </w:rPr>
        <w:t xml:space="preserve">Desde la sexta sesión del CWS, el Equipo Técnico de la Condición Jurídica ha continuado su labor de realización de la Tarea No. 47 y ha señalado la necesidad de una nueva revisión de la Norma ST.27. El Equipo Técnico celebró seis reuniones por Internet para tratar de los cambios: tres reuniones sobre los ejemplos de situaciones </w:t>
      </w:r>
      <w:r w:rsidR="002F7E14">
        <w:rPr>
          <w:lang w:val="es-ES"/>
        </w:rPr>
        <w:t xml:space="preserve">hipotéticas </w:t>
      </w:r>
      <w:r w:rsidRPr="00CB2DA2">
        <w:rPr>
          <w:lang w:val="es-ES"/>
        </w:rPr>
        <w:t>comunes y tres sobre las revisiones de las incidencias definidas en la Norma ST.27.</w:t>
      </w:r>
    </w:p>
    <w:p w14:paraId="51B9034F" w14:textId="60356821" w:rsidR="001E5898" w:rsidRPr="00CB2DA2" w:rsidRDefault="00FC03C4" w:rsidP="00FC03C4">
      <w:pPr>
        <w:pStyle w:val="ONUME"/>
        <w:rPr>
          <w:rFonts w:eastAsia="Batang"/>
          <w:lang w:val="es-ES" w:eastAsia="ko-KR"/>
        </w:rPr>
      </w:pPr>
      <w:r w:rsidRPr="00CB2DA2">
        <w:rPr>
          <w:rFonts w:eastAsia="Batang"/>
          <w:lang w:val="es-ES" w:eastAsia="ko-KR"/>
        </w:rPr>
        <w:t xml:space="preserve">Entre las modificaciones </w:t>
      </w:r>
      <w:r w:rsidR="009A3533">
        <w:rPr>
          <w:rFonts w:eastAsia="Batang"/>
          <w:lang w:val="es-ES" w:eastAsia="ko-KR"/>
        </w:rPr>
        <w:t>que se someten a examen</w:t>
      </w:r>
      <w:r w:rsidRPr="00CB2DA2">
        <w:rPr>
          <w:rFonts w:eastAsia="Batang"/>
          <w:lang w:val="es-ES" w:eastAsia="ko-KR"/>
        </w:rPr>
        <w:t xml:space="preserve"> en la séptima sesión del CWS se incluyen las siguientes:</w:t>
      </w:r>
    </w:p>
    <w:p w14:paraId="41C0D8EC" w14:textId="79BEE337" w:rsidR="002B38FA" w:rsidRPr="00CB2DA2" w:rsidRDefault="009A3533" w:rsidP="00922F68">
      <w:pPr>
        <w:pStyle w:val="ListParagraph"/>
        <w:numPr>
          <w:ilvl w:val="0"/>
          <w:numId w:val="10"/>
        </w:numPr>
        <w:spacing w:after="220"/>
        <w:ind w:left="1080"/>
        <w:rPr>
          <w:lang w:val="es-ES"/>
        </w:rPr>
      </w:pPr>
      <w:r>
        <w:rPr>
          <w:lang w:val="es-ES"/>
        </w:rPr>
        <w:t>a</w:t>
      </w:r>
      <w:r w:rsidR="00B56BEB" w:rsidRPr="00CB2DA2">
        <w:rPr>
          <w:lang w:val="es-ES"/>
        </w:rPr>
        <w:t>clarar la actualización de las incidencias</w:t>
      </w:r>
      <w:r w:rsidR="001E5898" w:rsidRPr="00CB2DA2">
        <w:rPr>
          <w:lang w:val="es-ES"/>
        </w:rPr>
        <w:t xml:space="preserve"> </w:t>
      </w:r>
      <w:r w:rsidR="000729C0" w:rsidRPr="00CB2DA2">
        <w:rPr>
          <w:lang w:val="es-ES"/>
        </w:rPr>
        <w:t xml:space="preserve">R13 </w:t>
      </w:r>
      <w:r w:rsidR="00B56BEB" w:rsidRPr="00CB2DA2">
        <w:rPr>
          <w:lang w:val="es-ES"/>
        </w:rPr>
        <w:t xml:space="preserve">y </w:t>
      </w:r>
      <w:r w:rsidR="000729C0" w:rsidRPr="00CB2DA2">
        <w:rPr>
          <w:lang w:val="es-ES"/>
        </w:rPr>
        <w:t>R14 (</w:t>
      </w:r>
      <w:r w:rsidR="00B56BEB" w:rsidRPr="00CB2DA2">
        <w:rPr>
          <w:lang w:val="es-ES"/>
        </w:rPr>
        <w:t>actualización del nombre y transferencia de titularidad</w:t>
      </w:r>
      <w:r w:rsidR="000729C0" w:rsidRPr="00CB2DA2">
        <w:rPr>
          <w:lang w:val="es-ES"/>
        </w:rPr>
        <w:t>)</w:t>
      </w:r>
      <w:r w:rsidR="0051627F" w:rsidRPr="00CB2DA2">
        <w:rPr>
          <w:lang w:val="es-ES"/>
        </w:rPr>
        <w:t>;</w:t>
      </w:r>
    </w:p>
    <w:p w14:paraId="1E4EACCE" w14:textId="703E485D" w:rsidR="002B38FA" w:rsidRPr="00CB2DA2" w:rsidRDefault="009A3533" w:rsidP="00922F68">
      <w:pPr>
        <w:pStyle w:val="ListParagraph"/>
        <w:numPr>
          <w:ilvl w:val="0"/>
          <w:numId w:val="10"/>
        </w:numPr>
        <w:spacing w:after="220"/>
        <w:ind w:left="1080"/>
        <w:rPr>
          <w:lang w:val="es-ES"/>
        </w:rPr>
      </w:pPr>
      <w:r>
        <w:rPr>
          <w:lang w:val="es-ES"/>
        </w:rPr>
        <w:t>s</w:t>
      </w:r>
      <w:r w:rsidR="00B56BEB" w:rsidRPr="00CB2DA2">
        <w:rPr>
          <w:lang w:val="es-ES"/>
        </w:rPr>
        <w:t>ustitución de la palabra “emitido” por la palabra “finalizado” en las incidencias</w:t>
      </w:r>
      <w:r w:rsidR="001E5898" w:rsidRPr="00CB2DA2">
        <w:rPr>
          <w:lang w:val="es-ES"/>
        </w:rPr>
        <w:t xml:space="preserve"> </w:t>
      </w:r>
      <w:r w:rsidR="000729C0" w:rsidRPr="00CB2DA2">
        <w:rPr>
          <w:lang w:val="es-ES"/>
        </w:rPr>
        <w:t xml:space="preserve">D14 </w:t>
      </w:r>
      <w:r w:rsidR="00B56BEB" w:rsidRPr="00CB2DA2">
        <w:rPr>
          <w:lang w:val="es-ES"/>
        </w:rPr>
        <w:t xml:space="preserve">y </w:t>
      </w:r>
      <w:r w:rsidR="000729C0" w:rsidRPr="00CB2DA2">
        <w:rPr>
          <w:lang w:val="es-ES"/>
        </w:rPr>
        <w:t>D15</w:t>
      </w:r>
      <w:r w:rsidR="001E5898" w:rsidRPr="00CB2DA2">
        <w:rPr>
          <w:lang w:val="es-ES"/>
        </w:rPr>
        <w:t xml:space="preserve"> (</w:t>
      </w:r>
      <w:r w:rsidR="00B56BEB" w:rsidRPr="00CB2DA2">
        <w:rPr>
          <w:lang w:val="es-ES"/>
        </w:rPr>
        <w:t>informes de búsqueda y examen</w:t>
      </w:r>
      <w:r w:rsidR="001E5898" w:rsidRPr="00CB2DA2">
        <w:rPr>
          <w:lang w:val="es-ES"/>
        </w:rPr>
        <w:t>)</w:t>
      </w:r>
      <w:r w:rsidR="0051627F" w:rsidRPr="00CB2DA2">
        <w:rPr>
          <w:lang w:val="es-ES"/>
        </w:rPr>
        <w:t>;</w:t>
      </w:r>
    </w:p>
    <w:p w14:paraId="4B4810DC" w14:textId="448CF10C" w:rsidR="002B38FA" w:rsidRPr="00CB2DA2" w:rsidRDefault="009A3533" w:rsidP="00922F68">
      <w:pPr>
        <w:pStyle w:val="ListParagraph"/>
        <w:numPr>
          <w:ilvl w:val="0"/>
          <w:numId w:val="10"/>
        </w:numPr>
        <w:spacing w:after="220"/>
        <w:ind w:left="1080"/>
        <w:rPr>
          <w:lang w:val="es-ES"/>
        </w:rPr>
      </w:pPr>
      <w:r>
        <w:rPr>
          <w:lang w:val="es-ES"/>
        </w:rPr>
        <w:t>a</w:t>
      </w:r>
      <w:r w:rsidR="00B56BEB" w:rsidRPr="00CB2DA2">
        <w:rPr>
          <w:lang w:val="es-ES"/>
        </w:rPr>
        <w:t>clarar los tipos de solicitudes y de derechos de PI que abarcan las descripciones de categorías</w:t>
      </w:r>
      <w:r w:rsidR="0051627F" w:rsidRPr="00CB2DA2">
        <w:rPr>
          <w:lang w:val="es-ES"/>
        </w:rPr>
        <w:t>;</w:t>
      </w:r>
    </w:p>
    <w:p w14:paraId="26BBA057" w14:textId="2B6AA1D8" w:rsidR="002B38FA" w:rsidRPr="00CB2DA2" w:rsidRDefault="009A3533" w:rsidP="001F34D7">
      <w:pPr>
        <w:pStyle w:val="ListParagraph"/>
        <w:numPr>
          <w:ilvl w:val="0"/>
          <w:numId w:val="10"/>
        </w:numPr>
        <w:spacing w:after="220"/>
        <w:ind w:left="1080"/>
        <w:rPr>
          <w:lang w:val="es-ES"/>
        </w:rPr>
      </w:pPr>
      <w:r>
        <w:rPr>
          <w:lang w:val="es-ES"/>
        </w:rPr>
        <w:t>a</w:t>
      </w:r>
      <w:r w:rsidR="00B56BEB" w:rsidRPr="00CB2DA2">
        <w:rPr>
          <w:lang w:val="es-ES"/>
        </w:rPr>
        <w:t>ctualizar el document</w:t>
      </w:r>
      <w:r w:rsidR="001F34D7" w:rsidRPr="00CB2DA2">
        <w:rPr>
          <w:lang w:val="es-ES"/>
        </w:rPr>
        <w:t>o</w:t>
      </w:r>
      <w:r w:rsidR="00B56BEB" w:rsidRPr="00CB2DA2">
        <w:rPr>
          <w:lang w:val="es-ES"/>
        </w:rPr>
        <w:t xml:space="preserve"> de orientación </w:t>
      </w:r>
      <w:r w:rsidR="001F34D7" w:rsidRPr="00CB2DA2">
        <w:rPr>
          <w:lang w:val="es-ES"/>
        </w:rPr>
        <w:t>con “situaciones hipotéticas comunes” que muestren cómo varias oficinas diferentes se ajustan a cinco ejemplos comunes de situaciones hipotéticas del ciclo de vida de las patentes</w:t>
      </w:r>
      <w:r w:rsidR="0051627F" w:rsidRPr="00CB2DA2">
        <w:rPr>
          <w:lang w:val="es-ES"/>
        </w:rPr>
        <w:t>;</w:t>
      </w:r>
    </w:p>
    <w:p w14:paraId="0702E9F9" w14:textId="1CD19502" w:rsidR="00A1205E" w:rsidRPr="00CB2DA2" w:rsidRDefault="009A3533" w:rsidP="001F34D7">
      <w:pPr>
        <w:pStyle w:val="ListParagraph"/>
        <w:numPr>
          <w:ilvl w:val="0"/>
          <w:numId w:val="10"/>
        </w:numPr>
        <w:spacing w:after="220"/>
        <w:ind w:left="1080"/>
        <w:rPr>
          <w:lang w:val="es-ES"/>
        </w:rPr>
      </w:pPr>
      <w:r>
        <w:rPr>
          <w:lang w:val="es-ES"/>
        </w:rPr>
        <w:t>e</w:t>
      </w:r>
      <w:r w:rsidR="004D22D1" w:rsidRPr="00CB2DA2">
        <w:rPr>
          <w:lang w:val="es-ES"/>
        </w:rPr>
        <w:t xml:space="preserve">n el nombre de la </w:t>
      </w:r>
      <w:r w:rsidR="001F34D7" w:rsidRPr="00CB2DA2">
        <w:rPr>
          <w:lang w:val="es-ES"/>
        </w:rPr>
        <w:t>categoría S</w:t>
      </w:r>
      <w:r w:rsidR="004D22D1" w:rsidRPr="00CB2DA2">
        <w:rPr>
          <w:lang w:val="es-ES"/>
        </w:rPr>
        <w:t>, sustituir</w:t>
      </w:r>
      <w:r w:rsidR="001F34D7" w:rsidRPr="00CB2DA2">
        <w:rPr>
          <w:lang w:val="es-ES"/>
        </w:rPr>
        <w:t xml:space="preserve"> "licencias" </w:t>
      </w:r>
      <w:r w:rsidR="004D22D1" w:rsidRPr="00CB2DA2">
        <w:rPr>
          <w:lang w:val="es-ES"/>
        </w:rPr>
        <w:t>por “</w:t>
      </w:r>
      <w:r w:rsidR="001F34D7" w:rsidRPr="00CB2DA2">
        <w:rPr>
          <w:lang w:val="es-ES"/>
        </w:rPr>
        <w:t>licencias y transacciones conexas" para reflejar mejor su contenido;</w:t>
      </w:r>
    </w:p>
    <w:p w14:paraId="15D6AA0F" w14:textId="7CCC042B" w:rsidR="002B38FA" w:rsidRPr="00CB2DA2" w:rsidRDefault="001F34D7" w:rsidP="00F956E6">
      <w:pPr>
        <w:pStyle w:val="ListParagraph"/>
        <w:numPr>
          <w:ilvl w:val="0"/>
          <w:numId w:val="10"/>
        </w:numPr>
        <w:spacing w:after="220"/>
        <w:ind w:left="1080"/>
        <w:rPr>
          <w:lang w:val="es-ES"/>
        </w:rPr>
      </w:pPr>
      <w:r w:rsidRPr="00CB2DA2">
        <w:rPr>
          <w:lang w:val="es-ES"/>
        </w:rPr>
        <w:t>combinar incidencias de la categoría S para ofrecer un mayor grado de detalle</w:t>
      </w:r>
      <w:r w:rsidR="0051627F" w:rsidRPr="00CB2DA2">
        <w:rPr>
          <w:lang w:val="es-ES"/>
        </w:rPr>
        <w:t>;</w:t>
      </w:r>
    </w:p>
    <w:p w14:paraId="6746C88E" w14:textId="36EC0661" w:rsidR="00CA2395" w:rsidRPr="00CB2DA2" w:rsidRDefault="009A3533" w:rsidP="00F956E6">
      <w:pPr>
        <w:pStyle w:val="ListParagraph"/>
        <w:numPr>
          <w:ilvl w:val="0"/>
          <w:numId w:val="10"/>
        </w:numPr>
        <w:spacing w:after="220"/>
        <w:ind w:left="1080"/>
        <w:rPr>
          <w:lang w:val="es-ES"/>
        </w:rPr>
      </w:pPr>
      <w:r>
        <w:rPr>
          <w:lang w:val="es-ES"/>
        </w:rPr>
        <w:t>incluir</w:t>
      </w:r>
      <w:r w:rsidR="001F34D7" w:rsidRPr="00CB2DA2">
        <w:rPr>
          <w:lang w:val="es-ES"/>
        </w:rPr>
        <w:t xml:space="preserve"> una sección de situaciones hipotéticas comunes </w:t>
      </w:r>
      <w:r>
        <w:rPr>
          <w:lang w:val="es-ES"/>
        </w:rPr>
        <w:t>en e</w:t>
      </w:r>
      <w:r w:rsidR="001F34D7" w:rsidRPr="00CB2DA2">
        <w:rPr>
          <w:lang w:val="es-ES"/>
        </w:rPr>
        <w:t>l documento de orientación con ejemplos de situaciones comunes a muchas oficinas; y</w:t>
      </w:r>
    </w:p>
    <w:p w14:paraId="2188D7E3" w14:textId="4CA120E1" w:rsidR="00786948" w:rsidRPr="00CB2DA2" w:rsidRDefault="00F956E6" w:rsidP="00F956E6">
      <w:pPr>
        <w:pStyle w:val="ListParagraph"/>
        <w:numPr>
          <w:ilvl w:val="0"/>
          <w:numId w:val="10"/>
        </w:numPr>
        <w:spacing w:after="220"/>
        <w:ind w:left="1080"/>
        <w:rPr>
          <w:lang w:val="es-ES"/>
        </w:rPr>
      </w:pPr>
      <w:r w:rsidRPr="00CB2DA2">
        <w:rPr>
          <w:lang w:val="es-ES"/>
        </w:rPr>
        <w:t>añadir un número fijo de caracteres a los códigos ST.27 como campo reservado para uso futuro.</w:t>
      </w:r>
    </w:p>
    <w:p w14:paraId="3359015B" w14:textId="7C4BD42B" w:rsidR="00255386" w:rsidRPr="00CB2DA2" w:rsidRDefault="004D22D1" w:rsidP="00922F68">
      <w:pPr>
        <w:pStyle w:val="ONUME"/>
        <w:numPr>
          <w:ilvl w:val="0"/>
          <w:numId w:val="0"/>
        </w:numPr>
        <w:spacing w:before="120"/>
        <w:rPr>
          <w:rFonts w:eastAsia="Batang"/>
          <w:lang w:val="es-ES" w:eastAsia="ko-KR"/>
        </w:rPr>
      </w:pPr>
      <w:r w:rsidRPr="00CB2DA2">
        <w:rPr>
          <w:rFonts w:eastAsia="Batang"/>
          <w:lang w:val="es-ES" w:eastAsia="ko-KR"/>
        </w:rPr>
        <w:t>En el Anexo del documento CWS/7/12 figura la propuesta de revisión de la Norma ST.27 de la OMPI.</w:t>
      </w:r>
    </w:p>
    <w:p w14:paraId="6A300E90" w14:textId="55183319" w:rsidR="00972DAE" w:rsidRPr="00CB2DA2" w:rsidRDefault="004D22D1" w:rsidP="004D22D1">
      <w:pPr>
        <w:pStyle w:val="ONUME"/>
        <w:rPr>
          <w:lang w:val="es-ES"/>
        </w:rPr>
      </w:pPr>
      <w:r w:rsidRPr="00CB2DA2">
        <w:rPr>
          <w:lang w:val="es-ES"/>
        </w:rPr>
        <w:t>El Equipo Técnico propone que se sigan revisando los títulos y descripciones de las categorías e incidencias según sea necesario, a medida que las OPI sigan elaborando sus correspondencias y examinando todos los aspectos con claridad o exhaustividad.</w:t>
      </w:r>
    </w:p>
    <w:p w14:paraId="7047CF1F" w14:textId="5D9FF5A2" w:rsidR="00BC56FE" w:rsidRPr="00CB2DA2" w:rsidRDefault="004C21C7" w:rsidP="00A7681C">
      <w:pPr>
        <w:pStyle w:val="Heading3"/>
        <w:rPr>
          <w:lang w:val="es-ES"/>
        </w:rPr>
      </w:pPr>
      <w:r w:rsidRPr="00CB2DA2">
        <w:rPr>
          <w:lang w:val="es-ES"/>
        </w:rPr>
        <w:t>Plan de aplicación de la Norma</w:t>
      </w:r>
      <w:r w:rsidR="00BC56FE" w:rsidRPr="00CB2DA2">
        <w:rPr>
          <w:lang w:val="es-ES"/>
        </w:rPr>
        <w:t xml:space="preserve"> ST.87</w:t>
      </w:r>
      <w:r w:rsidRPr="00CB2DA2">
        <w:rPr>
          <w:lang w:val="es-ES"/>
        </w:rPr>
        <w:t xml:space="preserve"> de la OMPI</w:t>
      </w:r>
    </w:p>
    <w:p w14:paraId="6842901D" w14:textId="3584EE82" w:rsidR="00426406" w:rsidRPr="00CB2DA2" w:rsidRDefault="004C21C7" w:rsidP="00426406">
      <w:pPr>
        <w:pStyle w:val="ONUME"/>
        <w:rPr>
          <w:lang w:val="es-ES"/>
        </w:rPr>
      </w:pPr>
      <w:r w:rsidRPr="00CB2DA2">
        <w:rPr>
          <w:lang w:val="es-ES"/>
        </w:rPr>
        <w:t xml:space="preserve">A raíz de la decisión tomada en la sexta sesión del CWS, la Secretaría publicó la Circular </w:t>
      </w:r>
      <w:r w:rsidR="00BC56FE" w:rsidRPr="00CB2DA2">
        <w:rPr>
          <w:lang w:val="es-ES"/>
        </w:rPr>
        <w:t xml:space="preserve">C.CWS 113 </w:t>
      </w:r>
      <w:r w:rsidR="003770CC" w:rsidRPr="00CB2DA2">
        <w:rPr>
          <w:lang w:val="es-ES"/>
        </w:rPr>
        <w:t>el 14 de febrero de</w:t>
      </w:r>
      <w:r w:rsidR="00BC56FE" w:rsidRPr="00CB2DA2">
        <w:rPr>
          <w:lang w:val="es-ES"/>
        </w:rPr>
        <w:t xml:space="preserve"> 2019, </w:t>
      </w:r>
      <w:r w:rsidR="003770CC" w:rsidRPr="00CB2DA2">
        <w:rPr>
          <w:lang w:val="es-ES"/>
        </w:rPr>
        <w:t>en la que se invitaba a las OPI a informar sobre los resultados de: a) el análisis de sus pr</w:t>
      </w:r>
      <w:r w:rsidR="009A3533">
        <w:rPr>
          <w:lang w:val="es-ES"/>
        </w:rPr>
        <w:t>ácticas operacionales</w:t>
      </w:r>
      <w:r w:rsidR="003770CC" w:rsidRPr="00CB2DA2">
        <w:rPr>
          <w:lang w:val="es-ES"/>
        </w:rPr>
        <w:t xml:space="preserve"> y sistemas </w:t>
      </w:r>
      <w:r w:rsidR="009A3533">
        <w:rPr>
          <w:lang w:val="es-ES"/>
        </w:rPr>
        <w:t>de TI</w:t>
      </w:r>
      <w:r w:rsidR="003770CC" w:rsidRPr="00CB2DA2">
        <w:rPr>
          <w:lang w:val="es-ES"/>
        </w:rPr>
        <w:t>, incluido el calendario provisional para la aplicación de la Norma</w:t>
      </w:r>
      <w:r w:rsidR="00BC56FE" w:rsidRPr="00CB2DA2">
        <w:rPr>
          <w:lang w:val="es-ES"/>
        </w:rPr>
        <w:t xml:space="preserve"> ST.87</w:t>
      </w:r>
      <w:r w:rsidR="003770CC" w:rsidRPr="00CB2DA2">
        <w:rPr>
          <w:lang w:val="es-ES"/>
        </w:rPr>
        <w:t xml:space="preserve"> de la OMPI</w:t>
      </w:r>
      <w:r w:rsidR="00BC56FE" w:rsidRPr="00CB2DA2">
        <w:rPr>
          <w:lang w:val="es-ES"/>
        </w:rPr>
        <w:t>;</w:t>
      </w:r>
      <w:r w:rsidR="003770CC" w:rsidRPr="00CB2DA2">
        <w:rPr>
          <w:lang w:val="es-ES"/>
        </w:rPr>
        <w:t xml:space="preserve"> y </w:t>
      </w:r>
      <w:r w:rsidR="00BC56FE" w:rsidRPr="00CB2DA2">
        <w:rPr>
          <w:lang w:val="es-ES"/>
        </w:rPr>
        <w:t xml:space="preserve">b) </w:t>
      </w:r>
      <w:r w:rsidR="003770CC" w:rsidRPr="00CB2DA2">
        <w:rPr>
          <w:lang w:val="es-ES"/>
        </w:rPr>
        <w:t>el examen de las incidencias detalladas provisionales conforme a las respectivas legislaciones y prácticas</w:t>
      </w:r>
      <w:r w:rsidR="00BC56FE" w:rsidRPr="00CB2DA2">
        <w:rPr>
          <w:lang w:val="es-ES"/>
        </w:rPr>
        <w:t xml:space="preserve">. </w:t>
      </w:r>
      <w:r w:rsidR="00426406" w:rsidRPr="00CB2DA2">
        <w:rPr>
          <w:lang w:val="es-ES"/>
        </w:rPr>
        <w:t xml:space="preserve">Se pidió a las OPI que presentaran </w:t>
      </w:r>
      <w:r w:rsidR="00CB2DA2" w:rsidRPr="00CB2DA2">
        <w:rPr>
          <w:lang w:val="es-ES"/>
        </w:rPr>
        <w:t xml:space="preserve">tablas </w:t>
      </w:r>
      <w:r w:rsidR="00426406" w:rsidRPr="00CB2DA2">
        <w:rPr>
          <w:lang w:val="es-ES"/>
        </w:rPr>
        <w:t>de correspondencias junto con sus respuestas.</w:t>
      </w:r>
    </w:p>
    <w:p w14:paraId="2CC80692" w14:textId="6FF548E7" w:rsidR="001F0A15" w:rsidRPr="00CB2DA2" w:rsidRDefault="00426406" w:rsidP="00426406">
      <w:pPr>
        <w:pStyle w:val="ONUME"/>
        <w:rPr>
          <w:lang w:val="es-ES"/>
        </w:rPr>
      </w:pPr>
      <w:r w:rsidRPr="00CB2DA2">
        <w:rPr>
          <w:lang w:val="es-ES"/>
        </w:rPr>
        <w:t xml:space="preserve">Diez OPI respondieron a la Circular. Tres OPI (República de Moldova, Federación de Rusia y Ucrania) proporcionaron </w:t>
      </w:r>
      <w:r w:rsidR="00CB2DA2" w:rsidRPr="00CB2DA2">
        <w:rPr>
          <w:lang w:val="es-ES"/>
        </w:rPr>
        <w:t>tablas</w:t>
      </w:r>
      <w:r w:rsidRPr="00CB2DA2">
        <w:rPr>
          <w:lang w:val="es-ES"/>
        </w:rPr>
        <w:t xml:space="preserve"> de correspondencias con sus respuestas. A </w:t>
      </w:r>
      <w:r w:rsidR="00CB2DA2" w:rsidRPr="00CB2DA2">
        <w:rPr>
          <w:lang w:val="es-ES"/>
        </w:rPr>
        <w:t>contin</w:t>
      </w:r>
      <w:r w:rsidR="00CB2DA2">
        <w:rPr>
          <w:lang w:val="es-ES"/>
        </w:rPr>
        <w:t>uación</w:t>
      </w:r>
      <w:r w:rsidRPr="00CB2DA2">
        <w:rPr>
          <w:lang w:val="es-ES"/>
        </w:rPr>
        <w:t xml:space="preserve"> se exponen observaciones generales sobre las respuestas; en el marco del punto 11</w:t>
      </w:r>
      <w:r w:rsidR="009A3533">
        <w:rPr>
          <w:lang w:val="es-ES"/>
        </w:rPr>
        <w:t>.</w:t>
      </w:r>
      <w:r w:rsidRPr="00CB2DA2">
        <w:rPr>
          <w:lang w:val="es-ES"/>
        </w:rPr>
        <w:t>c) del proyecto de orden del día que figura en el documento CWS/7/1 se presentará un informe oral en el que se proporcionará más información sobre las respuestas a la Circular</w:t>
      </w:r>
      <w:r w:rsidR="001F0A15" w:rsidRPr="00CB2DA2">
        <w:rPr>
          <w:lang w:val="es-ES"/>
        </w:rPr>
        <w:t>:</w:t>
      </w:r>
    </w:p>
    <w:p w14:paraId="555D96DB" w14:textId="6234F567" w:rsidR="001F0A15" w:rsidRPr="00CB2DA2" w:rsidRDefault="004A5DBE" w:rsidP="004A5DBE">
      <w:pPr>
        <w:pStyle w:val="ONUME"/>
        <w:numPr>
          <w:ilvl w:val="0"/>
          <w:numId w:val="23"/>
        </w:numPr>
        <w:rPr>
          <w:lang w:val="es-ES"/>
        </w:rPr>
      </w:pPr>
      <w:r w:rsidRPr="00CB2DA2">
        <w:rPr>
          <w:lang w:val="es-ES"/>
        </w:rPr>
        <w:t>Muchas oficinas respondieron que no tienen claro su plan de aplicación de la Política ST.87 de la OMPI. Algunas oficinas necesitan financiación antes que nada para introducir cambios en sus sistemas de TI;</w:t>
      </w:r>
    </w:p>
    <w:p w14:paraId="5E75E502" w14:textId="1520E402" w:rsidR="001F0A15" w:rsidRPr="00CB2DA2" w:rsidRDefault="004A5DBE" w:rsidP="004A5DBE">
      <w:pPr>
        <w:pStyle w:val="ONUME"/>
        <w:numPr>
          <w:ilvl w:val="0"/>
          <w:numId w:val="23"/>
        </w:numPr>
        <w:rPr>
          <w:lang w:val="es-ES"/>
        </w:rPr>
      </w:pPr>
      <w:r w:rsidRPr="00CB2DA2">
        <w:rPr>
          <w:lang w:val="es-ES"/>
        </w:rPr>
        <w:t>Dos oficinas dijeron que todavía están llevando a cabo una evaluación interna de la Norma ST.87 y que aún no están en condiciones de proporcionar ninguna información</w:t>
      </w:r>
      <w:r w:rsidR="001F0A15" w:rsidRPr="00CB2DA2">
        <w:rPr>
          <w:lang w:val="es-ES"/>
        </w:rPr>
        <w:t>;</w:t>
      </w:r>
      <w:r w:rsidR="00BC56FE" w:rsidRPr="00CB2DA2">
        <w:rPr>
          <w:lang w:val="es-ES"/>
        </w:rPr>
        <w:t xml:space="preserve">  </w:t>
      </w:r>
    </w:p>
    <w:p w14:paraId="308ABE89" w14:textId="3B20AB95" w:rsidR="001F0A15" w:rsidRPr="00CB2DA2" w:rsidRDefault="004A5DBE" w:rsidP="004A5DBE">
      <w:pPr>
        <w:pStyle w:val="ONUME"/>
        <w:numPr>
          <w:ilvl w:val="0"/>
          <w:numId w:val="23"/>
        </w:numPr>
        <w:rPr>
          <w:lang w:val="es-ES"/>
        </w:rPr>
      </w:pPr>
      <w:r w:rsidRPr="00CB2DA2">
        <w:rPr>
          <w:lang w:val="es-ES"/>
        </w:rPr>
        <w:t>Otras oficinas mencionaron que estaban a la espera de que se ultime la lista de incidencias de la Norma ST.87, de que se proporcionen los componentes del esquema XML, de que se inicie la actualización prevista del sistema de TI o de que se concluya la actualización del sistema de TI que ya está en curso</w:t>
      </w:r>
      <w:r w:rsidR="001F0A15" w:rsidRPr="00CB2DA2">
        <w:rPr>
          <w:lang w:val="es-ES"/>
        </w:rPr>
        <w:t>;</w:t>
      </w:r>
    </w:p>
    <w:p w14:paraId="7EFD41AF" w14:textId="673C67AC" w:rsidR="001F0A15" w:rsidRPr="00CB2DA2" w:rsidRDefault="004A5DBE" w:rsidP="004A5DBE">
      <w:pPr>
        <w:pStyle w:val="ONUME"/>
        <w:numPr>
          <w:ilvl w:val="0"/>
          <w:numId w:val="23"/>
        </w:numPr>
        <w:rPr>
          <w:lang w:val="es-ES"/>
        </w:rPr>
      </w:pPr>
      <w:r w:rsidRPr="00CB2DA2">
        <w:rPr>
          <w:lang w:val="es-ES"/>
        </w:rPr>
        <w:t xml:space="preserve">Cuatro oficinas proporcionaron </w:t>
      </w:r>
      <w:r w:rsidR="00CB2DA2" w:rsidRPr="00CB2DA2">
        <w:rPr>
          <w:lang w:val="es-ES"/>
        </w:rPr>
        <w:t>tablas</w:t>
      </w:r>
      <w:r w:rsidRPr="00CB2DA2">
        <w:rPr>
          <w:lang w:val="es-ES"/>
        </w:rPr>
        <w:t xml:space="preserve"> de correspondencias entre sus incidencias nacionales y las incidencias de la Norma ST.87</w:t>
      </w:r>
      <w:r w:rsidR="001F0A15" w:rsidRPr="00CB2DA2">
        <w:rPr>
          <w:lang w:val="es-ES"/>
        </w:rPr>
        <w:t xml:space="preserve">; </w:t>
      </w:r>
      <w:r w:rsidRPr="00CB2DA2">
        <w:rPr>
          <w:lang w:val="es-ES"/>
        </w:rPr>
        <w:t>y</w:t>
      </w:r>
    </w:p>
    <w:p w14:paraId="11DC04AD" w14:textId="2CCB7BCA" w:rsidR="001F0A15" w:rsidRPr="00CB2DA2" w:rsidRDefault="004A5DBE" w:rsidP="004A5DBE">
      <w:pPr>
        <w:pStyle w:val="ONUME"/>
        <w:numPr>
          <w:ilvl w:val="0"/>
          <w:numId w:val="23"/>
        </w:numPr>
        <w:rPr>
          <w:lang w:val="es-ES"/>
        </w:rPr>
      </w:pPr>
      <w:r w:rsidRPr="00CB2DA2">
        <w:rPr>
          <w:lang w:val="es-ES"/>
        </w:rPr>
        <w:t>Cuatro oficinas informaron de que no tenían planes para aplicar la</w:t>
      </w:r>
      <w:r w:rsidR="00E26CF4" w:rsidRPr="00CB2DA2">
        <w:rPr>
          <w:lang w:val="es-ES"/>
        </w:rPr>
        <w:t xml:space="preserve"> Norma ST</w:t>
      </w:r>
      <w:r w:rsidR="00BC56FE" w:rsidRPr="00CB2DA2">
        <w:rPr>
          <w:lang w:val="es-ES"/>
        </w:rPr>
        <w:t>.87.</w:t>
      </w:r>
    </w:p>
    <w:p w14:paraId="256DF9E7" w14:textId="039E321A" w:rsidR="00255386" w:rsidRPr="00CB2DA2" w:rsidRDefault="00675F59" w:rsidP="00922F68">
      <w:pPr>
        <w:pStyle w:val="Heading2"/>
        <w:spacing w:after="0"/>
        <w:rPr>
          <w:lang w:val="es-ES"/>
        </w:rPr>
      </w:pPr>
      <w:r w:rsidRPr="00CB2DA2">
        <w:rPr>
          <w:caps w:val="0"/>
          <w:lang w:val="es-ES"/>
        </w:rPr>
        <w:t>PLAN DE TRABAJO</w:t>
      </w:r>
    </w:p>
    <w:p w14:paraId="0718EBDD" w14:textId="40AA5CD1" w:rsidR="00255386" w:rsidRPr="00CB2DA2" w:rsidRDefault="00675F59" w:rsidP="00922F68">
      <w:pPr>
        <w:pStyle w:val="Heading3"/>
        <w:spacing w:after="0"/>
        <w:rPr>
          <w:lang w:val="es-ES"/>
        </w:rPr>
      </w:pPr>
      <w:r w:rsidRPr="00CB2DA2">
        <w:rPr>
          <w:lang w:val="es-ES"/>
        </w:rPr>
        <w:t>Datos sobre la situación jurídica de las patentes</w:t>
      </w:r>
    </w:p>
    <w:p w14:paraId="621D21B3" w14:textId="302434FC" w:rsidR="008C2A33" w:rsidRPr="00CB2DA2" w:rsidRDefault="00675F59" w:rsidP="00675F59">
      <w:pPr>
        <w:pStyle w:val="ONUME"/>
        <w:rPr>
          <w:lang w:val="es-ES"/>
        </w:rPr>
      </w:pPr>
      <w:r w:rsidRPr="00CB2DA2">
        <w:rPr>
          <w:lang w:val="es-ES"/>
        </w:rPr>
        <w:t>El Equipo Técnico de la Situación Jurídica tiene previsto seguir perfeccionando las listas de incidencias con respecto a las Normas</w:t>
      </w:r>
      <w:r w:rsidR="008C2A33" w:rsidRPr="00CB2DA2">
        <w:rPr>
          <w:lang w:val="es-ES"/>
        </w:rPr>
        <w:t xml:space="preserve"> ST.27 </w:t>
      </w:r>
      <w:r w:rsidRPr="00CB2DA2">
        <w:rPr>
          <w:lang w:val="es-ES"/>
        </w:rPr>
        <w:t xml:space="preserve">y </w:t>
      </w:r>
      <w:r w:rsidR="008C2A33" w:rsidRPr="00CB2DA2">
        <w:rPr>
          <w:lang w:val="es-ES"/>
        </w:rPr>
        <w:t xml:space="preserve">ST.87 </w:t>
      </w:r>
      <w:r w:rsidRPr="00CB2DA2">
        <w:rPr>
          <w:lang w:val="es-ES"/>
        </w:rPr>
        <w:t>según proceda</w:t>
      </w:r>
      <w:r w:rsidR="008C2A33" w:rsidRPr="00CB2DA2">
        <w:rPr>
          <w:lang w:val="es-ES"/>
        </w:rPr>
        <w:t xml:space="preserve">. </w:t>
      </w:r>
      <w:r w:rsidRPr="00CB2DA2">
        <w:rPr>
          <w:lang w:val="es-ES"/>
        </w:rPr>
        <w:t>E</w:t>
      </w:r>
      <w:r w:rsidR="008C2A33" w:rsidRPr="00CB2DA2">
        <w:rPr>
          <w:lang w:val="es-ES"/>
        </w:rPr>
        <w:t xml:space="preserve">n particular, </w:t>
      </w:r>
      <w:r w:rsidRPr="00CB2DA2">
        <w:rPr>
          <w:lang w:val="es-ES"/>
        </w:rPr>
        <w:t>se espera que a medida que las OPI continúen perfeccionando sus correspondencias de incidencias, se vayan descubriendo más incoherencias u omisiones. El Equipo Técnico intentará resolver esos problemas sin cambios en los títulos y códigos de incidencias en la medida de lo posible; pero en algunos casos puede ser necesario realizar pequeñas modificaciones. El Equipo Técnico también puede necesitar agregar nuevas incidencias detalladas o incluso cambiar la categoría de una incidencia concreta. Sin embargo, es preferible evitar tales cambios si se puede encontrar otra solución adecuada. No se esperan cambios importantes en la lista de incidencias o en las categorías en un futuro previsible</w:t>
      </w:r>
      <w:r w:rsidR="00BD2CB3" w:rsidRPr="00CB2DA2">
        <w:rPr>
          <w:lang w:val="es-ES"/>
        </w:rPr>
        <w:t>.</w:t>
      </w:r>
    </w:p>
    <w:p w14:paraId="12A2B482" w14:textId="07960A4F" w:rsidR="00255386" w:rsidRPr="00CB2DA2" w:rsidRDefault="00AB56BF" w:rsidP="00AB56BF">
      <w:pPr>
        <w:pStyle w:val="ONUME"/>
        <w:rPr>
          <w:lang w:val="es-ES"/>
        </w:rPr>
      </w:pPr>
      <w:r w:rsidRPr="00CB2DA2">
        <w:rPr>
          <w:lang w:val="es-ES"/>
        </w:rPr>
        <w:t xml:space="preserve">El Equipo Técnico solicita al CWS que aliente a las OPI a proporcionar o actualizar sus </w:t>
      </w:r>
      <w:r w:rsidR="00CB2DA2" w:rsidRPr="00CB2DA2">
        <w:rPr>
          <w:lang w:val="es-ES"/>
        </w:rPr>
        <w:t xml:space="preserve">tablas </w:t>
      </w:r>
      <w:r w:rsidRPr="00CB2DA2">
        <w:rPr>
          <w:lang w:val="es-ES"/>
        </w:rPr>
        <w:t>de correspondencias con respecto a la Norma ST.27. L</w:t>
      </w:r>
      <w:r w:rsidR="00CB2DA2" w:rsidRPr="00CB2DA2">
        <w:rPr>
          <w:lang w:val="es-ES"/>
        </w:rPr>
        <w:t>as tablas</w:t>
      </w:r>
      <w:r w:rsidRPr="00CB2DA2">
        <w:rPr>
          <w:lang w:val="es-ES"/>
        </w:rPr>
        <w:t xml:space="preserve"> de correspondencias consolidad</w:t>
      </w:r>
      <w:r w:rsidR="00CB2DA2" w:rsidRPr="00CB2DA2">
        <w:rPr>
          <w:lang w:val="es-ES"/>
        </w:rPr>
        <w:t>a</w:t>
      </w:r>
      <w:r w:rsidRPr="00CB2DA2">
        <w:rPr>
          <w:lang w:val="es-ES"/>
        </w:rPr>
        <w:t>s publicad</w:t>
      </w:r>
      <w:r w:rsidR="00CB2DA2" w:rsidRPr="00CB2DA2">
        <w:rPr>
          <w:lang w:val="es-ES"/>
        </w:rPr>
        <w:t>a</w:t>
      </w:r>
      <w:r w:rsidRPr="00CB2DA2">
        <w:rPr>
          <w:lang w:val="es-ES"/>
        </w:rPr>
        <w:t>s en el Manual de la OMPI se actualizarán cuando se reciban nuevas comunicaciones</w:t>
      </w:r>
      <w:r w:rsidR="00255386" w:rsidRPr="00CB2DA2">
        <w:rPr>
          <w:lang w:val="es-ES"/>
        </w:rPr>
        <w:t>.</w:t>
      </w:r>
    </w:p>
    <w:p w14:paraId="06F3A8F6" w14:textId="514C9998" w:rsidR="00255386" w:rsidRPr="00CB2DA2" w:rsidRDefault="00AB56BF" w:rsidP="00AB56BF">
      <w:pPr>
        <w:pStyle w:val="ONUME"/>
        <w:rPr>
          <w:lang w:val="es-ES"/>
        </w:rPr>
      </w:pPr>
      <w:r w:rsidRPr="00CB2DA2">
        <w:rPr>
          <w:lang w:val="es-ES"/>
        </w:rPr>
        <w:t xml:space="preserve">La Oficina Internacional y la OEP tienen previsto continuar elaborando </w:t>
      </w:r>
      <w:r w:rsidR="00CB2DA2" w:rsidRPr="00CB2DA2">
        <w:rPr>
          <w:lang w:val="es-ES"/>
        </w:rPr>
        <w:t>tablas</w:t>
      </w:r>
      <w:r w:rsidRPr="00CB2DA2">
        <w:rPr>
          <w:lang w:val="es-ES"/>
        </w:rPr>
        <w:t xml:space="preserve"> de correspond</w:t>
      </w:r>
      <w:r w:rsidR="00E61AE2" w:rsidRPr="00CB2DA2">
        <w:rPr>
          <w:lang w:val="es-ES"/>
        </w:rPr>
        <w:t>e</w:t>
      </w:r>
      <w:r w:rsidRPr="00CB2DA2">
        <w:rPr>
          <w:lang w:val="es-ES"/>
        </w:rPr>
        <w:t xml:space="preserve">ncias de los datos de INPADOC con la Norma ST.27 de la OMPI, en </w:t>
      </w:r>
      <w:r w:rsidR="00CB2DA2" w:rsidRPr="00CB2DA2">
        <w:rPr>
          <w:lang w:val="es-ES"/>
        </w:rPr>
        <w:t>colaboración</w:t>
      </w:r>
      <w:r w:rsidR="009A3533">
        <w:rPr>
          <w:lang w:val="es-ES"/>
        </w:rPr>
        <w:t xml:space="preserve"> con las OPI que hayan originado</w:t>
      </w:r>
      <w:r w:rsidRPr="00CB2DA2">
        <w:rPr>
          <w:lang w:val="es-ES"/>
        </w:rPr>
        <w:t xml:space="preserve"> los datos sobre la situación jurídica de las patentes en INPADOC, en la medida en que se disponga de los recursos necesarios</w:t>
      </w:r>
      <w:r w:rsidR="00255386" w:rsidRPr="00CB2DA2">
        <w:rPr>
          <w:lang w:val="es-ES"/>
        </w:rPr>
        <w:t>.</w:t>
      </w:r>
    </w:p>
    <w:p w14:paraId="4CA58EA7" w14:textId="7897230D" w:rsidR="00255386" w:rsidRPr="00CB2DA2" w:rsidRDefault="0077073C" w:rsidP="00922F68">
      <w:pPr>
        <w:pStyle w:val="Heading3"/>
        <w:spacing w:after="0"/>
        <w:rPr>
          <w:lang w:val="es-ES"/>
        </w:rPr>
      </w:pPr>
      <w:r w:rsidRPr="00CB2DA2">
        <w:rPr>
          <w:lang w:val="es-ES"/>
        </w:rPr>
        <w:t>Datos sobre la situación jurídica de los dibujos y modelos industriales</w:t>
      </w:r>
    </w:p>
    <w:p w14:paraId="065E79BC" w14:textId="7A2645F1" w:rsidR="00255386" w:rsidRPr="00CB2DA2" w:rsidRDefault="0077073C" w:rsidP="0077073C">
      <w:pPr>
        <w:pStyle w:val="ONUME"/>
        <w:rPr>
          <w:lang w:val="es-ES"/>
        </w:rPr>
      </w:pPr>
      <w:r w:rsidRPr="00CB2DA2">
        <w:rPr>
          <w:lang w:val="es-ES"/>
        </w:rPr>
        <w:t>El Equipo Técnico tiene previsto actualizar las incidencias detalladas de la norma técnica relativa a los datos sobre la situación jurídica de los dibujos y modelos industriales, como proceda, y preparar un documento de orientación a los fines de someterlo a examen en la próxima sesión del</w:t>
      </w:r>
      <w:r w:rsidR="00C51F13" w:rsidRPr="00CB2DA2">
        <w:rPr>
          <w:lang w:val="es-ES"/>
        </w:rPr>
        <w:t xml:space="preserve"> CWS</w:t>
      </w:r>
      <w:r w:rsidR="00255386" w:rsidRPr="00CB2DA2">
        <w:rPr>
          <w:lang w:val="es-ES"/>
        </w:rPr>
        <w:t>.</w:t>
      </w:r>
      <w:r w:rsidR="00040F15" w:rsidRPr="00CB2DA2">
        <w:rPr>
          <w:lang w:val="es-ES"/>
        </w:rPr>
        <w:t xml:space="preserve"> </w:t>
      </w:r>
      <w:r w:rsidRPr="00CB2DA2">
        <w:rPr>
          <w:lang w:val="es-ES"/>
        </w:rPr>
        <w:t xml:space="preserve">El Equipo Técnico pide al CWS que inste a las OPI a proporcionar o actualizar sus </w:t>
      </w:r>
      <w:r w:rsidR="00CB2DA2" w:rsidRPr="00CB2DA2">
        <w:rPr>
          <w:lang w:val="es-ES"/>
        </w:rPr>
        <w:t xml:space="preserve">tablas </w:t>
      </w:r>
      <w:r w:rsidRPr="00CB2DA2">
        <w:rPr>
          <w:lang w:val="es-ES"/>
        </w:rPr>
        <w:t>de correspondencias con respecto a la Norma ST.87. La Oficina Internacional propone que el CWS apruebe la publicación en la Parte 7.13 del Manual de la OMPI de l</w:t>
      </w:r>
      <w:r w:rsidR="00CB2DA2" w:rsidRPr="00CB2DA2">
        <w:rPr>
          <w:lang w:val="es-ES"/>
        </w:rPr>
        <w:t>a</w:t>
      </w:r>
      <w:r w:rsidRPr="00CB2DA2">
        <w:rPr>
          <w:lang w:val="es-ES"/>
        </w:rPr>
        <w:t xml:space="preserve">s tres </w:t>
      </w:r>
      <w:r w:rsidR="00CB2DA2" w:rsidRPr="00CB2DA2">
        <w:rPr>
          <w:lang w:val="es-ES"/>
        </w:rPr>
        <w:t>tablas de correspondencias presentada</w:t>
      </w:r>
      <w:r w:rsidRPr="00CB2DA2">
        <w:rPr>
          <w:lang w:val="es-ES"/>
        </w:rPr>
        <w:t>s en relación con la Norma ST.87. A medida que se reciban nuevas comunicaciones se irá actualizando la Parte 7.13 del Manual de la OMPI.</w:t>
      </w:r>
    </w:p>
    <w:p w14:paraId="7170C556" w14:textId="6C965F9B" w:rsidR="00255386" w:rsidRPr="00CB2DA2" w:rsidRDefault="007658B3" w:rsidP="00922F68">
      <w:pPr>
        <w:pStyle w:val="Heading3"/>
        <w:rPr>
          <w:lang w:val="es-ES"/>
        </w:rPr>
      </w:pPr>
      <w:r w:rsidRPr="00CB2DA2">
        <w:rPr>
          <w:lang w:val="es-ES"/>
        </w:rPr>
        <w:t>Datos sobre la situación jurídica de las marcas</w:t>
      </w:r>
    </w:p>
    <w:p w14:paraId="0E4F5C3F" w14:textId="35EF933E" w:rsidR="00255386" w:rsidRPr="00CB2DA2" w:rsidRDefault="007658B3" w:rsidP="007658B3">
      <w:pPr>
        <w:pStyle w:val="ONUME"/>
        <w:rPr>
          <w:lang w:val="es-ES"/>
        </w:rPr>
      </w:pPr>
      <w:r w:rsidRPr="00CB2DA2">
        <w:rPr>
          <w:lang w:val="es-ES"/>
        </w:rPr>
        <w:t>El Equipo Técnico tiene previsto comenzar su labor sobre una nueva norma para los datos relativos a la situación jurídica de las marcas una vez que se haya completado la labor pendiente sobre las Normas ST.27 y ST.87 de la OMPI. En particular,</w:t>
      </w:r>
      <w:r w:rsidR="006D59B0" w:rsidRPr="00CB2DA2">
        <w:rPr>
          <w:lang w:val="es-ES"/>
        </w:rPr>
        <w:t xml:space="preserve"> </w:t>
      </w:r>
      <w:r w:rsidRPr="00CB2DA2">
        <w:rPr>
          <w:lang w:val="es-ES"/>
        </w:rPr>
        <w:t>al Equipo Técnico</w:t>
      </w:r>
      <w:r w:rsidR="006D59B0" w:rsidRPr="00CB2DA2">
        <w:rPr>
          <w:lang w:val="es-ES"/>
        </w:rPr>
        <w:t xml:space="preserve"> </w:t>
      </w:r>
      <w:r w:rsidRPr="00CB2DA2">
        <w:rPr>
          <w:lang w:val="es-ES"/>
        </w:rPr>
        <w:t xml:space="preserve">le gustaría estar al tanto de las experiencias de las Oficinas que empiezan a aplicar las Normas ST.27 o ST.87 para asegurarse de que no se produzcan problemas </w:t>
      </w:r>
      <w:r w:rsidR="009A3533">
        <w:rPr>
          <w:lang w:val="es-ES"/>
        </w:rPr>
        <w:t>imprevistos</w:t>
      </w:r>
      <w:r w:rsidR="006D59B0" w:rsidRPr="00CB2DA2">
        <w:rPr>
          <w:lang w:val="es-ES"/>
        </w:rPr>
        <w:t>.</w:t>
      </w:r>
    </w:p>
    <w:p w14:paraId="159294DC" w14:textId="525447A0" w:rsidR="00255386" w:rsidRPr="00CB2DA2" w:rsidRDefault="009A3533" w:rsidP="00713B4E">
      <w:pPr>
        <w:pStyle w:val="Heading2"/>
        <w:keepLines/>
        <w:spacing w:after="0"/>
        <w:rPr>
          <w:lang w:val="es-ES"/>
        </w:rPr>
      </w:pPr>
      <w:r w:rsidRPr="009A3533">
        <w:rPr>
          <w:caps w:val="0"/>
          <w:lang w:val="es-ES"/>
        </w:rPr>
        <w:t>PROPUESTA DE REVISIÓN DE LA DESCRIPCIÓN DE LA TAREA N.º 47</w:t>
      </w:r>
    </w:p>
    <w:p w14:paraId="336589B3" w14:textId="629D8401" w:rsidR="00255386" w:rsidRPr="00CB2DA2" w:rsidRDefault="007658B3" w:rsidP="00713B4E">
      <w:pPr>
        <w:pStyle w:val="ONUME"/>
        <w:keepLines/>
        <w:rPr>
          <w:lang w:val="es-ES"/>
        </w:rPr>
      </w:pPr>
      <w:r w:rsidRPr="00CB2DA2">
        <w:rPr>
          <w:lang w:val="es-ES"/>
        </w:rPr>
        <w:t>Teniendo en cuenta la labor realizada y la que aún queda por realizar en el ámbito de las Normas ST.27 y ST.87 de la OMPI, se propone revisar la descripción de la Tarea N.º 47 de la siguiente manera: "preparar propuestas de revisión de las Normas ST.27 y ST.87 de la OMPI, según sea necesario; preparar una propuesta de documento de orientación sobre datos relativos a la situación jurídica de los dibujos y modelos industriales; preparar una recomendación sobre el intercambio de datos relativos a la situación jurídica de las marcas entre oficinas de propiedad industrial y prestar apoyo al Equipo Técnico XML4IP para que desarrolle componentes XML en relación con los datos sobre las incidencias relativas a la situación jurídica"</w:t>
      </w:r>
    </w:p>
    <w:p w14:paraId="59606055" w14:textId="1EC0DDFC" w:rsidR="00255386" w:rsidRPr="00CB2DA2" w:rsidRDefault="00325D8B" w:rsidP="00713B4E">
      <w:pPr>
        <w:pStyle w:val="ONUME"/>
        <w:tabs>
          <w:tab w:val="clear" w:pos="567"/>
          <w:tab w:val="num" w:pos="1135"/>
        </w:tabs>
        <w:ind w:left="5530"/>
        <w:rPr>
          <w:i/>
          <w:lang w:val="es-ES"/>
        </w:rPr>
      </w:pPr>
      <w:r w:rsidRPr="00CB2DA2">
        <w:rPr>
          <w:i/>
          <w:lang w:val="es-ES"/>
        </w:rPr>
        <w:t>Se invita al CWS a</w:t>
      </w:r>
      <w:r w:rsidR="00255386" w:rsidRPr="00CB2DA2">
        <w:rPr>
          <w:i/>
          <w:lang w:val="es-ES"/>
        </w:rPr>
        <w:t xml:space="preserve">: </w:t>
      </w:r>
    </w:p>
    <w:p w14:paraId="615C8195" w14:textId="1BB2579E" w:rsidR="00255386" w:rsidRPr="00CB2DA2" w:rsidRDefault="00255386" w:rsidP="00922F68">
      <w:pPr>
        <w:pStyle w:val="BodyText"/>
        <w:tabs>
          <w:tab w:val="left" w:pos="6050"/>
          <w:tab w:val="left" w:pos="6600"/>
        </w:tabs>
        <w:ind w:left="5534"/>
        <w:rPr>
          <w:i/>
          <w:szCs w:val="22"/>
          <w:lang w:val="es-ES"/>
        </w:rPr>
      </w:pPr>
      <w:r w:rsidRPr="00CB2DA2">
        <w:rPr>
          <w:i/>
          <w:szCs w:val="22"/>
          <w:lang w:val="es-ES"/>
        </w:rPr>
        <w:tab/>
        <w:t>a)</w:t>
      </w:r>
      <w:r w:rsidRPr="00CB2DA2">
        <w:rPr>
          <w:i/>
          <w:szCs w:val="22"/>
          <w:lang w:val="es-ES"/>
        </w:rPr>
        <w:tab/>
      </w:r>
      <w:r w:rsidR="00325D8B" w:rsidRPr="00CB2DA2">
        <w:rPr>
          <w:i/>
          <w:szCs w:val="22"/>
          <w:lang w:val="es-ES"/>
        </w:rPr>
        <w:t>tomar nota de los resultados de la labor realizada por el Equipo Técnico de la Situación Jurídica y del informe de su responsable, expuestos en el presente documento</w:t>
      </w:r>
      <w:r w:rsidRPr="00CB2DA2">
        <w:rPr>
          <w:i/>
          <w:szCs w:val="22"/>
          <w:lang w:val="es-ES"/>
        </w:rPr>
        <w:t>;</w:t>
      </w:r>
    </w:p>
    <w:p w14:paraId="34E40FC4" w14:textId="017F4D54" w:rsidR="00255386" w:rsidRPr="00CB2DA2" w:rsidRDefault="00255386" w:rsidP="00922F68">
      <w:pPr>
        <w:pStyle w:val="BodyText"/>
        <w:tabs>
          <w:tab w:val="left" w:pos="6050"/>
          <w:tab w:val="left" w:pos="6600"/>
        </w:tabs>
        <w:ind w:left="5534"/>
        <w:rPr>
          <w:i/>
          <w:szCs w:val="22"/>
          <w:lang w:val="es-ES"/>
        </w:rPr>
      </w:pPr>
      <w:r w:rsidRPr="00CB2DA2">
        <w:rPr>
          <w:i/>
          <w:szCs w:val="22"/>
          <w:lang w:val="es-ES"/>
        </w:rPr>
        <w:tab/>
        <w:t>b)</w:t>
      </w:r>
      <w:r w:rsidRPr="00CB2DA2">
        <w:rPr>
          <w:i/>
          <w:szCs w:val="22"/>
          <w:lang w:val="es-ES"/>
        </w:rPr>
        <w:tab/>
      </w:r>
      <w:r w:rsidR="00325D8B" w:rsidRPr="00CB2DA2">
        <w:rPr>
          <w:i/>
          <w:szCs w:val="22"/>
          <w:lang w:val="es-ES"/>
        </w:rPr>
        <w:t>tomar nota del plan de trabajo del Equipo Técnico de la Situación Jurídica y alentar a las OPI a participar en los debates del Equipo Técnico, como se indica en los párrafos 15 a 19</w:t>
      </w:r>
      <w:r w:rsidRPr="00CB2DA2">
        <w:rPr>
          <w:i/>
          <w:szCs w:val="22"/>
          <w:lang w:val="es-ES"/>
        </w:rPr>
        <w:t xml:space="preserve">; </w:t>
      </w:r>
    </w:p>
    <w:p w14:paraId="2C3D957E" w14:textId="5BC3907C" w:rsidR="00255386" w:rsidRPr="00CB2DA2" w:rsidRDefault="00255386" w:rsidP="00922F68">
      <w:pPr>
        <w:pStyle w:val="BodyText"/>
        <w:tabs>
          <w:tab w:val="left" w:pos="6050"/>
          <w:tab w:val="left" w:pos="6600"/>
        </w:tabs>
        <w:ind w:left="5534"/>
        <w:rPr>
          <w:i/>
          <w:szCs w:val="22"/>
          <w:lang w:val="es-ES"/>
        </w:rPr>
      </w:pPr>
      <w:r w:rsidRPr="00CB2DA2">
        <w:rPr>
          <w:i/>
          <w:szCs w:val="22"/>
          <w:lang w:val="es-ES"/>
        </w:rPr>
        <w:tab/>
        <w:t>c)</w:t>
      </w:r>
      <w:r w:rsidRPr="00CB2DA2">
        <w:rPr>
          <w:i/>
          <w:szCs w:val="22"/>
          <w:lang w:val="es-ES"/>
        </w:rPr>
        <w:tab/>
      </w:r>
      <w:r w:rsidR="00325D8B" w:rsidRPr="00CB2DA2">
        <w:rPr>
          <w:i/>
          <w:szCs w:val="22"/>
          <w:lang w:val="es-ES"/>
        </w:rPr>
        <w:t xml:space="preserve">alentar a las OPI a que proporcionen o actualicen sus tablas de correspondencias en relación con </w:t>
      </w:r>
      <w:r w:rsidR="0056718B">
        <w:rPr>
          <w:i/>
          <w:szCs w:val="22"/>
          <w:lang w:val="es-ES"/>
        </w:rPr>
        <w:t>las</w:t>
      </w:r>
      <w:r w:rsidR="00325D8B" w:rsidRPr="00CB2DA2">
        <w:rPr>
          <w:i/>
          <w:szCs w:val="22"/>
          <w:lang w:val="es-ES"/>
        </w:rPr>
        <w:t xml:space="preserve"> Norma</w:t>
      </w:r>
      <w:r w:rsidR="0056718B">
        <w:rPr>
          <w:i/>
          <w:szCs w:val="22"/>
          <w:lang w:val="es-ES"/>
        </w:rPr>
        <w:t xml:space="preserve">s ST.27 y </w:t>
      </w:r>
      <w:r w:rsidR="00325D8B" w:rsidRPr="00CB2DA2">
        <w:rPr>
          <w:i/>
          <w:szCs w:val="22"/>
          <w:lang w:val="es-ES"/>
        </w:rPr>
        <w:t>ST.87, como se indica en los párrafos 8, 9, 13 y 14;</w:t>
      </w:r>
    </w:p>
    <w:p w14:paraId="5B847216" w14:textId="3DD0A298" w:rsidR="005422A8" w:rsidRPr="00CB2DA2" w:rsidRDefault="005422A8" w:rsidP="005422A8">
      <w:pPr>
        <w:pStyle w:val="BodyText"/>
        <w:tabs>
          <w:tab w:val="left" w:pos="6050"/>
          <w:tab w:val="left" w:pos="6600"/>
        </w:tabs>
        <w:ind w:left="5534"/>
        <w:rPr>
          <w:i/>
          <w:szCs w:val="22"/>
          <w:lang w:val="es-ES"/>
        </w:rPr>
      </w:pPr>
      <w:r w:rsidRPr="00CB2DA2">
        <w:rPr>
          <w:i/>
          <w:szCs w:val="22"/>
          <w:lang w:val="es-ES"/>
        </w:rPr>
        <w:tab/>
        <w:t>d)</w:t>
      </w:r>
      <w:r w:rsidRPr="00CB2DA2">
        <w:rPr>
          <w:i/>
          <w:szCs w:val="22"/>
          <w:lang w:val="es-ES"/>
        </w:rPr>
        <w:tab/>
      </w:r>
      <w:r w:rsidR="00022FE6" w:rsidRPr="00CB2DA2">
        <w:rPr>
          <w:i/>
          <w:szCs w:val="22"/>
          <w:lang w:val="es-ES"/>
        </w:rPr>
        <w:t>considerar la posibilidad de publicar las tablas de correspondencias que se hayan recibido en relación con la Norma</w:t>
      </w:r>
      <w:r w:rsidRPr="00CB2DA2">
        <w:rPr>
          <w:i/>
          <w:szCs w:val="22"/>
          <w:lang w:val="es-ES"/>
        </w:rPr>
        <w:t xml:space="preserve"> ST.87 </w:t>
      </w:r>
      <w:r w:rsidR="00022FE6" w:rsidRPr="00CB2DA2">
        <w:rPr>
          <w:i/>
          <w:szCs w:val="22"/>
          <w:lang w:val="es-ES"/>
        </w:rPr>
        <w:t>en la Parte</w:t>
      </w:r>
      <w:r w:rsidRPr="00CB2DA2">
        <w:rPr>
          <w:i/>
          <w:szCs w:val="22"/>
          <w:lang w:val="es-ES"/>
        </w:rPr>
        <w:t xml:space="preserve"> 7.13 </w:t>
      </w:r>
      <w:r w:rsidR="00022FE6" w:rsidRPr="00CB2DA2">
        <w:rPr>
          <w:i/>
          <w:szCs w:val="22"/>
          <w:lang w:val="es-ES"/>
        </w:rPr>
        <w:t>del Manual de la OMPI</w:t>
      </w:r>
      <w:r w:rsidRPr="00CB2DA2">
        <w:rPr>
          <w:i/>
          <w:szCs w:val="22"/>
          <w:lang w:val="es-ES"/>
        </w:rPr>
        <w:t xml:space="preserve">, </w:t>
      </w:r>
      <w:r w:rsidR="00022FE6" w:rsidRPr="00CB2DA2">
        <w:rPr>
          <w:i/>
          <w:szCs w:val="22"/>
          <w:lang w:val="es-ES"/>
        </w:rPr>
        <w:t>como se indica en los párrafos</w:t>
      </w:r>
      <w:r w:rsidRPr="00CB2DA2">
        <w:rPr>
          <w:i/>
          <w:szCs w:val="22"/>
          <w:lang w:val="es-ES"/>
        </w:rPr>
        <w:t xml:space="preserve"> 14 </w:t>
      </w:r>
      <w:r w:rsidR="00022FE6" w:rsidRPr="00CB2DA2">
        <w:rPr>
          <w:i/>
          <w:szCs w:val="22"/>
          <w:lang w:val="es-ES"/>
        </w:rPr>
        <w:t xml:space="preserve">y </w:t>
      </w:r>
      <w:r w:rsidRPr="00CB2DA2">
        <w:rPr>
          <w:i/>
          <w:szCs w:val="22"/>
          <w:lang w:val="es-ES"/>
        </w:rPr>
        <w:t xml:space="preserve">18; </w:t>
      </w:r>
      <w:r w:rsidR="00022FE6" w:rsidRPr="00CB2DA2">
        <w:rPr>
          <w:i/>
          <w:szCs w:val="22"/>
          <w:lang w:val="es-ES"/>
        </w:rPr>
        <w:t>y</w:t>
      </w:r>
    </w:p>
    <w:p w14:paraId="519CBA98" w14:textId="6BCE6F5D" w:rsidR="00255386" w:rsidRPr="00CB2DA2" w:rsidRDefault="00022FE6" w:rsidP="004A7457">
      <w:pPr>
        <w:pStyle w:val="BodyText"/>
        <w:keepLines/>
        <w:tabs>
          <w:tab w:val="left" w:pos="6050"/>
          <w:tab w:val="left" w:pos="6600"/>
        </w:tabs>
        <w:spacing w:after="0"/>
        <w:ind w:left="5530"/>
        <w:rPr>
          <w:i/>
          <w:szCs w:val="22"/>
          <w:lang w:val="es-ES"/>
        </w:rPr>
      </w:pPr>
      <w:r w:rsidRPr="00CB2DA2">
        <w:rPr>
          <w:i/>
          <w:szCs w:val="22"/>
          <w:lang w:val="es-ES"/>
        </w:rPr>
        <w:tab/>
      </w:r>
      <w:r w:rsidR="005422A8" w:rsidRPr="00CB2DA2">
        <w:rPr>
          <w:i/>
          <w:szCs w:val="22"/>
          <w:lang w:val="es-ES"/>
        </w:rPr>
        <w:t>e</w:t>
      </w:r>
      <w:r w:rsidR="00255386" w:rsidRPr="00CB2DA2">
        <w:rPr>
          <w:i/>
          <w:szCs w:val="22"/>
          <w:lang w:val="es-ES"/>
        </w:rPr>
        <w:t>)</w:t>
      </w:r>
      <w:r w:rsidR="00255386" w:rsidRPr="00CB2DA2">
        <w:rPr>
          <w:i/>
          <w:szCs w:val="22"/>
          <w:lang w:val="es-ES"/>
        </w:rPr>
        <w:tab/>
      </w:r>
      <w:r w:rsidRPr="00CB2DA2">
        <w:rPr>
          <w:i/>
          <w:szCs w:val="22"/>
          <w:lang w:val="es-ES"/>
        </w:rPr>
        <w:t>examinar y aprobar la propuesta de modificación de la Tarea N.º 47 y la asignación de la Tarea N.º 47 modificada al Equipo Técnico de la Situación Jurídica, como se indica en el párrafo 20.</w:t>
      </w:r>
    </w:p>
    <w:p w14:paraId="04AF3F6D" w14:textId="77777777" w:rsidR="00255386" w:rsidRPr="00CB2DA2" w:rsidRDefault="00255386" w:rsidP="00922F68">
      <w:pPr>
        <w:pStyle w:val="BodyText"/>
        <w:tabs>
          <w:tab w:val="left" w:pos="6050"/>
          <w:tab w:val="left" w:pos="6600"/>
        </w:tabs>
        <w:spacing w:after="0"/>
        <w:ind w:left="5947"/>
        <w:rPr>
          <w:lang w:val="es-ES"/>
        </w:rPr>
      </w:pPr>
    </w:p>
    <w:p w14:paraId="5220E2C8" w14:textId="77777777" w:rsidR="00255386" w:rsidRPr="00CB2DA2" w:rsidRDefault="00255386" w:rsidP="00922F68">
      <w:pPr>
        <w:pStyle w:val="BodyText"/>
        <w:tabs>
          <w:tab w:val="left" w:pos="6050"/>
          <w:tab w:val="left" w:pos="6600"/>
        </w:tabs>
        <w:spacing w:after="0"/>
        <w:ind w:left="5947"/>
        <w:rPr>
          <w:lang w:val="es-ES"/>
        </w:rPr>
      </w:pPr>
    </w:p>
    <w:p w14:paraId="52A8F69C" w14:textId="36CD377D" w:rsidR="00255386" w:rsidRPr="00CB2DA2" w:rsidRDefault="00255386" w:rsidP="00713B4E">
      <w:pPr>
        <w:pStyle w:val="Endofdocument-Annex"/>
        <w:spacing w:line="360" w:lineRule="auto"/>
        <w:ind w:left="5818" w:hanging="238"/>
        <w:rPr>
          <w:lang w:val="es-ES"/>
        </w:rPr>
      </w:pPr>
      <w:r w:rsidRPr="00CB2DA2">
        <w:rPr>
          <w:lang w:val="es-ES"/>
        </w:rPr>
        <w:t>[</w:t>
      </w:r>
      <w:r w:rsidR="00022FE6" w:rsidRPr="00CB2DA2">
        <w:rPr>
          <w:lang w:val="es-ES"/>
        </w:rPr>
        <w:t xml:space="preserve">Fin del </w:t>
      </w:r>
      <w:r w:rsidRPr="00CB2DA2">
        <w:rPr>
          <w:lang w:val="es-ES"/>
        </w:rPr>
        <w:t>document</w:t>
      </w:r>
      <w:r w:rsidR="00022FE6" w:rsidRPr="00CB2DA2">
        <w:rPr>
          <w:lang w:val="es-ES"/>
        </w:rPr>
        <w:t>o</w:t>
      </w:r>
      <w:r w:rsidRPr="00CB2DA2">
        <w:rPr>
          <w:lang w:val="es-ES"/>
        </w:rPr>
        <w:t>]</w:t>
      </w:r>
    </w:p>
    <w:p w14:paraId="3709A45A" w14:textId="77777777" w:rsidR="00255386" w:rsidRPr="00CB2DA2" w:rsidRDefault="00255386" w:rsidP="00ED46C2">
      <w:pPr>
        <w:spacing w:line="360" w:lineRule="auto"/>
        <w:rPr>
          <w:lang w:val="es-ES"/>
        </w:rPr>
      </w:pPr>
    </w:p>
    <w:sectPr w:rsidR="00255386" w:rsidRPr="00CB2DA2" w:rsidSect="005E46F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F26A8" w14:textId="77777777" w:rsidR="004869BC" w:rsidRDefault="004869BC">
      <w:r>
        <w:separator/>
      </w:r>
    </w:p>
  </w:endnote>
  <w:endnote w:type="continuationSeparator" w:id="0">
    <w:p w14:paraId="39C9A02B" w14:textId="77777777" w:rsidR="004869BC" w:rsidRDefault="004869BC" w:rsidP="003B38C1">
      <w:r>
        <w:separator/>
      </w:r>
    </w:p>
    <w:p w14:paraId="07126F49" w14:textId="77777777" w:rsidR="004869BC" w:rsidRPr="003B38C1" w:rsidRDefault="004869BC" w:rsidP="003B38C1">
      <w:pPr>
        <w:spacing w:after="60"/>
        <w:rPr>
          <w:sz w:val="17"/>
        </w:rPr>
      </w:pPr>
      <w:r>
        <w:rPr>
          <w:sz w:val="17"/>
        </w:rPr>
        <w:t>[Endnote continued from previous page]</w:t>
      </w:r>
    </w:p>
  </w:endnote>
  <w:endnote w:type="continuationNotice" w:id="1">
    <w:p w14:paraId="6FB222F2" w14:textId="77777777" w:rsidR="004869BC" w:rsidRPr="003B38C1" w:rsidRDefault="004869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B0DF6" w14:textId="77777777" w:rsidR="004869BC" w:rsidRDefault="004869BC">
      <w:r>
        <w:separator/>
      </w:r>
    </w:p>
  </w:footnote>
  <w:footnote w:type="continuationSeparator" w:id="0">
    <w:p w14:paraId="39FEFDFA" w14:textId="77777777" w:rsidR="004869BC" w:rsidRDefault="004869BC" w:rsidP="008B60B2">
      <w:r>
        <w:separator/>
      </w:r>
    </w:p>
    <w:p w14:paraId="06623E89" w14:textId="77777777" w:rsidR="004869BC" w:rsidRPr="00ED77FB" w:rsidRDefault="004869BC" w:rsidP="008B60B2">
      <w:pPr>
        <w:spacing w:after="60"/>
        <w:rPr>
          <w:sz w:val="17"/>
          <w:szCs w:val="17"/>
        </w:rPr>
      </w:pPr>
      <w:r w:rsidRPr="00ED77FB">
        <w:rPr>
          <w:sz w:val="17"/>
          <w:szCs w:val="17"/>
        </w:rPr>
        <w:t>[Footnote continued from previous page]</w:t>
      </w:r>
    </w:p>
  </w:footnote>
  <w:footnote w:type="continuationNotice" w:id="1">
    <w:p w14:paraId="2F7D7A76" w14:textId="77777777" w:rsidR="004869BC" w:rsidRPr="00ED77FB" w:rsidRDefault="004869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6BED" w14:textId="04A9F7E7" w:rsidR="00EC4E49" w:rsidRDefault="005E46FD" w:rsidP="00477D6B">
    <w:pPr>
      <w:jc w:val="right"/>
    </w:pPr>
    <w:bookmarkStart w:id="6" w:name="Code2"/>
    <w:bookmarkEnd w:id="6"/>
    <w:r>
      <w:t>CWS/7/</w:t>
    </w:r>
    <w:r w:rsidR="00EB7B20">
      <w:t>11</w:t>
    </w:r>
  </w:p>
  <w:p w14:paraId="5CEA4D58" w14:textId="1FDCFE45" w:rsidR="00EC4E49" w:rsidRPr="00CB2DA2" w:rsidRDefault="00EC4E49" w:rsidP="00477D6B">
    <w:pPr>
      <w:jc w:val="right"/>
      <w:rPr>
        <w:lang w:val="es-ES"/>
      </w:rPr>
    </w:pPr>
    <w:r w:rsidRPr="00CB2DA2">
      <w:rPr>
        <w:lang w:val="es-ES"/>
      </w:rPr>
      <w:t>p</w:t>
    </w:r>
    <w:r w:rsidR="00CB2DA2" w:rsidRPr="00CB2DA2">
      <w:rPr>
        <w:lang w:val="es-ES"/>
      </w:rPr>
      <w:t>ágina</w:t>
    </w:r>
    <w:r w:rsidRPr="00CB2DA2">
      <w:rPr>
        <w:lang w:val="es-ES"/>
      </w:rPr>
      <w:t xml:space="preserve"> </w:t>
    </w:r>
    <w:r w:rsidRPr="00CB2DA2">
      <w:rPr>
        <w:lang w:val="es-ES"/>
      </w:rPr>
      <w:fldChar w:fldCharType="begin"/>
    </w:r>
    <w:r w:rsidRPr="00CB2DA2">
      <w:rPr>
        <w:lang w:val="es-ES"/>
      </w:rPr>
      <w:instrText xml:space="preserve"> PAGE  \* MERGEFORMAT </w:instrText>
    </w:r>
    <w:r w:rsidRPr="00CB2DA2">
      <w:rPr>
        <w:lang w:val="es-ES"/>
      </w:rPr>
      <w:fldChar w:fldCharType="separate"/>
    </w:r>
    <w:r w:rsidR="00714BC4">
      <w:rPr>
        <w:noProof/>
        <w:lang w:val="es-ES"/>
      </w:rPr>
      <w:t>5</w:t>
    </w:r>
    <w:r w:rsidRPr="00CB2DA2">
      <w:rPr>
        <w:lang w:val="es-ES"/>
      </w:rPr>
      <w:fldChar w:fldCharType="end"/>
    </w:r>
  </w:p>
  <w:p w14:paraId="23A6188A" w14:textId="77777777" w:rsidR="00EC4E49" w:rsidRDefault="00EC4E49" w:rsidP="00477D6B">
    <w:pPr>
      <w:jc w:val="right"/>
    </w:pPr>
  </w:p>
  <w:p w14:paraId="36082B5E"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C367C0"/>
    <w:multiLevelType w:val="multilevel"/>
    <w:tmpl w:val="F08CB1D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21E8E"/>
    <w:multiLevelType w:val="multilevel"/>
    <w:tmpl w:val="DFA8F0D8"/>
    <w:lvl w:ilvl="0">
      <w:start w:val="1"/>
      <w:numFmt w:val="bullet"/>
      <w:lvlText w:val=""/>
      <w:lvlJc w:val="left"/>
      <w:pPr>
        <w:tabs>
          <w:tab w:val="num" w:pos="1135"/>
        </w:tabs>
        <w:ind w:left="568"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68091B"/>
    <w:multiLevelType w:val="hybridMultilevel"/>
    <w:tmpl w:val="FE300FB2"/>
    <w:lvl w:ilvl="0" w:tplc="7F4AC354">
      <w:start w:val="1"/>
      <w:numFmt w:val="bullet"/>
      <w:lvlText w:val="•"/>
      <w:lvlJc w:val="left"/>
      <w:pPr>
        <w:tabs>
          <w:tab w:val="num" w:pos="720"/>
        </w:tabs>
        <w:ind w:left="720" w:hanging="360"/>
      </w:pPr>
      <w:rPr>
        <w:rFonts w:ascii="Arial" w:hAnsi="Arial" w:hint="default"/>
      </w:rPr>
    </w:lvl>
    <w:lvl w:ilvl="1" w:tplc="1C463458" w:tentative="1">
      <w:start w:val="1"/>
      <w:numFmt w:val="bullet"/>
      <w:lvlText w:val="•"/>
      <w:lvlJc w:val="left"/>
      <w:pPr>
        <w:tabs>
          <w:tab w:val="num" w:pos="1440"/>
        </w:tabs>
        <w:ind w:left="1440" w:hanging="360"/>
      </w:pPr>
      <w:rPr>
        <w:rFonts w:ascii="Arial" w:hAnsi="Arial" w:hint="default"/>
      </w:rPr>
    </w:lvl>
    <w:lvl w:ilvl="2" w:tplc="7E7CD676" w:tentative="1">
      <w:start w:val="1"/>
      <w:numFmt w:val="bullet"/>
      <w:lvlText w:val="•"/>
      <w:lvlJc w:val="left"/>
      <w:pPr>
        <w:tabs>
          <w:tab w:val="num" w:pos="2160"/>
        </w:tabs>
        <w:ind w:left="2160" w:hanging="360"/>
      </w:pPr>
      <w:rPr>
        <w:rFonts w:ascii="Arial" w:hAnsi="Arial" w:hint="default"/>
      </w:rPr>
    </w:lvl>
    <w:lvl w:ilvl="3" w:tplc="0A9C7BF8" w:tentative="1">
      <w:start w:val="1"/>
      <w:numFmt w:val="bullet"/>
      <w:lvlText w:val="•"/>
      <w:lvlJc w:val="left"/>
      <w:pPr>
        <w:tabs>
          <w:tab w:val="num" w:pos="2880"/>
        </w:tabs>
        <w:ind w:left="2880" w:hanging="360"/>
      </w:pPr>
      <w:rPr>
        <w:rFonts w:ascii="Arial" w:hAnsi="Arial" w:hint="default"/>
      </w:rPr>
    </w:lvl>
    <w:lvl w:ilvl="4" w:tplc="4C62DDCE" w:tentative="1">
      <w:start w:val="1"/>
      <w:numFmt w:val="bullet"/>
      <w:lvlText w:val="•"/>
      <w:lvlJc w:val="left"/>
      <w:pPr>
        <w:tabs>
          <w:tab w:val="num" w:pos="3600"/>
        </w:tabs>
        <w:ind w:left="3600" w:hanging="360"/>
      </w:pPr>
      <w:rPr>
        <w:rFonts w:ascii="Arial" w:hAnsi="Arial" w:hint="default"/>
      </w:rPr>
    </w:lvl>
    <w:lvl w:ilvl="5" w:tplc="CAEA14B4" w:tentative="1">
      <w:start w:val="1"/>
      <w:numFmt w:val="bullet"/>
      <w:lvlText w:val="•"/>
      <w:lvlJc w:val="left"/>
      <w:pPr>
        <w:tabs>
          <w:tab w:val="num" w:pos="4320"/>
        </w:tabs>
        <w:ind w:left="4320" w:hanging="360"/>
      </w:pPr>
      <w:rPr>
        <w:rFonts w:ascii="Arial" w:hAnsi="Arial" w:hint="default"/>
      </w:rPr>
    </w:lvl>
    <w:lvl w:ilvl="6" w:tplc="B9405982" w:tentative="1">
      <w:start w:val="1"/>
      <w:numFmt w:val="bullet"/>
      <w:lvlText w:val="•"/>
      <w:lvlJc w:val="left"/>
      <w:pPr>
        <w:tabs>
          <w:tab w:val="num" w:pos="5040"/>
        </w:tabs>
        <w:ind w:left="5040" w:hanging="360"/>
      </w:pPr>
      <w:rPr>
        <w:rFonts w:ascii="Arial" w:hAnsi="Arial" w:hint="default"/>
      </w:rPr>
    </w:lvl>
    <w:lvl w:ilvl="7" w:tplc="22547592" w:tentative="1">
      <w:start w:val="1"/>
      <w:numFmt w:val="bullet"/>
      <w:lvlText w:val="•"/>
      <w:lvlJc w:val="left"/>
      <w:pPr>
        <w:tabs>
          <w:tab w:val="num" w:pos="5760"/>
        </w:tabs>
        <w:ind w:left="5760" w:hanging="360"/>
      </w:pPr>
      <w:rPr>
        <w:rFonts w:ascii="Arial" w:hAnsi="Arial" w:hint="default"/>
      </w:rPr>
    </w:lvl>
    <w:lvl w:ilvl="8" w:tplc="D14027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4B40E8"/>
    <w:multiLevelType w:val="multilevel"/>
    <w:tmpl w:val="DFA8F0D8"/>
    <w:lvl w:ilvl="0">
      <w:start w:val="1"/>
      <w:numFmt w:val="bullet"/>
      <w:lvlText w:val=""/>
      <w:lvlJc w:val="left"/>
      <w:pPr>
        <w:tabs>
          <w:tab w:val="num" w:pos="1135"/>
        </w:tabs>
        <w:ind w:left="568"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503E52"/>
    <w:multiLevelType w:val="hybridMultilevel"/>
    <w:tmpl w:val="42287704"/>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
  </w:num>
  <w:num w:numId="6">
    <w:abstractNumId w:val="6"/>
  </w:num>
  <w:num w:numId="7">
    <w:abstractNumId w:val="8"/>
  </w:num>
  <w:num w:numId="8">
    <w:abstractNumId w:val="3"/>
  </w:num>
  <w:num w:numId="9">
    <w:abstractNumId w:val="5"/>
  </w:num>
  <w:num w:numId="10">
    <w:abstractNumId w:val="1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0"/>
  </w:num>
  <w:num w:numId="23">
    <w:abstractNumId w:val="2"/>
  </w:num>
  <w:num w:numId="24">
    <w:abstractNumId w:val="1"/>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FD"/>
    <w:rsid w:val="00022FE6"/>
    <w:rsid w:val="00040F15"/>
    <w:rsid w:val="00043CAA"/>
    <w:rsid w:val="00061B6F"/>
    <w:rsid w:val="000729C0"/>
    <w:rsid w:val="00075432"/>
    <w:rsid w:val="0007551D"/>
    <w:rsid w:val="00084C62"/>
    <w:rsid w:val="000968ED"/>
    <w:rsid w:val="000A28BC"/>
    <w:rsid w:val="000D1B95"/>
    <w:rsid w:val="000D4891"/>
    <w:rsid w:val="000F5E56"/>
    <w:rsid w:val="001362EE"/>
    <w:rsid w:val="00162DDB"/>
    <w:rsid w:val="001647D5"/>
    <w:rsid w:val="0017241D"/>
    <w:rsid w:val="001832A6"/>
    <w:rsid w:val="001A54DB"/>
    <w:rsid w:val="001B630C"/>
    <w:rsid w:val="001D386E"/>
    <w:rsid w:val="001E5898"/>
    <w:rsid w:val="001F0A15"/>
    <w:rsid w:val="001F34D7"/>
    <w:rsid w:val="00206E39"/>
    <w:rsid w:val="0021217E"/>
    <w:rsid w:val="00234DDD"/>
    <w:rsid w:val="0024594E"/>
    <w:rsid w:val="00255386"/>
    <w:rsid w:val="002634C4"/>
    <w:rsid w:val="002770B7"/>
    <w:rsid w:val="002928D3"/>
    <w:rsid w:val="002A7F03"/>
    <w:rsid w:val="002B38FA"/>
    <w:rsid w:val="002D15C6"/>
    <w:rsid w:val="002F1FE6"/>
    <w:rsid w:val="002F4E68"/>
    <w:rsid w:val="002F7E14"/>
    <w:rsid w:val="00305DF5"/>
    <w:rsid w:val="00312F7F"/>
    <w:rsid w:val="00325D8B"/>
    <w:rsid w:val="003400F1"/>
    <w:rsid w:val="00361450"/>
    <w:rsid w:val="003673CF"/>
    <w:rsid w:val="003770CC"/>
    <w:rsid w:val="003845C1"/>
    <w:rsid w:val="003A0997"/>
    <w:rsid w:val="003A6F89"/>
    <w:rsid w:val="003B235F"/>
    <w:rsid w:val="003B38C1"/>
    <w:rsid w:val="003C0B76"/>
    <w:rsid w:val="00417F74"/>
    <w:rsid w:val="00423E3E"/>
    <w:rsid w:val="00426406"/>
    <w:rsid w:val="00427894"/>
    <w:rsid w:val="00427AF4"/>
    <w:rsid w:val="004647DA"/>
    <w:rsid w:val="00474062"/>
    <w:rsid w:val="00477D6B"/>
    <w:rsid w:val="00482EAD"/>
    <w:rsid w:val="004869BC"/>
    <w:rsid w:val="004A5DBE"/>
    <w:rsid w:val="004A7457"/>
    <w:rsid w:val="004B21BC"/>
    <w:rsid w:val="004B5380"/>
    <w:rsid w:val="004C21C7"/>
    <w:rsid w:val="004D22D1"/>
    <w:rsid w:val="005019FF"/>
    <w:rsid w:val="0051627F"/>
    <w:rsid w:val="0053057A"/>
    <w:rsid w:val="00531F28"/>
    <w:rsid w:val="005422A8"/>
    <w:rsid w:val="00551060"/>
    <w:rsid w:val="00560A29"/>
    <w:rsid w:val="0056718B"/>
    <w:rsid w:val="005C6649"/>
    <w:rsid w:val="005E46FD"/>
    <w:rsid w:val="00605827"/>
    <w:rsid w:val="006459EC"/>
    <w:rsid w:val="00646050"/>
    <w:rsid w:val="00654ECB"/>
    <w:rsid w:val="006713CA"/>
    <w:rsid w:val="00675F59"/>
    <w:rsid w:val="00676C5C"/>
    <w:rsid w:val="0068209E"/>
    <w:rsid w:val="00694C35"/>
    <w:rsid w:val="006A2411"/>
    <w:rsid w:val="006A4106"/>
    <w:rsid w:val="006D59B0"/>
    <w:rsid w:val="00713B4E"/>
    <w:rsid w:val="00714BC4"/>
    <w:rsid w:val="00747915"/>
    <w:rsid w:val="007617A9"/>
    <w:rsid w:val="007658B3"/>
    <w:rsid w:val="0077073C"/>
    <w:rsid w:val="00783A09"/>
    <w:rsid w:val="00786948"/>
    <w:rsid w:val="00797285"/>
    <w:rsid w:val="007A509C"/>
    <w:rsid w:val="007D1613"/>
    <w:rsid w:val="007E0FFD"/>
    <w:rsid w:val="007E4C0E"/>
    <w:rsid w:val="008120CC"/>
    <w:rsid w:val="00823E7E"/>
    <w:rsid w:val="008A134B"/>
    <w:rsid w:val="008B2CC1"/>
    <w:rsid w:val="008B60B2"/>
    <w:rsid w:val="008C0ABC"/>
    <w:rsid w:val="008C2A33"/>
    <w:rsid w:val="0090731E"/>
    <w:rsid w:val="00916EE2"/>
    <w:rsid w:val="00922F68"/>
    <w:rsid w:val="009403EA"/>
    <w:rsid w:val="00966A22"/>
    <w:rsid w:val="0096722F"/>
    <w:rsid w:val="00972DAE"/>
    <w:rsid w:val="00980843"/>
    <w:rsid w:val="00994B9C"/>
    <w:rsid w:val="009A04B9"/>
    <w:rsid w:val="009A0DB4"/>
    <w:rsid w:val="009A3533"/>
    <w:rsid w:val="009A7D22"/>
    <w:rsid w:val="009B758F"/>
    <w:rsid w:val="009C7DB0"/>
    <w:rsid w:val="009D79EA"/>
    <w:rsid w:val="009E2791"/>
    <w:rsid w:val="009E3F6F"/>
    <w:rsid w:val="009E5AB2"/>
    <w:rsid w:val="009E7460"/>
    <w:rsid w:val="009F499F"/>
    <w:rsid w:val="00A1205E"/>
    <w:rsid w:val="00A37342"/>
    <w:rsid w:val="00A42DAF"/>
    <w:rsid w:val="00A45BD8"/>
    <w:rsid w:val="00A7681C"/>
    <w:rsid w:val="00A869B7"/>
    <w:rsid w:val="00A9569F"/>
    <w:rsid w:val="00AB56BF"/>
    <w:rsid w:val="00AC205C"/>
    <w:rsid w:val="00AD187C"/>
    <w:rsid w:val="00AD681C"/>
    <w:rsid w:val="00AF0A6B"/>
    <w:rsid w:val="00AF7FD0"/>
    <w:rsid w:val="00B033D3"/>
    <w:rsid w:val="00B05A69"/>
    <w:rsid w:val="00B56BEB"/>
    <w:rsid w:val="00B65E63"/>
    <w:rsid w:val="00B932FA"/>
    <w:rsid w:val="00B9645B"/>
    <w:rsid w:val="00B9734B"/>
    <w:rsid w:val="00BA30E2"/>
    <w:rsid w:val="00BC56FE"/>
    <w:rsid w:val="00BD06FC"/>
    <w:rsid w:val="00BD2CB3"/>
    <w:rsid w:val="00C0065B"/>
    <w:rsid w:val="00C06878"/>
    <w:rsid w:val="00C11BFE"/>
    <w:rsid w:val="00C222B9"/>
    <w:rsid w:val="00C3403F"/>
    <w:rsid w:val="00C4387E"/>
    <w:rsid w:val="00C5068F"/>
    <w:rsid w:val="00C51F13"/>
    <w:rsid w:val="00C86D74"/>
    <w:rsid w:val="00CA21E0"/>
    <w:rsid w:val="00CA2395"/>
    <w:rsid w:val="00CA6573"/>
    <w:rsid w:val="00CB2DA2"/>
    <w:rsid w:val="00CD04F1"/>
    <w:rsid w:val="00CD59F2"/>
    <w:rsid w:val="00D054A3"/>
    <w:rsid w:val="00D3124F"/>
    <w:rsid w:val="00D45252"/>
    <w:rsid w:val="00D71B4D"/>
    <w:rsid w:val="00D74267"/>
    <w:rsid w:val="00D93D55"/>
    <w:rsid w:val="00DF49AE"/>
    <w:rsid w:val="00E15015"/>
    <w:rsid w:val="00E26CF4"/>
    <w:rsid w:val="00E335FE"/>
    <w:rsid w:val="00E52FFC"/>
    <w:rsid w:val="00E61AE2"/>
    <w:rsid w:val="00EA7D6E"/>
    <w:rsid w:val="00EB7B20"/>
    <w:rsid w:val="00EC4E49"/>
    <w:rsid w:val="00ED46C2"/>
    <w:rsid w:val="00ED77FB"/>
    <w:rsid w:val="00EE45FA"/>
    <w:rsid w:val="00F05590"/>
    <w:rsid w:val="00F53025"/>
    <w:rsid w:val="00F66152"/>
    <w:rsid w:val="00F956E6"/>
    <w:rsid w:val="00FA4397"/>
    <w:rsid w:val="00FC03C4"/>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3AC1D53"/>
  <w15:docId w15:val="{3A5C24A9-FFF8-4A08-AF5A-6435E80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basedOn w:val="DefaultParagraphFont"/>
    <w:link w:val="ONUME"/>
    <w:rsid w:val="00255386"/>
    <w:rPr>
      <w:rFonts w:ascii="Arial" w:eastAsia="SimSun" w:hAnsi="Arial" w:cs="Arial"/>
      <w:sz w:val="22"/>
      <w:lang w:val="en-US" w:eastAsia="zh-CN"/>
    </w:rPr>
  </w:style>
  <w:style w:type="character" w:customStyle="1" w:styleId="BodyTextChar">
    <w:name w:val="Body Text Char"/>
    <w:basedOn w:val="DefaultParagraphFont"/>
    <w:link w:val="BodyText"/>
    <w:rsid w:val="00255386"/>
    <w:rPr>
      <w:rFonts w:ascii="Arial" w:eastAsia="SimSun" w:hAnsi="Arial" w:cs="Arial"/>
      <w:sz w:val="22"/>
      <w:lang w:val="en-US" w:eastAsia="zh-CN"/>
    </w:rPr>
  </w:style>
  <w:style w:type="character" w:styleId="CommentReference">
    <w:name w:val="annotation reference"/>
    <w:basedOn w:val="DefaultParagraphFont"/>
    <w:semiHidden/>
    <w:unhideWhenUsed/>
    <w:rsid w:val="007A509C"/>
    <w:rPr>
      <w:sz w:val="16"/>
      <w:szCs w:val="16"/>
    </w:rPr>
  </w:style>
  <w:style w:type="paragraph" w:styleId="CommentSubject">
    <w:name w:val="annotation subject"/>
    <w:basedOn w:val="CommentText"/>
    <w:next w:val="CommentText"/>
    <w:link w:val="CommentSubjectChar"/>
    <w:semiHidden/>
    <w:unhideWhenUsed/>
    <w:rsid w:val="007A509C"/>
    <w:rPr>
      <w:b/>
      <w:bCs/>
      <w:sz w:val="20"/>
    </w:rPr>
  </w:style>
  <w:style w:type="character" w:customStyle="1" w:styleId="CommentTextChar">
    <w:name w:val="Comment Text Char"/>
    <w:basedOn w:val="DefaultParagraphFont"/>
    <w:link w:val="CommentText"/>
    <w:semiHidden/>
    <w:rsid w:val="007A509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A509C"/>
    <w:rPr>
      <w:rFonts w:ascii="Arial" w:eastAsia="SimSun" w:hAnsi="Arial" w:cs="Arial"/>
      <w:b/>
      <w:bCs/>
      <w:sz w:val="18"/>
      <w:lang w:val="en-US" w:eastAsia="zh-CN"/>
    </w:rPr>
  </w:style>
  <w:style w:type="paragraph" w:styleId="ListParagraph">
    <w:name w:val="List Paragraph"/>
    <w:basedOn w:val="Normal"/>
    <w:qFormat/>
    <w:rsid w:val="00922F68"/>
    <w:pPr>
      <w:ind w:left="720"/>
      <w:contextualSpacing/>
    </w:pPr>
  </w:style>
  <w:style w:type="paragraph" w:styleId="Revision">
    <w:name w:val="Revision"/>
    <w:hidden/>
    <w:uiPriority w:val="99"/>
    <w:semiHidden/>
    <w:rsid w:val="00D054A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2075152994">
      <w:bodyDiv w:val="1"/>
      <w:marLeft w:val="0"/>
      <w:marRight w:val="0"/>
      <w:marTop w:val="0"/>
      <w:marBottom w:val="0"/>
      <w:divBdr>
        <w:top w:val="none" w:sz="0" w:space="0" w:color="auto"/>
        <w:left w:val="none" w:sz="0" w:space="0" w:color="auto"/>
        <w:bottom w:val="none" w:sz="0" w:space="0" w:color="auto"/>
        <w:right w:val="none" w:sz="0" w:space="0" w:color="auto"/>
      </w:divBdr>
      <w:divsChild>
        <w:div w:id="1720203472">
          <w:marLeft w:val="360"/>
          <w:marRight w:val="0"/>
          <w:marTop w:val="200"/>
          <w:marBottom w:val="240"/>
          <w:divBdr>
            <w:top w:val="none" w:sz="0" w:space="0" w:color="auto"/>
            <w:left w:val="none" w:sz="0" w:space="0" w:color="auto"/>
            <w:bottom w:val="none" w:sz="0" w:space="0" w:color="auto"/>
            <w:right w:val="none" w:sz="0" w:space="0" w:color="auto"/>
          </w:divBdr>
        </w:div>
        <w:div w:id="312759165">
          <w:marLeft w:val="360"/>
          <w:marRight w:val="0"/>
          <w:marTop w:val="200"/>
          <w:marBottom w:val="240"/>
          <w:divBdr>
            <w:top w:val="none" w:sz="0" w:space="0" w:color="auto"/>
            <w:left w:val="none" w:sz="0" w:space="0" w:color="auto"/>
            <w:bottom w:val="none" w:sz="0" w:space="0" w:color="auto"/>
            <w:right w:val="none" w:sz="0" w:space="0" w:color="auto"/>
          </w:divBdr>
        </w:div>
        <w:div w:id="526792871">
          <w:marLeft w:val="360"/>
          <w:marRight w:val="0"/>
          <w:marTop w:val="200"/>
          <w:marBottom w:val="240"/>
          <w:divBdr>
            <w:top w:val="none" w:sz="0" w:space="0" w:color="auto"/>
            <w:left w:val="none" w:sz="0" w:space="0" w:color="auto"/>
            <w:bottom w:val="none" w:sz="0" w:space="0" w:color="auto"/>
            <w:right w:val="none" w:sz="0" w:space="0" w:color="auto"/>
          </w:divBdr>
        </w:div>
        <w:div w:id="1278488196">
          <w:marLeft w:val="360"/>
          <w:marRight w:val="0"/>
          <w:marTop w:val="200"/>
          <w:marBottom w:val="240"/>
          <w:divBdr>
            <w:top w:val="none" w:sz="0" w:space="0" w:color="auto"/>
            <w:left w:val="none" w:sz="0" w:space="0" w:color="auto"/>
            <w:bottom w:val="none" w:sz="0" w:space="0" w:color="auto"/>
            <w:right w:val="none" w:sz="0" w:space="0" w:color="auto"/>
          </w:divBdr>
        </w:div>
        <w:div w:id="1377966055">
          <w:marLeft w:val="360"/>
          <w:marRight w:val="0"/>
          <w:marTop w:val="20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5050-E09A-405D-8D2E-CEA18936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11340</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CWS/7/11 (in Spanish)</vt:lpstr>
    </vt:vector>
  </TitlesOfParts>
  <Company>WIPO</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CWS/7/11 (in Spanish)</dc:title>
  <dc:subject>INFORME SOBRE LA TAREA N. 47</dc:subject>
  <dc:creator>WIPO</dc:creator>
  <cp:keywords>CWS, WIPO</cp:keywords>
  <cp:lastModifiedBy>DRAKE Sophie</cp:lastModifiedBy>
  <cp:revision>5</cp:revision>
  <cp:lastPrinted>2019-06-05T13:22:00Z</cp:lastPrinted>
  <dcterms:created xsi:type="dcterms:W3CDTF">2019-06-05T13:56:00Z</dcterms:created>
  <dcterms:modified xsi:type="dcterms:W3CDTF">2019-06-11T10:26:00Z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