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7F1FA8" w:rsidTr="0088395E">
        <w:tc>
          <w:tcPr>
            <w:tcW w:w="4513" w:type="dxa"/>
            <w:tcBorders>
              <w:bottom w:val="single" w:sz="4" w:space="0" w:color="auto"/>
            </w:tcBorders>
            <w:tcMar>
              <w:bottom w:w="170" w:type="dxa"/>
            </w:tcMar>
          </w:tcPr>
          <w:p w:rsidR="00E504E5" w:rsidRPr="007F1FA8" w:rsidRDefault="00E504E5" w:rsidP="00AB613D"/>
        </w:tc>
        <w:tc>
          <w:tcPr>
            <w:tcW w:w="4337" w:type="dxa"/>
            <w:tcBorders>
              <w:bottom w:val="single" w:sz="4" w:space="0" w:color="auto"/>
            </w:tcBorders>
            <w:tcMar>
              <w:left w:w="0" w:type="dxa"/>
              <w:right w:w="0" w:type="dxa"/>
            </w:tcMar>
          </w:tcPr>
          <w:p w:rsidR="00E504E5" w:rsidRPr="007F1FA8" w:rsidRDefault="002C2E2F" w:rsidP="00AB613D">
            <w:r w:rsidRPr="007F1FA8">
              <w:rPr>
                <w:noProof/>
                <w:lang w:val="en-US" w:eastAsia="en-US"/>
              </w:rPr>
              <w:drawing>
                <wp:inline distT="0" distB="0" distL="0" distR="0" wp14:anchorId="588CCB01" wp14:editId="2C54D75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F1FA8" w:rsidRDefault="00E504E5" w:rsidP="00AB613D">
            <w:pPr>
              <w:jc w:val="right"/>
            </w:pPr>
            <w:r w:rsidRPr="007F1FA8">
              <w:rPr>
                <w:b/>
                <w:bCs/>
                <w:sz w:val="40"/>
                <w:szCs w:val="40"/>
              </w:rPr>
              <w:t>S</w:t>
            </w:r>
          </w:p>
        </w:tc>
      </w:tr>
      <w:tr w:rsidR="008B2CC1" w:rsidRPr="007F1FA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7F1FA8" w:rsidRDefault="00B8095C" w:rsidP="00713F5B">
            <w:pPr>
              <w:jc w:val="right"/>
              <w:rPr>
                <w:rFonts w:ascii="Arial Black" w:hAnsi="Arial Black"/>
                <w:caps/>
                <w:sz w:val="15"/>
              </w:rPr>
            </w:pPr>
            <w:r w:rsidRPr="007F1FA8">
              <w:rPr>
                <w:rFonts w:ascii="Arial Black" w:hAnsi="Arial Black"/>
                <w:caps/>
                <w:sz w:val="15"/>
              </w:rPr>
              <w:t>CWS/6/</w:t>
            </w:r>
            <w:bookmarkStart w:id="0" w:name="Code"/>
            <w:bookmarkEnd w:id="0"/>
            <w:r w:rsidR="00713F5B">
              <w:rPr>
                <w:rFonts w:ascii="Arial Black" w:hAnsi="Arial Black"/>
                <w:caps/>
                <w:sz w:val="15"/>
              </w:rPr>
              <w:t>6 CORR.</w:t>
            </w:r>
          </w:p>
        </w:tc>
      </w:tr>
      <w:tr w:rsidR="008B2CC1" w:rsidRPr="007F1FA8" w:rsidTr="00AB613D">
        <w:trPr>
          <w:trHeight w:hRule="exact" w:val="170"/>
        </w:trPr>
        <w:tc>
          <w:tcPr>
            <w:tcW w:w="9356" w:type="dxa"/>
            <w:gridSpan w:val="3"/>
            <w:noWrap/>
            <w:tcMar>
              <w:left w:w="0" w:type="dxa"/>
              <w:right w:w="0" w:type="dxa"/>
            </w:tcMar>
            <w:vAlign w:val="bottom"/>
          </w:tcPr>
          <w:p w:rsidR="008B2CC1" w:rsidRPr="007F1FA8" w:rsidRDefault="008B2CC1" w:rsidP="0046793F">
            <w:pPr>
              <w:jc w:val="right"/>
              <w:rPr>
                <w:rFonts w:ascii="Arial Black" w:hAnsi="Arial Black"/>
                <w:caps/>
                <w:sz w:val="15"/>
              </w:rPr>
            </w:pPr>
            <w:r w:rsidRPr="007F1FA8">
              <w:rPr>
                <w:rFonts w:ascii="Arial Black" w:hAnsi="Arial Black"/>
                <w:caps/>
                <w:sz w:val="15"/>
              </w:rPr>
              <w:t xml:space="preserve">ORIGINAL: </w:t>
            </w:r>
            <w:bookmarkStart w:id="1" w:name="Original"/>
            <w:bookmarkEnd w:id="1"/>
            <w:r w:rsidRPr="007F1FA8">
              <w:rPr>
                <w:rFonts w:ascii="Arial Black" w:hAnsi="Arial Black"/>
                <w:caps/>
                <w:sz w:val="15"/>
              </w:rPr>
              <w:t xml:space="preserve">INGLÉS </w:t>
            </w:r>
          </w:p>
        </w:tc>
      </w:tr>
      <w:tr w:rsidR="008B2CC1" w:rsidRPr="007F1FA8" w:rsidTr="00AB613D">
        <w:trPr>
          <w:trHeight w:hRule="exact" w:val="198"/>
        </w:trPr>
        <w:tc>
          <w:tcPr>
            <w:tcW w:w="9356" w:type="dxa"/>
            <w:gridSpan w:val="3"/>
            <w:tcMar>
              <w:left w:w="0" w:type="dxa"/>
              <w:right w:w="0" w:type="dxa"/>
            </w:tcMar>
            <w:vAlign w:val="bottom"/>
          </w:tcPr>
          <w:p w:rsidR="008B2CC1" w:rsidRPr="007F1FA8" w:rsidRDefault="00675021" w:rsidP="0046793F">
            <w:pPr>
              <w:jc w:val="right"/>
              <w:rPr>
                <w:rFonts w:ascii="Arial Black" w:hAnsi="Arial Black"/>
                <w:caps/>
                <w:sz w:val="15"/>
              </w:rPr>
            </w:pPr>
            <w:r w:rsidRPr="007F1FA8">
              <w:rPr>
                <w:rFonts w:ascii="Arial Black" w:hAnsi="Arial Black"/>
                <w:caps/>
                <w:sz w:val="15"/>
              </w:rPr>
              <w:t xml:space="preserve">fecha: </w:t>
            </w:r>
            <w:bookmarkStart w:id="2" w:name="Date"/>
            <w:bookmarkEnd w:id="2"/>
            <w:r w:rsidRPr="007F1FA8">
              <w:rPr>
                <w:rFonts w:ascii="Arial Black" w:hAnsi="Arial Black"/>
                <w:caps/>
                <w:sz w:val="15"/>
              </w:rPr>
              <w:t xml:space="preserve">14 DE SEPTIEMBRE DE 2018 </w:t>
            </w:r>
          </w:p>
        </w:tc>
      </w:tr>
    </w:tbl>
    <w:p w:rsidR="008B2CC1" w:rsidRPr="007F1FA8" w:rsidRDefault="008B2CC1" w:rsidP="008B2CC1"/>
    <w:p w:rsidR="008B2CC1" w:rsidRPr="007F1FA8" w:rsidRDefault="008B2CC1" w:rsidP="008B2CC1"/>
    <w:p w:rsidR="008B2CC1" w:rsidRPr="007F1FA8" w:rsidRDefault="008B2CC1" w:rsidP="008B2CC1"/>
    <w:p w:rsidR="008B2CC1" w:rsidRPr="007F1FA8" w:rsidRDefault="008B2CC1" w:rsidP="008B2CC1"/>
    <w:p w:rsidR="008B2CC1" w:rsidRPr="007F1FA8" w:rsidRDefault="008B2CC1" w:rsidP="008B2CC1"/>
    <w:p w:rsidR="00B67CDC" w:rsidRPr="007F1FA8" w:rsidRDefault="00B8095C" w:rsidP="00B67CDC">
      <w:pPr>
        <w:rPr>
          <w:b/>
          <w:sz w:val="28"/>
          <w:szCs w:val="28"/>
        </w:rPr>
      </w:pPr>
      <w:r w:rsidRPr="007F1FA8">
        <w:rPr>
          <w:b/>
          <w:bCs/>
          <w:sz w:val="28"/>
          <w:szCs w:val="28"/>
        </w:rPr>
        <w:t>Comité de Normas Técnicas de la OMPI (CWS)</w:t>
      </w:r>
    </w:p>
    <w:p w:rsidR="003845C1" w:rsidRPr="007F1FA8" w:rsidRDefault="003845C1" w:rsidP="003845C1"/>
    <w:p w:rsidR="003845C1" w:rsidRPr="007F1FA8" w:rsidRDefault="003845C1" w:rsidP="003845C1"/>
    <w:p w:rsidR="00B8095C" w:rsidRPr="007F1FA8" w:rsidRDefault="00B8095C" w:rsidP="00B8095C">
      <w:pPr>
        <w:rPr>
          <w:b/>
          <w:sz w:val="24"/>
          <w:szCs w:val="24"/>
        </w:rPr>
      </w:pPr>
      <w:r w:rsidRPr="007F1FA8">
        <w:rPr>
          <w:b/>
          <w:bCs/>
          <w:sz w:val="24"/>
          <w:szCs w:val="24"/>
        </w:rPr>
        <w:t>Sexta sesión</w:t>
      </w:r>
    </w:p>
    <w:p w:rsidR="00B67CDC" w:rsidRPr="007F1FA8" w:rsidRDefault="002D7E2D" w:rsidP="00B8095C">
      <w:pPr>
        <w:rPr>
          <w:b/>
          <w:sz w:val="24"/>
          <w:szCs w:val="24"/>
        </w:rPr>
      </w:pPr>
      <w:r w:rsidRPr="007F1FA8">
        <w:rPr>
          <w:b/>
          <w:bCs/>
          <w:sz w:val="24"/>
          <w:szCs w:val="24"/>
        </w:rPr>
        <w:t>Ginebra, 15 a 19 de octubre de 2018</w:t>
      </w:r>
    </w:p>
    <w:p w:rsidR="008B2CC1" w:rsidRPr="007F1FA8" w:rsidRDefault="008B2CC1" w:rsidP="008B2CC1"/>
    <w:p w:rsidR="008B2CC1" w:rsidRPr="007F1FA8" w:rsidRDefault="008B2CC1" w:rsidP="008B2CC1"/>
    <w:p w:rsidR="008B2CC1" w:rsidRPr="007F1FA8" w:rsidRDefault="008B2CC1" w:rsidP="008B2CC1"/>
    <w:p w:rsidR="006F78F6" w:rsidRPr="007F1FA8" w:rsidRDefault="006F78F6" w:rsidP="006F78F6">
      <w:pPr>
        <w:rPr>
          <w:caps/>
          <w:sz w:val="24"/>
        </w:rPr>
      </w:pPr>
      <w:bookmarkStart w:id="3" w:name="TitleOfDoc"/>
      <w:bookmarkEnd w:id="3"/>
      <w:r w:rsidRPr="007F1FA8">
        <w:rPr>
          <w:caps/>
          <w:sz w:val="24"/>
        </w:rPr>
        <w:t>Nueva norma técnica de la OMPI sobre API web</w:t>
      </w:r>
    </w:p>
    <w:p w:rsidR="006F78F6" w:rsidRPr="007F1FA8" w:rsidRDefault="006F78F6" w:rsidP="006F78F6">
      <w:pPr>
        <w:rPr>
          <w:caps/>
          <w:sz w:val="24"/>
        </w:rPr>
      </w:pPr>
    </w:p>
    <w:p w:rsidR="006F78F6" w:rsidRPr="007F1FA8" w:rsidRDefault="006F78F6" w:rsidP="006F78F6">
      <w:pPr>
        <w:rPr>
          <w:i/>
          <w:caps/>
        </w:rPr>
      </w:pPr>
      <w:r w:rsidRPr="007F1FA8">
        <w:rPr>
          <w:i/>
          <w:iCs/>
        </w:rPr>
        <w:t>Documento preparado por la Oficina Internacional</w:t>
      </w:r>
    </w:p>
    <w:p w:rsidR="006F78F6" w:rsidRPr="007F1FA8" w:rsidRDefault="006F78F6" w:rsidP="006F78F6">
      <w:pPr>
        <w:rPr>
          <w:szCs w:val="22"/>
        </w:rPr>
      </w:pPr>
    </w:p>
    <w:p w:rsidR="006F78F6" w:rsidRPr="007F1FA8" w:rsidRDefault="006F78F6" w:rsidP="006F78F6">
      <w:pPr>
        <w:rPr>
          <w:szCs w:val="22"/>
        </w:rPr>
      </w:pPr>
    </w:p>
    <w:p w:rsidR="006F78F6" w:rsidRPr="007F1FA8" w:rsidRDefault="006F78F6" w:rsidP="006F78F6">
      <w:pPr>
        <w:rPr>
          <w:szCs w:val="22"/>
        </w:rPr>
      </w:pPr>
    </w:p>
    <w:p w:rsidR="006F78F6" w:rsidRPr="007F1FA8" w:rsidRDefault="006F78F6" w:rsidP="006F78F6">
      <w:pPr>
        <w:rPr>
          <w:szCs w:val="22"/>
        </w:rPr>
      </w:pPr>
    </w:p>
    <w:p w:rsidR="006F78F6" w:rsidRPr="007F1FA8" w:rsidRDefault="006F78F6" w:rsidP="006F78F6">
      <w:pPr>
        <w:rPr>
          <w:szCs w:val="22"/>
        </w:rPr>
      </w:pPr>
    </w:p>
    <w:p w:rsidR="006F78F6" w:rsidRPr="007F1FA8" w:rsidRDefault="006F78F6" w:rsidP="006F78F6">
      <w:pPr>
        <w:pStyle w:val="Heading2"/>
      </w:pPr>
      <w:r w:rsidRPr="007F1FA8">
        <w:rPr>
          <w:bCs w:val="0"/>
          <w:iCs w:val="0"/>
          <w:caps w:val="0"/>
        </w:rPr>
        <w:t>INTRODUCCIÓN</w:t>
      </w:r>
    </w:p>
    <w:p w:rsidR="006F78F6" w:rsidRPr="007F1FA8" w:rsidRDefault="006F78F6" w:rsidP="006F78F6">
      <w:pPr>
        <w:rPr>
          <w:rFonts w:eastAsia="Malgun Gothic"/>
        </w:rPr>
      </w:pPr>
      <w:r w:rsidRPr="007F1FA8">
        <w:fldChar w:fldCharType="begin"/>
      </w:r>
      <w:r w:rsidRPr="007F1FA8">
        <w:instrText xml:space="preserve"> AUTONUM  </w:instrText>
      </w:r>
      <w:r w:rsidRPr="007F1FA8">
        <w:fldChar w:fldCharType="end"/>
      </w:r>
      <w:r w:rsidRPr="007F1FA8">
        <w:tab/>
        <w:t>En su quinta sesión, celebrada del 29 de mayo al 2 de junio de 2017, el Comité de Normas Técnicas de la OMPI (CWS) analizó la necesidad de elaborar recomendaciones relativas a servicios web en materia de información y documentación de PI sobre la base de los resultados de los debates celebrados por el Equipo Técnico XML4IP. Varias delegaciones compartieron su experiencia y difundieron sus planes en relación con los servicios de Internet</w:t>
      </w:r>
      <w:r w:rsidR="00AB60AB" w:rsidRPr="007F1FA8">
        <w:t xml:space="preserve">. </w:t>
      </w:r>
      <w:r w:rsidRPr="007F1FA8">
        <w:t>(Véanse los párrafos 89 y 90 del documento CWS/5/22).</w:t>
      </w:r>
    </w:p>
    <w:p w:rsidR="006F78F6" w:rsidRPr="007F1FA8" w:rsidRDefault="006F78F6" w:rsidP="006F78F6">
      <w:pPr>
        <w:rPr>
          <w:rFonts w:eastAsia="Malgun Gothic"/>
        </w:rPr>
      </w:pPr>
    </w:p>
    <w:p w:rsidR="006F78F6" w:rsidRPr="007F1FA8" w:rsidRDefault="006F78F6" w:rsidP="00AB60AB">
      <w:pPr>
        <w:pStyle w:val="ONUME"/>
        <w:numPr>
          <w:ilvl w:val="0"/>
          <w:numId w:val="0"/>
        </w:numPr>
      </w:pPr>
      <w:r w:rsidRPr="007F1FA8">
        <w:fldChar w:fldCharType="begin"/>
      </w:r>
      <w:r w:rsidRPr="007F1FA8">
        <w:instrText xml:space="preserve"> AUTONUM  </w:instrText>
      </w:r>
      <w:r w:rsidRPr="007F1FA8">
        <w:fldChar w:fldCharType="end"/>
      </w:r>
      <w:r w:rsidRPr="007F1FA8">
        <w:tab/>
        <w:t>En la reunión, el CWS acordó crear la Tarea N.º 56, cuya descripción se reproduce a continuación, y asignó la nueva Tarea N.º 56 al Equipo Técnico XML4IP:</w:t>
      </w:r>
    </w:p>
    <w:p w:rsidR="006F78F6" w:rsidRPr="007F1FA8" w:rsidRDefault="006F78F6" w:rsidP="00AB60AB">
      <w:pPr>
        <w:pStyle w:val="ONUME"/>
        <w:numPr>
          <w:ilvl w:val="0"/>
          <w:numId w:val="0"/>
        </w:numPr>
        <w:ind w:left="567"/>
      </w:pPr>
      <w:r w:rsidRPr="007F1FA8">
        <w:t>“</w:t>
      </w:r>
      <w:r w:rsidR="00AB60AB" w:rsidRPr="007F1FA8">
        <w:t>E</w:t>
      </w:r>
      <w:r w:rsidRPr="007F1FA8">
        <w:t>laborar recomendaciones relativas al intercambio de datos que faciliten la comunicación entre máquinas y se centren en:</w:t>
      </w:r>
    </w:p>
    <w:p w:rsidR="006F78F6" w:rsidRPr="007F1FA8" w:rsidRDefault="006F78F6" w:rsidP="006F78F6">
      <w:pPr>
        <w:pStyle w:val="ONUME"/>
        <w:numPr>
          <w:ilvl w:val="0"/>
          <w:numId w:val="7"/>
        </w:numPr>
      </w:pPr>
      <w:r w:rsidRPr="007F1FA8">
        <w:t xml:space="preserve">el formato de los mensajes, la estructura de datos y el diccionario de datos en </w:t>
      </w:r>
      <w:r w:rsidRPr="007F1FA8">
        <w:rPr>
          <w:i/>
          <w:iCs/>
        </w:rPr>
        <w:t>JavaScript Object Notation</w:t>
      </w:r>
      <w:r w:rsidRPr="007F1FA8">
        <w:t xml:space="preserve"> (JSON) y/o en XML; y</w:t>
      </w:r>
    </w:p>
    <w:p w:rsidR="006F78F6" w:rsidRPr="007F1FA8" w:rsidRDefault="006F78F6" w:rsidP="006F78F6">
      <w:pPr>
        <w:pStyle w:val="ONUME"/>
        <w:numPr>
          <w:ilvl w:val="0"/>
          <w:numId w:val="7"/>
        </w:numPr>
        <w:rPr>
          <w:rFonts w:eastAsia="Batang"/>
        </w:rPr>
      </w:pPr>
      <w:r w:rsidRPr="007F1FA8">
        <w:t>las convenciones de denominación para el Identificador Uniforme de Recursos (URI)</w:t>
      </w:r>
      <w:r w:rsidR="00AB60AB" w:rsidRPr="007F1FA8">
        <w:t>.</w:t>
      </w:r>
      <w:r w:rsidRPr="007F1FA8">
        <w:t>”</w:t>
      </w:r>
    </w:p>
    <w:p w:rsidR="00B22579" w:rsidRDefault="006F78F6" w:rsidP="006F78F6">
      <w:r w:rsidRPr="007F1FA8">
        <w:t>(Véanse los párrafos 91 y 93 del documento CWS/5/22).</w:t>
      </w:r>
      <w:r w:rsidR="00B22579">
        <w:br w:type="page"/>
      </w:r>
    </w:p>
    <w:p w:rsidR="006F78F6" w:rsidRPr="007F1FA8" w:rsidRDefault="006F78F6" w:rsidP="00AB60AB">
      <w:pPr>
        <w:pStyle w:val="ONUME"/>
        <w:numPr>
          <w:ilvl w:val="0"/>
          <w:numId w:val="0"/>
        </w:numPr>
        <w:rPr>
          <w:rFonts w:eastAsiaTheme="minorHAnsi"/>
          <w:szCs w:val="22"/>
        </w:rPr>
      </w:pPr>
      <w:r w:rsidRPr="007F1FA8">
        <w:lastRenderedPageBreak/>
        <w:fldChar w:fldCharType="begin"/>
      </w:r>
      <w:r w:rsidRPr="007F1FA8">
        <w:instrText xml:space="preserve"> AUTONUM  </w:instrText>
      </w:r>
      <w:r w:rsidRPr="007F1FA8">
        <w:fldChar w:fldCharType="end"/>
      </w:r>
      <w:r w:rsidRPr="007F1FA8">
        <w:tab/>
        <w:t>La Oficina Internacional de la OMPI organizó la Reunión de Oficinas de Propiedad Intelectual sobre Estrategias de TIC e Inteligencia Artificial para la Administración de la Propiedad Intelectual, que se celebró en mayo de 2018</w:t>
      </w:r>
      <w:r w:rsidR="00AB60AB" w:rsidRPr="007F1FA8">
        <w:t xml:space="preserve">. </w:t>
      </w:r>
      <w:r w:rsidRPr="007F1FA8">
        <w:rPr>
          <w:szCs w:val="22"/>
        </w:rPr>
        <w:t xml:space="preserve">Los debates de la reunión se basaron en el documento WIPO/IP/ITAI/GE/18/3, que se puede consultar en </w:t>
      </w:r>
      <w:hyperlink r:id="rId8" w:history="1">
        <w:r w:rsidRPr="007F1FA8">
          <w:rPr>
            <w:rStyle w:val="Hyperlink"/>
            <w:rFonts w:eastAsiaTheme="minorHAnsi"/>
            <w:szCs w:val="22"/>
          </w:rPr>
          <w:t>http://www.wipo.int/meetings/en/details.jsp?meeting_id=46586</w:t>
        </w:r>
      </w:hyperlink>
      <w:r w:rsidRPr="007F1FA8">
        <w:rPr>
          <w:szCs w:val="22"/>
        </w:rPr>
        <w:t xml:space="preserve"> y que contiene 40 recomendaciones</w:t>
      </w:r>
      <w:r w:rsidR="00AB60AB" w:rsidRPr="007F1FA8">
        <w:rPr>
          <w:szCs w:val="22"/>
        </w:rPr>
        <w:t xml:space="preserve">. </w:t>
      </w:r>
      <w:r w:rsidRPr="007F1FA8">
        <w:rPr>
          <w:szCs w:val="22"/>
        </w:rPr>
        <w:t xml:space="preserve">A título informativo, se reproducen dos recomendaciones relacionadas con las interfaces de programación de aplicaciones (API), a saber, R38 y R39. </w:t>
      </w:r>
    </w:p>
    <w:p w:rsidR="006F78F6" w:rsidRPr="007F1FA8" w:rsidRDefault="006F78F6" w:rsidP="00AB60AB">
      <w:pPr>
        <w:pStyle w:val="ONUME"/>
        <w:numPr>
          <w:ilvl w:val="0"/>
          <w:numId w:val="0"/>
        </w:numPr>
        <w:ind w:left="567"/>
      </w:pPr>
      <w:r w:rsidRPr="007F1FA8">
        <w:rPr>
          <w:u w:val="single"/>
        </w:rPr>
        <w:t>R38.</w:t>
      </w:r>
      <w:r w:rsidRPr="007F1FA8">
        <w:tab/>
        <w:t>Deberían estudiarse mejores métodos para facilitar la integración con los sistemas internacionales y desarrollar sistemas centralizados</w:t>
      </w:r>
      <w:r w:rsidR="00AB60AB" w:rsidRPr="007F1FA8">
        <w:t xml:space="preserve">. </w:t>
      </w:r>
      <w:r w:rsidRPr="007F1FA8">
        <w:t>Debería crearse un servicio centralizado, como prototipo o demostración y con interfaces API abiertas y normalizadas, para la difusión de datos de clasificación y normalización y el intercambio de datos transaccionales entre las OPI y los sistemas regionales e internacionales de PI.</w:t>
      </w:r>
    </w:p>
    <w:p w:rsidR="006F78F6" w:rsidRPr="007F1FA8" w:rsidRDefault="006F78F6" w:rsidP="00AB60AB">
      <w:pPr>
        <w:pStyle w:val="ONUME"/>
        <w:numPr>
          <w:ilvl w:val="0"/>
          <w:numId w:val="0"/>
        </w:numPr>
        <w:ind w:left="567"/>
      </w:pPr>
      <w:r w:rsidRPr="007F1FA8">
        <w:rPr>
          <w:u w:val="single"/>
        </w:rPr>
        <w:t>R39.</w:t>
      </w:r>
      <w:r w:rsidRPr="007F1FA8">
        <w:tab/>
        <w:t>Debería compartirse la información sobre los servicios en línea (presentación, trámites posteriores, etc.) a fin de determinar las operaciones y servicios comunes que podrían facilitarse a través de las API para permitir la interoperabilidad de los sistemas, incluidos los sistemas desarrollados por proveedores de soluciones externos.</w:t>
      </w:r>
    </w:p>
    <w:p w:rsidR="006F78F6" w:rsidRPr="007F1FA8" w:rsidRDefault="006F78F6" w:rsidP="00AB60AB">
      <w:pPr>
        <w:pStyle w:val="ONUME"/>
        <w:numPr>
          <w:ilvl w:val="0"/>
          <w:numId w:val="0"/>
        </w:numPr>
        <w:rPr>
          <w:rFonts w:eastAsiaTheme="minorHAnsi"/>
          <w:szCs w:val="22"/>
        </w:rPr>
      </w:pPr>
      <w:r w:rsidRPr="007F1FA8">
        <w:rPr>
          <w:rFonts w:eastAsiaTheme="minorHAnsi"/>
          <w:szCs w:val="22"/>
        </w:rPr>
        <w:fldChar w:fldCharType="begin"/>
      </w:r>
      <w:r w:rsidRPr="007F1FA8">
        <w:rPr>
          <w:rFonts w:eastAsiaTheme="minorHAnsi"/>
          <w:szCs w:val="22"/>
        </w:rPr>
        <w:instrText xml:space="preserve"> AUTONUM  </w:instrText>
      </w:r>
      <w:r w:rsidRPr="007F1FA8">
        <w:rPr>
          <w:rFonts w:eastAsiaTheme="minorHAnsi"/>
          <w:szCs w:val="22"/>
        </w:rPr>
        <w:fldChar w:fldCharType="end"/>
      </w:r>
      <w:r w:rsidRPr="007F1FA8">
        <w:rPr>
          <w:rFonts w:eastAsiaTheme="minorHAnsi"/>
          <w:szCs w:val="22"/>
        </w:rPr>
        <w:tab/>
        <w:t>En la reunión mencionada, las delegaciones señalaron que muchas oficinas de propiedad intelectual (PI) ya utilizaban API y tenían previsto prestar más servicios por conducto de esas interfaces</w:t>
      </w:r>
      <w:r w:rsidR="00AB60AB" w:rsidRPr="007F1FA8">
        <w:rPr>
          <w:rFonts w:eastAsiaTheme="minorHAnsi"/>
          <w:szCs w:val="22"/>
        </w:rPr>
        <w:t xml:space="preserve">. </w:t>
      </w:r>
      <w:r w:rsidRPr="007F1FA8">
        <w:rPr>
          <w:rFonts w:eastAsiaTheme="minorHAnsi"/>
          <w:szCs w:val="22"/>
        </w:rPr>
        <w:t>Las delegaciones reconocieron asimismo que la coherencia de las API entre las oficinas de PI es importante para la eficiencia del intercambio de datos, en particular para los proveedores externos de sistemas de gestión de patentes, que es poco probable que consideren que desde el punto de vista económico se justifica respaldar diferentes normas técnicas para cada Oficina</w:t>
      </w:r>
      <w:r w:rsidR="00AB60AB" w:rsidRPr="007F1FA8">
        <w:rPr>
          <w:rFonts w:eastAsiaTheme="minorHAnsi"/>
          <w:szCs w:val="22"/>
        </w:rPr>
        <w:t xml:space="preserve">. </w:t>
      </w:r>
      <w:r w:rsidRPr="007F1FA8">
        <w:rPr>
          <w:rFonts w:eastAsiaTheme="minorHAnsi"/>
          <w:szCs w:val="22"/>
        </w:rPr>
        <w:t>Las delegaciones, a las que se informó de que el Equipo Técnico XML4IP estaba trabajando en nuevas recomendaciones sobre API web, acordaron participar activamente en el equipo técnico del CWS con miras a preparar una propuesta final respecto de una nueva norma técnica de la OMPI sobre las API para su examen y aprobación en la presente sesión del Comité</w:t>
      </w:r>
      <w:r w:rsidR="00AB60AB" w:rsidRPr="007F1FA8">
        <w:rPr>
          <w:rFonts w:eastAsiaTheme="minorHAnsi"/>
          <w:szCs w:val="22"/>
        </w:rPr>
        <w:t xml:space="preserve">. </w:t>
      </w:r>
      <w:r w:rsidRPr="007F1FA8">
        <w:rPr>
          <w:rFonts w:eastAsiaTheme="minorHAnsi"/>
          <w:szCs w:val="22"/>
        </w:rPr>
        <w:t>(Véase el documento WIPO/IP/ITAI/GE/18/5).</w:t>
      </w:r>
    </w:p>
    <w:p w:rsidR="006F78F6" w:rsidRPr="007F1FA8" w:rsidRDefault="006F78F6" w:rsidP="006F78F6">
      <w:pPr>
        <w:pStyle w:val="Heading2"/>
      </w:pPr>
      <w:r w:rsidRPr="007F1FA8">
        <w:rPr>
          <w:bCs w:val="0"/>
          <w:iCs w:val="0"/>
          <w:caps w:val="0"/>
        </w:rPr>
        <w:t>PROYECTO DE TRABAJO DE LA NUEVA NORMA</w:t>
      </w:r>
    </w:p>
    <w:p w:rsidR="006F78F6" w:rsidRPr="007F1FA8" w:rsidRDefault="006F78F6" w:rsidP="006F78F6">
      <w:pPr>
        <w:widowControl w:val="0"/>
        <w:spacing w:after="200"/>
        <w:rPr>
          <w:rFonts w:eastAsiaTheme="minorHAnsi"/>
          <w:szCs w:val="22"/>
        </w:rPr>
      </w:pPr>
      <w:r w:rsidRPr="007F1FA8">
        <w:rPr>
          <w:rFonts w:eastAsiaTheme="minorHAnsi"/>
          <w:szCs w:val="22"/>
        </w:rPr>
        <w:fldChar w:fldCharType="begin"/>
      </w:r>
      <w:r w:rsidRPr="007F1FA8">
        <w:rPr>
          <w:rFonts w:eastAsiaTheme="minorHAnsi"/>
          <w:szCs w:val="22"/>
        </w:rPr>
        <w:instrText xml:space="preserve"> AUTONUM  </w:instrText>
      </w:r>
      <w:r w:rsidRPr="007F1FA8">
        <w:rPr>
          <w:rFonts w:eastAsiaTheme="minorHAnsi"/>
          <w:szCs w:val="22"/>
        </w:rPr>
        <w:fldChar w:fldCharType="end"/>
      </w:r>
      <w:r w:rsidRPr="007F1FA8">
        <w:rPr>
          <w:rFonts w:eastAsiaTheme="minorHAnsi"/>
          <w:szCs w:val="22"/>
        </w:rPr>
        <w:tab/>
        <w:t xml:space="preserve">A fin de llevar a cabo la Tarea N.º 56, el Equipo Técnico XML4IP celebró cuatro rondas de debate a través del foro electrónico de su </w:t>
      </w:r>
      <w:r w:rsidR="00AB60AB" w:rsidRPr="007F1FA8">
        <w:rPr>
          <w:rFonts w:eastAsiaTheme="minorHAnsi"/>
          <w:szCs w:val="22"/>
        </w:rPr>
        <w:t>Wiki</w:t>
      </w:r>
      <w:r w:rsidRPr="007F1FA8">
        <w:rPr>
          <w:rFonts w:eastAsiaTheme="minorHAnsi"/>
          <w:szCs w:val="22"/>
        </w:rPr>
        <w:t>, varias conferencias en línea y una reunión presencial que se celebró en Moscú en mayo de 2018</w:t>
      </w:r>
      <w:r w:rsidR="00AB60AB" w:rsidRPr="007F1FA8">
        <w:rPr>
          <w:rFonts w:eastAsiaTheme="minorHAnsi"/>
          <w:szCs w:val="22"/>
        </w:rPr>
        <w:t xml:space="preserve">. </w:t>
      </w:r>
      <w:r w:rsidRPr="007F1FA8">
        <w:rPr>
          <w:rFonts w:eastAsiaTheme="minorHAnsi"/>
          <w:szCs w:val="22"/>
        </w:rPr>
        <w:t>El Equipo Técnico también actualizó el proyecto de trabajo en varias ocasiones, y su última versión, la 0.7, que solo está disponible en inglés, se reproduce en el Anexo del presente documento a título informativo.</w:t>
      </w:r>
    </w:p>
    <w:p w:rsidR="006F78F6" w:rsidRPr="007F1FA8" w:rsidRDefault="006F78F6" w:rsidP="006F78F6">
      <w:pPr>
        <w:pStyle w:val="Heading3"/>
      </w:pPr>
      <w:r w:rsidRPr="007F1FA8">
        <w:rPr>
          <w:bCs w:val="0"/>
        </w:rPr>
        <w:t>Objetivo de la norma técnica</w:t>
      </w:r>
    </w:p>
    <w:p w:rsidR="002E47E4" w:rsidRDefault="006F78F6" w:rsidP="006F78F6">
      <w:pPr>
        <w:widowControl w:val="0"/>
        <w:spacing w:after="200"/>
        <w:rPr>
          <w:rStyle w:val="ic-current-selection"/>
          <w:szCs w:val="17"/>
        </w:rPr>
      </w:pPr>
      <w:r w:rsidRPr="007F1FA8">
        <w:rPr>
          <w:rStyle w:val="ic-current-selection"/>
          <w:szCs w:val="17"/>
        </w:rPr>
        <w:fldChar w:fldCharType="begin"/>
      </w:r>
      <w:r w:rsidRPr="007F1FA8">
        <w:rPr>
          <w:rStyle w:val="ic-current-selection"/>
          <w:szCs w:val="17"/>
        </w:rPr>
        <w:instrText xml:space="preserve"> AUTONUM  </w:instrText>
      </w:r>
      <w:r w:rsidRPr="007F1FA8">
        <w:rPr>
          <w:rStyle w:val="ic-current-selection"/>
          <w:szCs w:val="17"/>
        </w:rPr>
        <w:fldChar w:fldCharType="end"/>
      </w:r>
      <w:r w:rsidRPr="007F1FA8">
        <w:rPr>
          <w:rStyle w:val="ic-current-selection"/>
          <w:szCs w:val="17"/>
        </w:rPr>
        <w:tab/>
        <w:t xml:space="preserve">El Equipo Técnico convino en que la norma técnica tiene por objeto </w:t>
      </w:r>
      <w:r w:rsidR="00AB60AB" w:rsidRPr="007F1FA8">
        <w:rPr>
          <w:rStyle w:val="ic-current-selection"/>
          <w:szCs w:val="17"/>
        </w:rPr>
        <w:t>brindar</w:t>
      </w:r>
      <w:r w:rsidRPr="007F1FA8">
        <w:rPr>
          <w:rStyle w:val="ic-current-selection"/>
          <w:szCs w:val="17"/>
        </w:rPr>
        <w:t xml:space="preserve"> recomendaciones sobre la API para facilitar el procesamiento y el intercambio de datos de PI de manera armonizada a través de Internet.</w:t>
      </w:r>
      <w:r w:rsidR="002E47E4">
        <w:rPr>
          <w:rStyle w:val="ic-current-selection"/>
          <w:szCs w:val="17"/>
        </w:rPr>
        <w:br w:type="page"/>
      </w:r>
    </w:p>
    <w:p w:rsidR="006F78F6" w:rsidRPr="007F1FA8" w:rsidRDefault="006F78F6" w:rsidP="006F78F6">
      <w:pPr>
        <w:spacing w:after="200"/>
        <w:rPr>
          <w:szCs w:val="17"/>
        </w:rPr>
      </w:pPr>
      <w:r w:rsidRPr="007F1FA8">
        <w:lastRenderedPageBreak/>
        <w:fldChar w:fldCharType="begin"/>
      </w:r>
      <w:r w:rsidRPr="007F1FA8">
        <w:instrText xml:space="preserve"> AUTONUM  </w:instrText>
      </w:r>
      <w:r w:rsidRPr="007F1FA8">
        <w:fldChar w:fldCharType="end"/>
      </w:r>
      <w:r w:rsidRPr="007F1FA8">
        <w:tab/>
      </w:r>
      <w:r w:rsidRPr="007F1FA8">
        <w:rPr>
          <w:rStyle w:val="ic-current-selection"/>
          <w:szCs w:val="17"/>
        </w:rPr>
        <w:t>El Equipo Técnico también convino que l</w:t>
      </w:r>
      <w:r w:rsidRPr="007F1FA8">
        <w:t>a norma técnica debe tener como finalidad:</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rFonts w:eastAsiaTheme="minorHAnsi"/>
          <w:szCs w:val="22"/>
          <w:lang w:val="es-ES"/>
        </w:rPr>
        <w:t>garantizar la coherencia mediante el establecimiento de principios uniformes de diseño de servicios web;</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rFonts w:eastAsiaTheme="minorHAnsi"/>
          <w:szCs w:val="22"/>
          <w:lang w:val="es-ES"/>
        </w:rPr>
        <w:t>mejorar la interoperabilidad de los datos entre los socios de servicios web;</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rFonts w:eastAsiaTheme="minorHAnsi"/>
          <w:szCs w:val="22"/>
          <w:lang w:val="es-ES"/>
        </w:rPr>
        <w:t>fomentar la reutilización a través de un diseño unificado;</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rFonts w:eastAsiaTheme="minorHAnsi"/>
          <w:szCs w:val="22"/>
          <w:lang w:val="es-ES"/>
        </w:rPr>
        <w:t>promover la flexibilidad en la asignación de nombres a los datos en todas las unidades operativas por medio de una política de espacio de nombres claramente definida en los recursos XML asociados;</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rFonts w:eastAsiaTheme="minorHAnsi"/>
          <w:szCs w:val="22"/>
          <w:lang w:val="es-ES"/>
        </w:rPr>
        <w:t>promover un intercambio de información seguro;</w:t>
      </w:r>
    </w:p>
    <w:p w:rsidR="006F78F6" w:rsidRPr="007F1FA8" w:rsidRDefault="006F78F6" w:rsidP="006F78F6">
      <w:pPr>
        <w:pStyle w:val="ListParagraph"/>
        <w:widowControl w:val="0"/>
        <w:numPr>
          <w:ilvl w:val="0"/>
          <w:numId w:val="8"/>
        </w:numPr>
        <w:spacing w:after="200" w:line="276" w:lineRule="auto"/>
        <w:ind w:left="714" w:hanging="357"/>
        <w:rPr>
          <w:rFonts w:eastAsiaTheme="minorHAnsi"/>
          <w:szCs w:val="22"/>
          <w:lang w:val="es-ES"/>
        </w:rPr>
      </w:pPr>
      <w:r w:rsidRPr="007F1FA8">
        <w:rPr>
          <w:rFonts w:eastAsiaTheme="minorHAnsi"/>
          <w:szCs w:val="22"/>
          <w:lang w:val="es-ES"/>
        </w:rPr>
        <w:t>ofrecer procesos operativos internos apropiados como servicios de valor añadido que puedan ser utilizados por otras organizaciones;</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rFonts w:eastAsiaTheme="minorHAnsi"/>
          <w:szCs w:val="22"/>
          <w:lang w:val="es-ES"/>
        </w:rPr>
        <w:t>integrar sus procesos operativos internos y vincularlos dinámicamente con sus asociados institucionales.</w:t>
      </w:r>
    </w:p>
    <w:p w:rsidR="006F78F6" w:rsidRPr="007F1FA8" w:rsidRDefault="006F78F6" w:rsidP="006F78F6">
      <w:pPr>
        <w:pStyle w:val="Heading3"/>
      </w:pPr>
      <w:r w:rsidRPr="007F1FA8">
        <w:rPr>
          <w:bCs w:val="0"/>
        </w:rPr>
        <w:t>Alcance de la norma técnica</w:t>
      </w:r>
    </w:p>
    <w:p w:rsidR="006F78F6" w:rsidRPr="007F1FA8" w:rsidRDefault="006F78F6" w:rsidP="006F78F6">
      <w:pPr>
        <w:widowControl w:val="0"/>
        <w:spacing w:after="200"/>
        <w:rPr>
          <w:rFonts w:eastAsiaTheme="minorHAnsi"/>
          <w:szCs w:val="22"/>
        </w:rPr>
      </w:pPr>
      <w:r w:rsidRPr="007F1FA8">
        <w:rPr>
          <w:rFonts w:eastAsiaTheme="minorHAnsi"/>
          <w:szCs w:val="22"/>
        </w:rPr>
        <w:fldChar w:fldCharType="begin"/>
      </w:r>
      <w:r w:rsidRPr="007F1FA8">
        <w:rPr>
          <w:rFonts w:eastAsiaTheme="minorHAnsi"/>
          <w:szCs w:val="22"/>
        </w:rPr>
        <w:instrText xml:space="preserve"> AUTONUM  </w:instrText>
      </w:r>
      <w:r w:rsidRPr="007F1FA8">
        <w:rPr>
          <w:rFonts w:eastAsiaTheme="minorHAnsi"/>
          <w:szCs w:val="22"/>
        </w:rPr>
        <w:fldChar w:fldCharType="end"/>
      </w:r>
      <w:r w:rsidRPr="007F1FA8">
        <w:rPr>
          <w:rFonts w:eastAsiaTheme="minorHAnsi"/>
          <w:szCs w:val="22"/>
        </w:rPr>
        <w:tab/>
        <w:t>El Equipo Técnico considera que la norma técnica debería proporcionar orientación a las oficinas de PI y a otras organizaciones que necesitan gestionar, almacenar, procesar, intercambiar y difundir datos de PI mediante API web</w:t>
      </w:r>
      <w:r w:rsidR="00AB60AB" w:rsidRPr="007F1FA8">
        <w:rPr>
          <w:rFonts w:eastAsiaTheme="minorHAnsi"/>
          <w:szCs w:val="22"/>
        </w:rPr>
        <w:t xml:space="preserve">. </w:t>
      </w:r>
      <w:r w:rsidRPr="007F1FA8">
        <w:rPr>
          <w:rFonts w:eastAsiaTheme="minorHAnsi"/>
          <w:szCs w:val="22"/>
        </w:rPr>
        <w:t xml:space="preserve">Con la norma técnica se puede simplificar y agilizar el desarrollo de las API web de manera armonizada y se puede mejorar la interoperabilidad entre </w:t>
      </w:r>
      <w:r w:rsidR="00AB60AB" w:rsidRPr="007F1FA8">
        <w:rPr>
          <w:rFonts w:eastAsiaTheme="minorHAnsi"/>
          <w:szCs w:val="22"/>
        </w:rPr>
        <w:t>ellas</w:t>
      </w:r>
      <w:r w:rsidRPr="007F1FA8">
        <w:rPr>
          <w:rFonts w:eastAsiaTheme="minorHAnsi"/>
          <w:szCs w:val="22"/>
        </w:rPr>
        <w:t>.</w:t>
      </w:r>
    </w:p>
    <w:p w:rsidR="006F78F6" w:rsidRPr="007F1FA8" w:rsidRDefault="006F78F6" w:rsidP="006F78F6">
      <w:pPr>
        <w:spacing w:after="200"/>
      </w:pPr>
      <w:r w:rsidRPr="007F1FA8">
        <w:fldChar w:fldCharType="begin"/>
      </w:r>
      <w:r w:rsidRPr="007F1FA8">
        <w:instrText xml:space="preserve"> AUTONUM  </w:instrText>
      </w:r>
      <w:r w:rsidRPr="007F1FA8">
        <w:fldChar w:fldCharType="end"/>
      </w:r>
      <w:r w:rsidRPr="007F1FA8">
        <w:tab/>
        <w:t>En la norma técnica se formulan recomendaciones sobre los dos tipos de servicios web:</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lang w:val="es-ES"/>
        </w:rPr>
        <w:t>“</w:t>
      </w:r>
      <w:r w:rsidR="007F1FA8">
        <w:rPr>
          <w:lang w:val="es-ES"/>
        </w:rPr>
        <w:t xml:space="preserve">API Web </w:t>
      </w:r>
      <w:r w:rsidRPr="007F1FA8">
        <w:rPr>
          <w:szCs w:val="22"/>
          <w:lang w:val="es-ES"/>
        </w:rPr>
        <w:t>RESTful”: conjunto de servicios web que se basan en el paradigma de arquitectura REST y suelen usar JSON o XML para la transmisión de datos; y</w:t>
      </w:r>
    </w:p>
    <w:p w:rsidR="006F78F6" w:rsidRPr="007F1FA8" w:rsidRDefault="006F78F6" w:rsidP="006F78F6">
      <w:pPr>
        <w:pStyle w:val="ListParagraph"/>
        <w:widowControl w:val="0"/>
        <w:numPr>
          <w:ilvl w:val="0"/>
          <w:numId w:val="8"/>
        </w:numPr>
        <w:spacing w:after="200" w:line="276" w:lineRule="auto"/>
        <w:rPr>
          <w:rFonts w:eastAsiaTheme="minorHAnsi"/>
          <w:szCs w:val="22"/>
          <w:lang w:val="es-ES"/>
        </w:rPr>
      </w:pPr>
      <w:r w:rsidRPr="007F1FA8">
        <w:rPr>
          <w:rFonts w:eastAsiaTheme="minorHAnsi"/>
          <w:szCs w:val="22"/>
          <w:lang w:val="es-ES"/>
        </w:rPr>
        <w:t>“</w:t>
      </w:r>
      <w:r w:rsidR="007F1FA8">
        <w:rPr>
          <w:rFonts w:eastAsiaTheme="minorHAnsi"/>
          <w:szCs w:val="22"/>
          <w:lang w:val="es-ES"/>
        </w:rPr>
        <w:t xml:space="preserve">API Web </w:t>
      </w:r>
      <w:r w:rsidRPr="007F1FA8">
        <w:rPr>
          <w:rFonts w:eastAsiaTheme="minorHAnsi"/>
          <w:szCs w:val="22"/>
          <w:lang w:val="es-ES"/>
        </w:rPr>
        <w:t>SOAP”: conjunto de servicios web SOAP que se basan en SOAP y requieren el uso de XML como carga útil.</w:t>
      </w:r>
    </w:p>
    <w:p w:rsidR="006F78F6" w:rsidRPr="007F1FA8" w:rsidRDefault="00387404" w:rsidP="006F78F6">
      <w:pPr>
        <w:widowControl w:val="0"/>
        <w:spacing w:after="200"/>
        <w:rPr>
          <w:rFonts w:eastAsiaTheme="minorHAnsi"/>
          <w:szCs w:val="22"/>
        </w:rPr>
      </w:pPr>
      <w:r>
        <w:rPr>
          <w:szCs w:val="17"/>
        </w:rPr>
        <w:pict>
          <v:group id="Group 5" o:spid="_x0000_s1026" style="position:absolute;margin-left:106.5pt;margin-top:60.3pt;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">
            <v:rect id="Rectangle 2" o:spid="_x0000_s1027" style="position:absolute;top:2317;width:12627;height:1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tQ88QA&#10;AADaAAAADwAAAGRycy9kb3ducmV2LnhtbESPQWvCQBSE74L/YXmF3nRTD0Wiq6QBodBWiKmCt8fu&#10;M4nNvg3Zrab+erdQ6HGYmW+Y5XqwrbhQ7xvHCp6mCQhi7UzDlYLPcjOZg/AB2WDrmBT8kIf1ajxa&#10;YmrclQu67EIlIoR9igrqELpUSq9rsuinriOO3sn1FkOUfSVNj9cIt62cJcmztNhwXKixo7wm/bX7&#10;tgpofzgXt+Ob3r7rzBWch/Kl/FDq8WHIFiACDeE//Nd+NQpm8Hsl3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UPPEAAAA2gAAAA8AAAAAAAAAAAAAAAAAmAIAAGRycy9k&#10;b3ducmV2LnhtbFBLBQYAAAAABAAEAPUAAACJAwAAAAA=&#10;" filled="f" strokecolor="#243f60 [1604]" strokeweight="2pt">
              <v:textbox>
                <w:txbxContent>
                  <w:p w:rsidR="006F78F6" w:rsidRDefault="006F78F6" w:rsidP="006F78F6">
                    <w:pPr>
                      <w:pStyle w:val="NormalWeb"/>
                      <w:spacing w:before="0" w:beforeAutospacing="0" w:after="0" w:afterAutospacing="0"/>
                      <w:jc w:val="center"/>
                      <w:rPr>
                        <w:sz w:val="24"/>
                        <w:szCs w:val="24"/>
                      </w:rPr>
                    </w:pPr>
                    <w:r>
                      <w:rPr>
                        <w:rFonts w:asciiTheme="minorHAnsi" w:hAnsiTheme="minorHAnsi" w:cstheme="minorBidi"/>
                        <w:color w:val="FFFFFF" w:themeColor="light1"/>
                        <w:kern w:val="24"/>
                        <w:sz w:val="36"/>
                        <w:szCs w:val="36"/>
                        <w:lang w:val="es"/>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6F78F6" w:rsidRPr="00713F5B" w:rsidRDefault="006F78F6" w:rsidP="006F78F6">
                    <w:pPr>
                      <w:pStyle w:val="NormalWeb"/>
                      <w:spacing w:before="0" w:beforeAutospacing="0" w:after="0" w:afterAutospacing="0"/>
                      <w:jc w:val="center"/>
                      <w:rPr>
                        <w:sz w:val="24"/>
                        <w:szCs w:val="24"/>
                        <w:lang w:val="fr-CH"/>
                      </w:rPr>
                    </w:pPr>
                    <w:r>
                      <w:rPr>
                        <w:rFonts w:cs="Arial"/>
                        <w:color w:val="000000" w:themeColor="text1"/>
                        <w:kern w:val="24"/>
                        <w:sz w:val="19"/>
                        <w:szCs w:val="19"/>
                        <w:lang w:val="es"/>
                      </w:rPr>
                      <w:t>Móvil</w:t>
                    </w:r>
                  </w:p>
                  <w:p w:rsidR="006F78F6" w:rsidRPr="00713F5B" w:rsidRDefault="00AB60AB" w:rsidP="006F78F6">
                    <w:pPr>
                      <w:pStyle w:val="NormalWeb"/>
                      <w:spacing w:before="0" w:beforeAutospacing="0" w:after="0" w:afterAutospacing="0"/>
                      <w:jc w:val="center"/>
                      <w:rPr>
                        <w:lang w:val="fr-CH"/>
                      </w:rPr>
                    </w:pPr>
                    <w:r>
                      <w:rPr>
                        <w:rFonts w:cs="Arial"/>
                        <w:color w:val="000000" w:themeColor="text1"/>
                        <w:kern w:val="24"/>
                        <w:sz w:val="19"/>
                        <w:szCs w:val="19"/>
                        <w:lang w:val="es"/>
                      </w:rPr>
                      <w:t>Comp.</w:t>
                    </w:r>
                    <w:r w:rsidR="006F78F6">
                      <w:rPr>
                        <w:rFonts w:cs="Arial"/>
                        <w:color w:val="000000" w:themeColor="text1"/>
                        <w:kern w:val="24"/>
                        <w:sz w:val="19"/>
                        <w:szCs w:val="19"/>
                        <w:lang w:val="es"/>
                      </w:rPr>
                      <w:t xml:space="preserve"> portátil</w:t>
                    </w:r>
                  </w:p>
                  <w:p w:rsidR="006F78F6" w:rsidRPr="00713F5B" w:rsidRDefault="006F78F6" w:rsidP="006F78F6">
                    <w:pPr>
                      <w:pStyle w:val="NormalWeb"/>
                      <w:spacing w:before="0" w:beforeAutospacing="0" w:after="0" w:afterAutospacing="0"/>
                      <w:jc w:val="center"/>
                      <w:rPr>
                        <w:lang w:val="fr-CH"/>
                      </w:rPr>
                    </w:pPr>
                    <w:r>
                      <w:rPr>
                        <w:rFonts w:cs="Arial"/>
                        <w:color w:val="000000" w:themeColor="text1"/>
                        <w:kern w:val="24"/>
                        <w:sz w:val="19"/>
                        <w:szCs w:val="19"/>
                        <w:lang w:val="es"/>
                      </w:rPr>
                      <w:t>Comp</w:t>
                    </w:r>
                    <w:r w:rsidR="00AB60AB">
                      <w:rPr>
                        <w:rFonts w:cs="Arial"/>
                        <w:color w:val="000000" w:themeColor="text1"/>
                        <w:kern w:val="24"/>
                        <w:sz w:val="19"/>
                        <w:szCs w:val="19"/>
                        <w:lang w:val="es"/>
                      </w:rPr>
                      <w:t>. de sobremesa</w:t>
                    </w:r>
                  </w:p>
                </w:txbxContent>
              </v:textbox>
            </v:shape>
            <v:shape id="TextBox 22" o:spid="_x0000_s1029" type="#_x0000_t202" style="position:absolute;left:16157;top:3986;width:8058;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6F78F6" w:rsidRDefault="006F78F6" w:rsidP="006F78F6">
                    <w:pPr>
                      <w:pStyle w:val="NormalWeb"/>
                      <w:spacing w:before="0" w:beforeAutospacing="0" w:after="0" w:afterAutospacing="0"/>
                      <w:jc w:val="center"/>
                      <w:rPr>
                        <w:sz w:val="24"/>
                        <w:szCs w:val="24"/>
                      </w:rPr>
                    </w:pPr>
                    <w:r>
                      <w:rPr>
                        <w:rFonts w:cs="Arial"/>
                        <w:color w:val="000000" w:themeColor="text1"/>
                        <w:kern w:val="24"/>
                        <w:sz w:val="20"/>
                        <w:lang w:val="es"/>
                      </w:rPr>
                      <w:t>Solicitud</w:t>
                    </w:r>
                  </w:p>
                </w:txbxContent>
              </v:textbox>
            </v:shape>
            <v:shape id="TextBox 27" o:spid="_x0000_s1030" type="#_x0000_t202" style="position:absolute;left:16527;top:8076;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6F78F6" w:rsidRDefault="006F78F6" w:rsidP="006F78F6">
                    <w:pPr>
                      <w:pStyle w:val="NormalWeb"/>
                      <w:spacing w:before="0" w:beforeAutospacing="0" w:after="0" w:afterAutospacing="0"/>
                      <w:jc w:val="center"/>
                      <w:rPr>
                        <w:sz w:val="24"/>
                        <w:szCs w:val="24"/>
                      </w:rPr>
                    </w:pPr>
                    <w:r>
                      <w:rPr>
                        <w:rFonts w:cs="Arial"/>
                        <w:color w:val="000000" w:themeColor="text1"/>
                        <w:kern w:val="24"/>
                        <w:sz w:val="20"/>
                        <w:lang w:val="es"/>
                      </w:rPr>
                      <w:t>Respuesta</w:t>
                    </w:r>
                  </w:p>
                </w:txbxContent>
              </v:textbox>
            </v:shape>
            <v:shape id="TextBox 30" o:spid="_x0000_s1031" type="#_x0000_t202" style="position:absolute;left:28390;top:124;width:1207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F78F6" w:rsidRDefault="006F78F6" w:rsidP="006F78F6">
                    <w:pPr>
                      <w:pStyle w:val="NormalWeb"/>
                      <w:spacing w:before="0" w:beforeAutospacing="0" w:after="0" w:afterAutospacing="0"/>
                      <w:jc w:val="center"/>
                      <w:rPr>
                        <w:sz w:val="24"/>
                        <w:szCs w:val="24"/>
                      </w:rPr>
                    </w:pPr>
                    <w:r>
                      <w:rPr>
                        <w:rFonts w:cs="Arial"/>
                        <w:b/>
                        <w:bCs/>
                        <w:color w:val="FF6600"/>
                        <w:kern w:val="24"/>
                        <w:sz w:val="20"/>
                        <w:lang w:val="es"/>
                      </w:rPr>
                      <w:t xml:space="preserve">API WEB B </w:t>
                    </w:r>
                  </w:p>
                </w:txbxContent>
              </v:textbox>
            </v:shape>
            <v:rect id="Rectangle 8" o:spid="_x0000_s1032" style="position:absolute;left:488;top:26289;width:12980;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nGcEA&#10;AADaAAAADwAAAGRycy9kb3ducmV2LnhtbERPz2vCMBS+C/sfwhO82VQPQzqjOGEgOIVaN9jtkby1&#10;3ZqX0kSt/vXmIHj8+H7Pl71txJk6XztWMElSEMTamZpLBcfiYzwD4QOywcYxKbiSh+XiZTDHzLgL&#10;53Q+hFLEEPYZKqhCaDMpva7Iok9cSxy5X9dZDBF2pTQdXmK4beQ0TV+lxZpjQ4UtrSvS/4eTVUBf&#10;33/57Wer95965XJeh+K92Ck1GvarNxCB+vAUP9wboyBujVfiD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zZxnBAAAA2gAAAA8AAAAAAAAAAAAAAAAAmAIAAGRycy9kb3du&#10;cmV2LnhtbFBLBQYAAAAABAAEAPUAAACGAwAAAAA=&#10;" filled="f" strokecolor="#243f60 [1604]" strokeweight="2pt"/>
            <v:shape id="TextBox 41" o:spid="_x0000_s1033" type="#_x0000_t202" style="position:absolute;left:488;width:12224;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F78F6" w:rsidRDefault="006F78F6" w:rsidP="006F78F6">
                    <w:pPr>
                      <w:pStyle w:val="NormalWeb"/>
                      <w:spacing w:before="0" w:beforeAutospacing="0" w:after="0" w:afterAutospacing="0"/>
                      <w:jc w:val="center"/>
                      <w:rPr>
                        <w:sz w:val="24"/>
                        <w:szCs w:val="24"/>
                      </w:rPr>
                    </w:pPr>
                    <w:r>
                      <w:rPr>
                        <w:rFonts w:cs="Arial"/>
                        <w:b/>
                        <w:bCs/>
                        <w:color w:val="4BACC6" w:themeColor="accent5"/>
                        <w:kern w:val="24"/>
                        <w:sz w:val="20"/>
                        <w:lang w:val="es"/>
                      </w:rPr>
                      <w:t>API WEB A</w:t>
                    </w:r>
                  </w:p>
                </w:txbxContent>
              </v:textbox>
            </v:shape>
            <v:rect id="Rectangle 10" o:spid="_x0000_s1034" style="position:absolute;left:488;top:3405;width:11271;height:9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7uMQA&#10;AADbAAAADwAAAGRycy9kb3ducmV2LnhtbESPT0sDMRDF70K/Q5iCN5vVg8jatJT+EaUXbQteh810&#10;s24yWZLYrt/eOQjeZnhv3vvNfDkGry6UchfZwP2sAkXcRNtxa+B03N09gcoF2aKPTAZ+KMNyMbmZ&#10;Y23jlT/ociitkhDONRpwpQy11rlxFDDP4kAs2jmmgEXW1Gqb8CrhweuHqnrUATuWBocDrR01/eE7&#10;GOje9mm78X6/3ry4/v3YnL6Gz96Y2+m4egZVaCz/5r/rVyv4Qi+/yA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ou7jEAAAA2wAAAA8AAAAAAAAAAAAAAAAAmAIAAGRycy9k&#10;b3ducmV2LnhtbFBLBQYAAAAABAAEAPUAAACJAwAAAAA=&#10;" filled="f" strokecolor="black [3213]">
              <v:textbox>
                <w:txbxContent>
                  <w:p w:rsidR="006F78F6" w:rsidRDefault="006F78F6" w:rsidP="006F78F6">
                    <w:pPr>
                      <w:pStyle w:val="ListParagraph"/>
                      <w:numPr>
                        <w:ilvl w:val="0"/>
                        <w:numId w:val="9"/>
                      </w:numPr>
                      <w:rPr>
                        <w:rFonts w:eastAsia="Times New Roman"/>
                        <w:sz w:val="19"/>
                        <w:szCs w:val="24"/>
                      </w:rPr>
                    </w:pPr>
                    <w:r>
                      <w:rPr>
                        <w:color w:val="000000" w:themeColor="text1"/>
                        <w:kern w:val="24"/>
                        <w:sz w:val="19"/>
                        <w:szCs w:val="19"/>
                        <w:lang w:val="es"/>
                      </w:rPr>
                      <w:t>Patentes</w:t>
                    </w:r>
                  </w:p>
                  <w:p w:rsidR="006F78F6" w:rsidRDefault="006F78F6" w:rsidP="006F78F6">
                    <w:pPr>
                      <w:pStyle w:val="ListParagraph"/>
                      <w:numPr>
                        <w:ilvl w:val="0"/>
                        <w:numId w:val="9"/>
                      </w:numPr>
                      <w:rPr>
                        <w:rFonts w:eastAsia="Times New Roman"/>
                        <w:sz w:val="19"/>
                      </w:rPr>
                    </w:pPr>
                    <w:r>
                      <w:rPr>
                        <w:color w:val="000000" w:themeColor="text1"/>
                        <w:kern w:val="24"/>
                        <w:sz w:val="19"/>
                        <w:szCs w:val="19"/>
                        <w:lang w:val="es"/>
                      </w:rPr>
                      <w:t>Marcas</w:t>
                    </w:r>
                  </w:p>
                  <w:p w:rsidR="006F78F6" w:rsidRDefault="006F78F6" w:rsidP="006F78F6">
                    <w:pPr>
                      <w:pStyle w:val="ListParagraph"/>
                      <w:numPr>
                        <w:ilvl w:val="0"/>
                        <w:numId w:val="9"/>
                      </w:numPr>
                      <w:rPr>
                        <w:rFonts w:eastAsia="Times New Roman"/>
                        <w:sz w:val="19"/>
                      </w:rPr>
                    </w:pPr>
                    <w:r>
                      <w:rPr>
                        <w:color w:val="000000" w:themeColor="text1"/>
                        <w:kern w:val="24"/>
                        <w:sz w:val="19"/>
                        <w:szCs w:val="19"/>
                        <w:lang w:val="es"/>
                      </w:rPr>
                      <w:t>Dibujos y modelos</w:t>
                    </w:r>
                  </w:p>
                  <w:p w:rsidR="006F78F6" w:rsidRDefault="00AB60AB" w:rsidP="006F78F6">
                    <w:pPr>
                      <w:pStyle w:val="ListParagraph"/>
                      <w:numPr>
                        <w:ilvl w:val="0"/>
                        <w:numId w:val="9"/>
                      </w:numPr>
                      <w:rPr>
                        <w:rFonts w:eastAsia="Times New Roman"/>
                        <w:sz w:val="19"/>
                      </w:rPr>
                    </w:pPr>
                    <w:r>
                      <w:rPr>
                        <w:color w:val="000000" w:themeColor="text1"/>
                        <w:kern w:val="24"/>
                        <w:sz w:val="19"/>
                        <w:szCs w:val="19"/>
                        <w:lang w:val="es"/>
                      </w:rPr>
                      <w:t>II.GG.</w:t>
                    </w:r>
                  </w:p>
                  <w:p w:rsidR="006F78F6" w:rsidRDefault="006F78F6" w:rsidP="006F78F6">
                    <w:pPr>
                      <w:pStyle w:val="ListParagraph"/>
                      <w:numPr>
                        <w:ilvl w:val="0"/>
                        <w:numId w:val="9"/>
                      </w:numPr>
                      <w:rPr>
                        <w:rFonts w:eastAsia="Times New Roman"/>
                        <w:sz w:val="19"/>
                      </w:rPr>
                    </w:pPr>
                    <w:r>
                      <w:rPr>
                        <w:color w:val="000000" w:themeColor="text1"/>
                        <w:kern w:val="24"/>
                        <w:sz w:val="19"/>
                        <w:szCs w:val="19"/>
                        <w:lang w:val="es"/>
                      </w:rPr>
                      <w:t>Otros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rQQ8UAAADbAAAADwAAAGRycy9kb3ducmV2LnhtbESPQWvCQBCF74L/YRnBm24ULSV1FVEE&#10;i2CJCsXbmJ0modnZsLs18d+7hUJvM7w373uzWHWmFndyvrKsYDJOQBDnVldcKLicd6NXED4ga6wt&#10;k4IHeVgt+70Fptq2nNH9FAoRQ9inqKAMoUml9HlJBv3YNsRR+7LOYIirK6R22MZwU8tpkrxIgxVH&#10;QokNbUrKv08/JkK2s2x++DzcZpStP9rb+/UY3FWp4aBbv4EI1IV/89/1Xsf6E/j9JQ4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rQQ8UAAADbAAAADwAAAAAAAAAA&#10;AAAAAAChAgAAZHJzL2Rvd25yZXYueG1sUEsFBgAAAAAEAAQA+QAAAJMDAAAAAA==&#10;" strokecolor="#4579b8 [3044]">
              <v:stroke endarrow="open"/>
            </v:shape>
            <v:rect id="Rectangle 12" o:spid="_x0000_s1036" style="position:absolute;left:28308;top:26194;width:12963;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eccIA&#10;AADbAAAADwAAAGRycy9kb3ducmV2LnhtbERPTWvCQBC9F/oflhG81Y0epKSuokJBUAsxttDbsDsm&#10;0exsyK4a++u7guBtHu9zJrPO1uJCra8cKxgOEhDE2pmKCwX7/PPtHYQPyAZrx6TgRh5m09eXCabG&#10;XTmjyy4UIoawT1FBGUKTSul1SRb9wDXEkTu41mKIsC2kafEaw20tR0kylhYrjg0lNrQsSZ92Z6uA&#10;vn+O2d/vWn9t9NxlvAz5It8q1e918w8QgbrwFD/cKxPnj+D+Szx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15xwgAAANsAAAAPAAAAAAAAAAAAAAAAAJgCAABkcnMvZG93&#10;bnJldi54bWxQSwUGAAAAAAQABAD1AAAAhwMAAAAA&#10;" filled="f" strokecolor="#243f60 [1604]" strokeweight="2pt"/>
            <v:shape id="TextBox 74" o:spid="_x0000_s1037" type="#_x0000_t202" style="position:absolute;left:16527;top:12796;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6F78F6" w:rsidRDefault="006F78F6" w:rsidP="006F78F6">
                    <w:pPr>
                      <w:pStyle w:val="NormalWeb"/>
                      <w:spacing w:before="0" w:beforeAutospacing="0" w:after="0" w:afterAutospacing="0"/>
                      <w:jc w:val="center"/>
                      <w:rPr>
                        <w:sz w:val="24"/>
                        <w:szCs w:val="24"/>
                      </w:rPr>
                    </w:pPr>
                    <w:r>
                      <w:rPr>
                        <w:rFonts w:cs="Arial"/>
                        <w:color w:val="000000" w:themeColor="text1"/>
                        <w:kern w:val="24"/>
                        <w:sz w:val="20"/>
                        <w:lang w:val="es"/>
                      </w:rPr>
                      <w:t>Solicitud</w:t>
                    </w:r>
                  </w:p>
                </w:txbxContent>
              </v:textbox>
            </v:shape>
            <v:shape id="TextBox 75" o:spid="_x0000_s1038" type="#_x0000_t202" style="position:absolute;left:16621;top:16570;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6F78F6" w:rsidRDefault="006F78F6" w:rsidP="006F78F6">
                    <w:pPr>
                      <w:pStyle w:val="NormalWeb"/>
                      <w:spacing w:before="0" w:beforeAutospacing="0" w:after="0" w:afterAutospacing="0"/>
                      <w:jc w:val="center"/>
                      <w:rPr>
                        <w:sz w:val="24"/>
                        <w:szCs w:val="24"/>
                      </w:rPr>
                    </w:pPr>
                    <w:r>
                      <w:rPr>
                        <w:rFonts w:cs="Arial"/>
                        <w:color w:val="000000" w:themeColor="text1"/>
                        <w:kern w:val="24"/>
                        <w:sz w:val="20"/>
                        <w:lang w:val="es"/>
                      </w:rPr>
                      <w:t>Respuesta</w:t>
                    </w:r>
                  </w:p>
                </w:txbxContent>
              </v:textbox>
            </v:shape>
            <v:shape id="Straight Arrow Connector 15" o:spid="_x0000_s1039" type="#_x0000_t32" style="position:absolute;left:12697;top:6448;width:155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TsAAAADbAAAADwAAAGRycy9kb3ducmV2LnhtbERPS4vCMBC+C/sfwizszaauVErXKCKU&#10;9eoL9DbbjG2xmZQm1e6/N4LgbT6+58yXg2nEjTpXW1YwiWIQxIXVNZcKDvt8nIJwHlljY5kU/JOD&#10;5eJjNMdM2ztv6bbzpQgh7DJUUHnfZlK6oiKDLrItceAutjPoA+xKqTu8h3DTyO84nkmDNYeGClta&#10;V1Rcd71RML38Db+pX8k0P9l13ydJcszPSn19DqsfEJ4G/xa/3Bsd5ifw/CUc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v4U7AAAAA2wAAAA8AAAAAAAAAAAAAAAAA&#10;oQIAAGRycy9kb3ducmV2LnhtbFBLBQYAAAAABAAEAPkAAACOAwAAAAA=&#10;" strokecolor="#4579b8 [3044]">
              <v:stroke endarrow="open"/>
            </v:shape>
            <v:shape id="Straight Arrow Connector 16" o:spid="_x0000_s1040" type="#_x0000_t32" style="position:absolute;left:12877;top:16572;width:155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v:shape id="Straight Arrow Connector 17" o:spid="_x0000_s1041" type="#_x0000_t32" style="position:absolute;left:12697;top:8078;width:1566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trMUAAADbAAAADwAAAGRycy9kb3ducmV2LnhtbESPQWvCQBCF7wX/wzJCb3VjsVWiq4il&#10;0CJYooJ4G7NjEszOht2tif/eFQq9zfDevO/NbNGZWlzJ+cqyguEgAUGcW11xoWC/+3yZgPABWWNt&#10;mRTcyMNi3nuaYaptyxldt6EQMYR9igrKEJpUSp+XZNAPbEMctbN1BkNcXSG1wzaGm1q+Jsm7NFhx&#10;JJTY0Kqk/LL9NRHyMcre1of1aUTZ8qc9fR83wR2Veu53yymIQF34N/9df+lYfwyPX+IA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trMUAAADbAAAADwAAAAAAAAAA&#10;AAAAAAChAgAAZHJzL2Rvd25yZXYueG1sUEsFBgAAAAAEAAQA+QAAAJMDAAAAAA==&#10;" strokecolor="#4579b8 [3044]">
              <v:stroke endarrow="open"/>
            </v:shape>
            <v:shape id="Straight Arrow Connector 18" o:spid="_x0000_s1042" type="#_x0000_t32" style="position:absolute;left:12877;top:15200;width:1554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B53sQAAADbAAAADwAAAGRycy9kb3ducmV2LnhtbESPTWvCQBCG70L/wzKF3nTTolKiq0hL&#10;oSIosQXxNmanSWh2NuxuTfrvOwehtxnm/XhmuR5cq64UYuPZwOMkA0VcettwZeDz4238DComZIut&#10;ZzLwSxHWq7vREnPrey7oekyVkhCOORqoU+pyrWNZk8M48R2x3L58cJhkDZW2AXsJd61+yrK5dtiw&#10;NNTY0UtN5ffxx0nJ67SY7U67y5SKzaG/bM/7FM7GPNwPmwWoREP6F9/c71bwBVZ+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HnexAAAANsAAAAPAAAAAAAAAAAA&#10;AAAAAKECAABkcnMvZG93bnJldi54bWxQSwUGAAAAAAQABAD5AAAAkgMAAAAA&#10;" strokecolor="#4579b8 [3044]">
              <v:stroke endarrow="open"/>
            </v:shape>
            <v:shape id="TextBox 89" o:spid="_x0000_s1043" type="#_x0000_t202" style="position:absolute;left:488;top:13195;width:11532;height: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6F78F6" w:rsidRDefault="006F78F6" w:rsidP="006F78F6">
                    <w:pPr>
                      <w:pStyle w:val="ListParagraph"/>
                      <w:numPr>
                        <w:ilvl w:val="0"/>
                        <w:numId w:val="10"/>
                      </w:numPr>
                      <w:rPr>
                        <w:rFonts w:eastAsia="Times New Roman"/>
                        <w:sz w:val="19"/>
                        <w:szCs w:val="24"/>
                      </w:rPr>
                    </w:pPr>
                    <w:r>
                      <w:rPr>
                        <w:color w:val="000000" w:themeColor="text1"/>
                        <w:kern w:val="24"/>
                        <w:sz w:val="19"/>
                        <w:szCs w:val="19"/>
                        <w:lang w:val="es"/>
                      </w:rPr>
                      <w:t>Presentación</w:t>
                    </w:r>
                  </w:p>
                  <w:p w:rsidR="006F78F6" w:rsidRDefault="006F78F6" w:rsidP="006F78F6">
                    <w:pPr>
                      <w:pStyle w:val="ListParagraph"/>
                      <w:numPr>
                        <w:ilvl w:val="0"/>
                        <w:numId w:val="10"/>
                      </w:numPr>
                      <w:rPr>
                        <w:rFonts w:eastAsia="Times New Roman"/>
                        <w:sz w:val="19"/>
                      </w:rPr>
                    </w:pPr>
                    <w:r>
                      <w:rPr>
                        <w:color w:val="000000" w:themeColor="text1"/>
                        <w:kern w:val="24"/>
                        <w:sz w:val="19"/>
                        <w:szCs w:val="19"/>
                        <w:lang w:val="es"/>
                      </w:rPr>
                      <w:t xml:space="preserve">Tramitación </w:t>
                    </w:r>
                  </w:p>
                  <w:p w:rsidR="006F78F6" w:rsidRDefault="006F78F6" w:rsidP="006F78F6">
                    <w:pPr>
                      <w:pStyle w:val="ListParagraph"/>
                      <w:numPr>
                        <w:ilvl w:val="0"/>
                        <w:numId w:val="10"/>
                      </w:numPr>
                      <w:rPr>
                        <w:rFonts w:eastAsia="Times New Roman"/>
                        <w:sz w:val="19"/>
                      </w:rPr>
                    </w:pPr>
                    <w:r>
                      <w:rPr>
                        <w:color w:val="000000" w:themeColor="text1"/>
                        <w:kern w:val="24"/>
                        <w:sz w:val="19"/>
                        <w:szCs w:val="19"/>
                        <w:lang w:val="es"/>
                      </w:rPr>
                      <w:t>Publicación</w:t>
                    </w:r>
                  </w:p>
                  <w:p w:rsidR="006F78F6" w:rsidRDefault="006F78F6" w:rsidP="006F78F6">
                    <w:pPr>
                      <w:pStyle w:val="ListParagraph"/>
                      <w:numPr>
                        <w:ilvl w:val="0"/>
                        <w:numId w:val="10"/>
                      </w:numPr>
                      <w:rPr>
                        <w:rFonts w:eastAsia="Times New Roman"/>
                        <w:sz w:val="19"/>
                      </w:rPr>
                    </w:pPr>
                    <w:r>
                      <w:rPr>
                        <w:color w:val="000000" w:themeColor="text1"/>
                        <w:kern w:val="24"/>
                        <w:sz w:val="19"/>
                        <w:szCs w:val="19"/>
                        <w:lang w:val="es"/>
                      </w:rPr>
                      <w:t>Búsqueda</w:t>
                    </w:r>
                  </w:p>
                  <w:p w:rsidR="006F78F6" w:rsidRDefault="006F78F6" w:rsidP="006F78F6">
                    <w:pPr>
                      <w:pStyle w:val="ListParagraph"/>
                      <w:numPr>
                        <w:ilvl w:val="0"/>
                        <w:numId w:val="10"/>
                      </w:numPr>
                      <w:rPr>
                        <w:rFonts w:eastAsia="Times New Roman"/>
                        <w:sz w:val="19"/>
                      </w:rPr>
                    </w:pPr>
                    <w:r>
                      <w:rPr>
                        <w:color w:val="000000" w:themeColor="text1"/>
                        <w:kern w:val="24"/>
                        <w:sz w:val="19"/>
                        <w:szCs w:val="19"/>
                        <w:lang w:val="es"/>
                      </w:rPr>
                      <w:t xml:space="preserve">         ...</w:t>
                    </w:r>
                  </w:p>
                  <w:p w:rsidR="006F78F6" w:rsidRDefault="006F78F6" w:rsidP="006F78F6">
                    <w:pPr>
                      <w:pStyle w:val="NormalWeb"/>
                      <w:spacing w:before="0" w:beforeAutospacing="0" w:after="0" w:afterAutospacing="0"/>
                      <w:rPr>
                        <w:rFonts w:eastAsiaTheme="minorEastAsia"/>
                      </w:rPr>
                    </w:pPr>
                    <w:r>
                      <w:rPr>
                        <w:rFonts w:cs="Arial"/>
                        <w:color w:val="000000" w:themeColor="text1"/>
                        <w:kern w:val="24"/>
                        <w:sz w:val="20"/>
                        <w:lang w:val="es"/>
                      </w:rPr>
                      <w:t xml:space="preserve">      </w:t>
                    </w:r>
                  </w:p>
                </w:txbxContent>
              </v:textbox>
            </v:shape>
            <v:shape id="Straight Arrow Connector 20" o:spid="_x0000_s1044" type="#_x0000_t32" style="position:absolute;left:6254;top:20959;width:11;height:51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q/ZcIAAADbAAAADwAAAGRycy9kb3ducmV2LnhtbERPTWvCQBC9F/oflil4q5uKlhJdRVoK&#10;FaElVhBvY3ZMQrOzYXc16b/vHAoeH+97sRpcq64UYuPZwNM4A0VcettwZWD//f74AiomZIutZzLw&#10;SxFWy/u7BebW91zQdZcqJSEcczRQp9TlWseyJodx7Dti4c4+OEwCQ6VtwF7CXasnWfasHTYsDTV2&#10;9FpT+bO7OCl5mxaz7WF7mlKx/upPm+NnCkdjRg/Deg4q0ZBu4n/3hzUwkfXyRX6AX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q/ZcIAAADbAAAADwAAAAAAAAAAAAAA&#10;AAChAgAAZHJzL2Rvd25yZXYueG1sUEsFBgAAAAAEAAQA+QAAAJADAAAAAA==&#10;" strokecolor="#4579b8 [3044]">
              <v:stroke endarrow="open"/>
            </v:shape>
            <v:shape id="TextBox 97" o:spid="_x0000_s1045" type="#_x0000_t202" style="position:absolute;left:29033;top:26566;width:1143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6F78F6" w:rsidRPr="00713F5B" w:rsidRDefault="006F78F6" w:rsidP="006F78F6">
                    <w:pPr>
                      <w:pStyle w:val="NormalWeb"/>
                      <w:spacing w:before="0" w:beforeAutospacing="0" w:after="0" w:afterAutospacing="0"/>
                      <w:jc w:val="center"/>
                      <w:rPr>
                        <w:sz w:val="24"/>
                        <w:szCs w:val="24"/>
                        <w:lang w:val="fr-CH"/>
                      </w:rPr>
                    </w:pPr>
                    <w:r>
                      <w:rPr>
                        <w:rFonts w:cs="Arial"/>
                        <w:color w:val="000000" w:themeColor="text1"/>
                        <w:kern w:val="24"/>
                        <w:sz w:val="19"/>
                        <w:szCs w:val="19"/>
                        <w:lang w:val="es"/>
                      </w:rPr>
                      <w:t>Móvil</w:t>
                    </w:r>
                  </w:p>
                  <w:p w:rsidR="006F78F6" w:rsidRPr="00713F5B" w:rsidRDefault="006F78F6" w:rsidP="006F78F6">
                    <w:pPr>
                      <w:pStyle w:val="NormalWeb"/>
                      <w:spacing w:before="0" w:beforeAutospacing="0" w:after="0" w:afterAutospacing="0"/>
                      <w:jc w:val="center"/>
                      <w:rPr>
                        <w:lang w:val="fr-CH"/>
                      </w:rPr>
                    </w:pPr>
                    <w:r>
                      <w:rPr>
                        <w:rFonts w:cs="Arial"/>
                        <w:color w:val="000000" w:themeColor="text1"/>
                        <w:kern w:val="24"/>
                        <w:sz w:val="19"/>
                        <w:szCs w:val="19"/>
                        <w:lang w:val="es"/>
                      </w:rPr>
                      <w:t>Comp</w:t>
                    </w:r>
                    <w:r w:rsidR="00AB60AB">
                      <w:rPr>
                        <w:rFonts w:cs="Arial"/>
                        <w:color w:val="000000" w:themeColor="text1"/>
                        <w:kern w:val="24"/>
                        <w:sz w:val="19"/>
                        <w:szCs w:val="19"/>
                        <w:lang w:val="es"/>
                      </w:rPr>
                      <w:t>.</w:t>
                    </w:r>
                    <w:r>
                      <w:rPr>
                        <w:rFonts w:cs="Arial"/>
                        <w:color w:val="000000" w:themeColor="text1"/>
                        <w:kern w:val="24"/>
                        <w:sz w:val="19"/>
                        <w:szCs w:val="19"/>
                        <w:lang w:val="es"/>
                      </w:rPr>
                      <w:t xml:space="preserve"> portátil</w:t>
                    </w:r>
                  </w:p>
                  <w:p w:rsidR="006F78F6" w:rsidRPr="00713F5B" w:rsidRDefault="006F78F6" w:rsidP="006F78F6">
                    <w:pPr>
                      <w:pStyle w:val="NormalWeb"/>
                      <w:spacing w:before="0" w:beforeAutospacing="0" w:after="0" w:afterAutospacing="0"/>
                      <w:jc w:val="center"/>
                      <w:rPr>
                        <w:lang w:val="fr-CH"/>
                      </w:rPr>
                    </w:pPr>
                    <w:r>
                      <w:rPr>
                        <w:rFonts w:cs="Arial"/>
                        <w:color w:val="000000" w:themeColor="text1"/>
                        <w:kern w:val="24"/>
                        <w:sz w:val="19"/>
                        <w:szCs w:val="19"/>
                        <w:lang w:val="es"/>
                      </w:rPr>
                      <w:t>Comp</w:t>
                    </w:r>
                    <w:r w:rsidR="00AB60AB">
                      <w:rPr>
                        <w:rFonts w:cs="Arial"/>
                        <w:color w:val="000000" w:themeColor="text1"/>
                        <w:kern w:val="24"/>
                        <w:sz w:val="19"/>
                        <w:szCs w:val="19"/>
                        <w:lang w:val="es"/>
                      </w:rPr>
                      <w:t>.</w:t>
                    </w:r>
                    <w:r>
                      <w:rPr>
                        <w:rFonts w:cs="Arial"/>
                        <w:color w:val="000000" w:themeColor="text1"/>
                        <w:kern w:val="24"/>
                        <w:sz w:val="19"/>
                        <w:szCs w:val="19"/>
                        <w:lang w:val="es"/>
                      </w:rPr>
                      <w:t xml:space="preserve"> de sobremesa</w:t>
                    </w:r>
                    <w:r>
                      <w:rPr>
                        <w:rFonts w:cs="Arial"/>
                        <w:color w:val="000000" w:themeColor="text1"/>
                        <w:kern w:val="24"/>
                        <w:sz w:val="18"/>
                        <w:szCs w:val="18"/>
                        <w:lang w:val="es"/>
                      </w:rPr>
                      <w:t xml:space="preserve"> </w:t>
                    </w:r>
                  </w:p>
                </w:txbxContent>
              </v:textbox>
            </v:shape>
            <v:rect id="Rectangle 22" o:spid="_x0000_s1046" style="position:absolute;left:28391;top:2462;width:12880;height:18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UzMQA&#10;AADbAAAADwAAAGRycy9kb3ducmV2LnhtbESPQWvCQBSE74L/YXmCN92Yg5ToKlYQCq2FGC309th9&#10;TdJm34bsVqO/3i0UPA4z8w2zXPe2EWfqfO1YwWyagCDWztRcKjgWu8kTCB+QDTaOScGVPKxXw8ES&#10;M+MunNP5EEoRIewzVFCF0GZSel2RRT91LXH0vlxnMUTZldJ0eIlw28g0SebSYs1xocKWthXpn8Ov&#10;VUCnj+/89vmq39/0xuW8DcVzsVdqPOo3CxCB+vAI/7dfjII0hb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lMzEAAAA2wAAAA8AAAAAAAAAAAAAAAAAmAIAAGRycy9k&#10;b3ducmV2LnhtbFBLBQYAAAAABAAEAPUAAACJAwAAAAA=&#10;" filled="f" strokecolor="#243f60 [1604]" strokeweight="2pt">
              <v:textbox>
                <w:txbxContent>
                  <w:p w:rsidR="006F78F6" w:rsidRDefault="006F78F6" w:rsidP="006F78F6">
                    <w:pPr>
                      <w:pStyle w:val="NormalWeb"/>
                      <w:spacing w:before="0" w:beforeAutospacing="0" w:after="0" w:afterAutospacing="0"/>
                      <w:jc w:val="center"/>
                      <w:rPr>
                        <w:sz w:val="24"/>
                        <w:szCs w:val="24"/>
                      </w:rPr>
                    </w:pPr>
                    <w:r>
                      <w:rPr>
                        <w:rFonts w:asciiTheme="minorHAnsi" w:hAnsiTheme="minorHAnsi" w:cstheme="minorBidi"/>
                        <w:color w:val="FFFFFF" w:themeColor="light1"/>
                        <w:kern w:val="24"/>
                        <w:sz w:val="36"/>
                        <w:szCs w:val="36"/>
                        <w:lang w:val="es"/>
                      </w:rPr>
                      <w:t>q54331</w:t>
                    </w:r>
                  </w:p>
                </w:txbxContent>
              </v:textbox>
            </v:rect>
            <v:rect id="Rectangle 23" o:spid="_x0000_s1047" style="position:absolute;left:29033;top:3405;width:11437;height:9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vcsQA&#10;AADbAAAADwAAAGRycy9kb3ducmV2LnhtbESPT2sCMRTE7wW/Q3iF3mq2C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W73LEAAAA2wAAAA8AAAAAAAAAAAAAAAAAmAIAAGRycy9k&#10;b3ducmV2LnhtbFBLBQYAAAAABAAEAPUAAACJAwAAAAA=&#10;" filled="f" strokecolor="black [3213]">
              <v:textbox>
                <w:txbxContent>
                  <w:p w:rsidR="006F78F6" w:rsidRDefault="006F78F6" w:rsidP="006F78F6">
                    <w:pPr>
                      <w:pStyle w:val="ListParagraph"/>
                      <w:numPr>
                        <w:ilvl w:val="0"/>
                        <w:numId w:val="11"/>
                      </w:numPr>
                      <w:rPr>
                        <w:rFonts w:eastAsia="Times New Roman"/>
                        <w:sz w:val="19"/>
                        <w:szCs w:val="24"/>
                      </w:rPr>
                    </w:pPr>
                    <w:r>
                      <w:rPr>
                        <w:color w:val="000000" w:themeColor="text1"/>
                        <w:kern w:val="24"/>
                        <w:sz w:val="19"/>
                        <w:szCs w:val="19"/>
                        <w:lang w:val="es"/>
                      </w:rPr>
                      <w:t>Patentes</w:t>
                    </w:r>
                  </w:p>
                  <w:p w:rsidR="006F78F6" w:rsidRDefault="006F78F6" w:rsidP="006F78F6">
                    <w:pPr>
                      <w:pStyle w:val="ListParagraph"/>
                      <w:numPr>
                        <w:ilvl w:val="0"/>
                        <w:numId w:val="11"/>
                      </w:numPr>
                      <w:rPr>
                        <w:rFonts w:eastAsia="Times New Roman"/>
                        <w:sz w:val="19"/>
                      </w:rPr>
                    </w:pPr>
                    <w:r>
                      <w:rPr>
                        <w:color w:val="000000" w:themeColor="text1"/>
                        <w:kern w:val="24"/>
                        <w:sz w:val="19"/>
                        <w:szCs w:val="19"/>
                        <w:lang w:val="es"/>
                      </w:rPr>
                      <w:t>Marcas</w:t>
                    </w:r>
                  </w:p>
                  <w:p w:rsidR="006F78F6" w:rsidRDefault="006F78F6" w:rsidP="006F78F6">
                    <w:pPr>
                      <w:pStyle w:val="ListParagraph"/>
                      <w:numPr>
                        <w:ilvl w:val="0"/>
                        <w:numId w:val="11"/>
                      </w:numPr>
                      <w:rPr>
                        <w:rFonts w:eastAsia="Times New Roman"/>
                        <w:sz w:val="19"/>
                      </w:rPr>
                    </w:pPr>
                    <w:r>
                      <w:rPr>
                        <w:color w:val="000000" w:themeColor="text1"/>
                        <w:kern w:val="24"/>
                        <w:sz w:val="19"/>
                        <w:szCs w:val="19"/>
                        <w:lang w:val="es"/>
                      </w:rPr>
                      <w:t>Dibujos y modelos</w:t>
                    </w:r>
                  </w:p>
                  <w:p w:rsidR="006F78F6" w:rsidRDefault="00AB60AB" w:rsidP="006F78F6">
                    <w:pPr>
                      <w:pStyle w:val="ListParagraph"/>
                      <w:numPr>
                        <w:ilvl w:val="0"/>
                        <w:numId w:val="11"/>
                      </w:numPr>
                      <w:rPr>
                        <w:rFonts w:eastAsia="Times New Roman"/>
                        <w:sz w:val="19"/>
                      </w:rPr>
                    </w:pPr>
                    <w:r>
                      <w:rPr>
                        <w:color w:val="000000" w:themeColor="text1"/>
                        <w:kern w:val="24"/>
                        <w:sz w:val="19"/>
                        <w:szCs w:val="19"/>
                        <w:lang w:val="es"/>
                      </w:rPr>
                      <w:t>II.GG.</w:t>
                    </w:r>
                  </w:p>
                  <w:p w:rsidR="006F78F6" w:rsidRDefault="006F78F6" w:rsidP="006F78F6">
                    <w:pPr>
                      <w:pStyle w:val="ListParagraph"/>
                      <w:numPr>
                        <w:ilvl w:val="0"/>
                        <w:numId w:val="11"/>
                      </w:numPr>
                      <w:rPr>
                        <w:rFonts w:eastAsia="Times New Roman"/>
                        <w:sz w:val="19"/>
                      </w:rPr>
                    </w:pPr>
                    <w:r>
                      <w:rPr>
                        <w:color w:val="000000" w:themeColor="text1"/>
                        <w:kern w:val="24"/>
                        <w:sz w:val="19"/>
                        <w:szCs w:val="19"/>
                        <w:lang w:val="es"/>
                      </w:rPr>
                      <w:t>Otros</w:t>
                    </w:r>
                  </w:p>
                </w:txbxContent>
              </v:textbox>
            </v:rect>
            <v:shape id="TextBox 100" o:spid="_x0000_s1048" type="#_x0000_t202" style="position:absolute;left:29068;top:12845;width:11125;height:7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6F78F6" w:rsidRDefault="006F78F6" w:rsidP="006F78F6">
                    <w:pPr>
                      <w:pStyle w:val="ListParagraph"/>
                      <w:numPr>
                        <w:ilvl w:val="0"/>
                        <w:numId w:val="12"/>
                      </w:numPr>
                      <w:rPr>
                        <w:rFonts w:eastAsia="Times New Roman"/>
                        <w:sz w:val="19"/>
                        <w:szCs w:val="24"/>
                      </w:rPr>
                    </w:pPr>
                    <w:r>
                      <w:rPr>
                        <w:color w:val="000000" w:themeColor="text1"/>
                        <w:kern w:val="24"/>
                        <w:sz w:val="19"/>
                        <w:szCs w:val="19"/>
                        <w:lang w:val="es"/>
                      </w:rPr>
                      <w:t>Presentación</w:t>
                    </w:r>
                  </w:p>
                  <w:p w:rsidR="006F78F6" w:rsidRDefault="006F78F6" w:rsidP="006F78F6">
                    <w:pPr>
                      <w:pStyle w:val="ListParagraph"/>
                      <w:numPr>
                        <w:ilvl w:val="0"/>
                        <w:numId w:val="12"/>
                      </w:numPr>
                      <w:rPr>
                        <w:rFonts w:eastAsia="Times New Roman"/>
                        <w:sz w:val="19"/>
                      </w:rPr>
                    </w:pPr>
                    <w:r>
                      <w:rPr>
                        <w:color w:val="000000" w:themeColor="text1"/>
                        <w:kern w:val="24"/>
                        <w:sz w:val="19"/>
                        <w:szCs w:val="19"/>
                        <w:lang w:val="es"/>
                      </w:rPr>
                      <w:t xml:space="preserve">Tramitación </w:t>
                    </w:r>
                  </w:p>
                  <w:p w:rsidR="006F78F6" w:rsidRDefault="006F78F6" w:rsidP="006F78F6">
                    <w:pPr>
                      <w:pStyle w:val="ListParagraph"/>
                      <w:numPr>
                        <w:ilvl w:val="0"/>
                        <w:numId w:val="12"/>
                      </w:numPr>
                      <w:rPr>
                        <w:rFonts w:eastAsia="Times New Roman"/>
                        <w:sz w:val="19"/>
                      </w:rPr>
                    </w:pPr>
                    <w:r>
                      <w:rPr>
                        <w:color w:val="000000" w:themeColor="text1"/>
                        <w:kern w:val="24"/>
                        <w:sz w:val="19"/>
                        <w:szCs w:val="19"/>
                        <w:lang w:val="es"/>
                      </w:rPr>
                      <w:t>Publicación</w:t>
                    </w:r>
                  </w:p>
                  <w:p w:rsidR="006F78F6" w:rsidRDefault="006F78F6" w:rsidP="006F78F6">
                    <w:pPr>
                      <w:pStyle w:val="ListParagraph"/>
                      <w:numPr>
                        <w:ilvl w:val="0"/>
                        <w:numId w:val="12"/>
                      </w:numPr>
                      <w:rPr>
                        <w:rFonts w:eastAsia="Times New Roman"/>
                        <w:sz w:val="19"/>
                      </w:rPr>
                    </w:pPr>
                    <w:r>
                      <w:rPr>
                        <w:color w:val="000000" w:themeColor="text1"/>
                        <w:kern w:val="24"/>
                        <w:sz w:val="19"/>
                        <w:szCs w:val="19"/>
                        <w:lang w:val="es"/>
                      </w:rPr>
                      <w:t>Búsqueda</w:t>
                    </w:r>
                  </w:p>
                  <w:p w:rsidR="006F78F6" w:rsidRDefault="006F78F6" w:rsidP="006F78F6">
                    <w:pPr>
                      <w:pStyle w:val="ListParagraph"/>
                      <w:numPr>
                        <w:ilvl w:val="0"/>
                        <w:numId w:val="12"/>
                      </w:numPr>
                      <w:rPr>
                        <w:rFonts w:eastAsia="Times New Roman"/>
                        <w:sz w:val="19"/>
                      </w:rPr>
                    </w:pPr>
                    <w:r>
                      <w:rPr>
                        <w:color w:val="000000" w:themeColor="text1"/>
                        <w:kern w:val="24"/>
                        <w:sz w:val="19"/>
                        <w:szCs w:val="19"/>
                        <w:lang w:val="es"/>
                      </w:rPr>
                      <w:t xml:space="preserve">         ...</w:t>
                    </w:r>
                  </w:p>
                  <w:p w:rsidR="006F78F6" w:rsidRDefault="006F78F6" w:rsidP="006F78F6">
                    <w:pPr>
                      <w:pStyle w:val="NormalWeb"/>
                      <w:spacing w:before="0" w:beforeAutospacing="0" w:after="0" w:afterAutospacing="0"/>
                      <w:rPr>
                        <w:rFonts w:eastAsiaTheme="minorEastAsia"/>
                      </w:rPr>
                    </w:pPr>
                    <w:r>
                      <w:rPr>
                        <w:rFonts w:cs="Arial"/>
                        <w:color w:val="000000" w:themeColor="text1"/>
                        <w:kern w:val="24"/>
                        <w:sz w:val="20"/>
                        <w:lang w:val="es"/>
                      </w:rPr>
                      <w:t xml:space="preserve">      </w:t>
                    </w:r>
                  </w:p>
                </w:txbxContent>
              </v:textbox>
            </v:shape>
            <v:shape id="Straight Arrow Connector 25" o:spid="_x0000_s1049" type="#_x0000_t32" style="position:absolute;left:7947;top:21244;width:76;height:5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0c/cQAAADbAAAADwAAAGRycy9kb3ducmV2LnhtbESPX2vCMBTF3wd+h3AF32aq6JBqFFEG&#10;G8JGVRDfrs21LTY3JYm2+/bLYODj4fz5cRarztTiQc5XlhWMhgkI4tzqigsFx8P76wyED8gaa8uk&#10;4Ic8rJa9lwWm2rac0WMfChFH2KeooAyhSaX0eUkG/dA2xNG7WmcwROkKqR22cdzUcpwkb9JgxZFQ&#10;YkObkvLb/m4iZDvJprvT7jKhbP3dXj7PX8GdlRr0u/UcRKAuPMP/7Q+tYDyF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fRz9xAAAANsAAAAPAAAAAAAAAAAA&#10;AAAAAKECAABkcnMvZG93bnJldi54bWxQSwUGAAAAAAQABAD5AAAAkgMAAAAA&#10;" strokecolor="#4579b8 [3044]">
              <v:stroke endarrow="open"/>
            </v:shape>
            <v:shape id="Straight Arrow Connector 26" o:spid="_x0000_s1050" type="#_x0000_t32" style="position:absolute;left:33700;top:21145;width:77;height:5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CisQAAADbAAAADwAAAGRycy9kb3ducmV2LnhtbESPX2vCMBTF3wd+h3AF32aqOJFqFFEG&#10;G8JGVRDfrs21LTY3JYm2+/bLYODj4fz5cRarztTiQc5XlhWMhgkI4tzqigsFx8P76wyED8gaa8uk&#10;4Ic8rJa9lwWm2rac0WMfChFH2KeooAyhSaX0eUkG/dA2xNG7WmcwROkKqR22cdzUcpwkU2mw4kgo&#10;saFNSfltfzcRsp1kb7vT7jKhbP3dXj7PX8GdlRr0u/UcRKAuPMP/7Q+tYDyFvy/x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r4KKxAAAANsAAAAPAAAAAAAAAAAA&#10;AAAAAKECAABkcnMvZG93bnJldi54bWxQSwUGAAAAAAQABAD5AAAAkgMAAAAA&#10;" strokecolor="#4579b8 [3044]">
              <v:stroke endarrow="open"/>
            </v:shape>
            <w10:wrap type="topAndBottom" anchorx="page"/>
          </v:group>
        </w:pict>
      </w:r>
      <w:r w:rsidR="006F78F6" w:rsidRPr="007F1FA8">
        <w:rPr>
          <w:szCs w:val="22"/>
        </w:rPr>
        <w:fldChar w:fldCharType="begin"/>
      </w:r>
      <w:r w:rsidR="006F78F6" w:rsidRPr="007F1FA8">
        <w:rPr>
          <w:szCs w:val="22"/>
        </w:rPr>
        <w:instrText xml:space="preserve"> AUTONUM  </w:instrText>
      </w:r>
      <w:r w:rsidR="006F78F6" w:rsidRPr="007F1FA8">
        <w:rPr>
          <w:szCs w:val="22"/>
        </w:rPr>
        <w:fldChar w:fldCharType="end"/>
      </w:r>
      <w:r w:rsidR="006F78F6" w:rsidRPr="007F1FA8">
        <w:rPr>
          <w:szCs w:val="22"/>
        </w:rPr>
        <w:tab/>
        <w:t>La norma también tiene por objeto abarcar las comunicaciones entre las oficinas de PI y sus solicitantes o usuarios de datos, así como las comunicaciones entre las propias oficinas de PI mediante conexiones entre dispositivos y entre dispositivos y aplicaciones de software.</w:t>
      </w:r>
    </w:p>
    <w:p w:rsidR="006F78F6" w:rsidRPr="007F1FA8" w:rsidRDefault="006F78F6" w:rsidP="006F78F6">
      <w:pPr>
        <w:pStyle w:val="Heading3"/>
      </w:pPr>
      <w:r w:rsidRPr="007F1FA8">
        <w:rPr>
          <w:bCs w:val="0"/>
        </w:rPr>
        <w:lastRenderedPageBreak/>
        <w:t>Estructura de la norma técnica</w:t>
      </w:r>
    </w:p>
    <w:p w:rsidR="006F78F6" w:rsidRPr="007F1FA8" w:rsidRDefault="006F78F6" w:rsidP="006F78F6">
      <w:r w:rsidRPr="007F1FA8">
        <w:fldChar w:fldCharType="begin"/>
      </w:r>
      <w:r w:rsidRPr="007F1FA8">
        <w:instrText xml:space="preserve"> AUTONUM  </w:instrText>
      </w:r>
      <w:r w:rsidRPr="007F1FA8">
        <w:fldChar w:fldCharType="end"/>
      </w:r>
      <w:r w:rsidRPr="007F1FA8">
        <w:tab/>
        <w:t>El último proyecto de trabajo, la versión 0.7, consta de un cuerpo principal y siete anexos</w:t>
      </w:r>
      <w:r w:rsidR="00AB60AB" w:rsidRPr="007F1FA8">
        <w:t xml:space="preserve">. </w:t>
      </w:r>
      <w:r w:rsidRPr="007F1FA8">
        <w:t>Los anexos I a VI están sin concluir por cuanto se está a la espera de nuevas aportaciones de los miembros del Equipo Técnico</w:t>
      </w:r>
      <w:r w:rsidR="00AB60AB" w:rsidRPr="007F1FA8">
        <w:t xml:space="preserve">. </w:t>
      </w:r>
      <w:r w:rsidRPr="007F1FA8">
        <w:t xml:space="preserve">En concreto, los anexos II y III incluirán recomendaciones basadas en las prácticas o los planes de las oficinas de PI en relación con los recursos de datos de PI que facilitarán a través de sus API web. </w:t>
      </w:r>
    </w:p>
    <w:p w:rsidR="006F78F6" w:rsidRPr="007F1FA8" w:rsidRDefault="006F78F6" w:rsidP="006F78F6"/>
    <w:p w:rsidR="006F78F6" w:rsidRPr="007F1FA8" w:rsidRDefault="006F78F6" w:rsidP="00690CDF">
      <w:pPr>
        <w:keepNext/>
        <w:keepLines/>
      </w:pPr>
      <w:r w:rsidRPr="007F1FA8">
        <w:fldChar w:fldCharType="begin"/>
      </w:r>
      <w:r w:rsidRPr="007F1FA8">
        <w:instrText xml:space="preserve"> AUTONUM  </w:instrText>
      </w:r>
      <w:r w:rsidRPr="007F1FA8">
        <w:fldChar w:fldCharType="end"/>
      </w:r>
      <w:r w:rsidRPr="007F1FA8">
        <w:tab/>
        <w:t xml:space="preserve">Por otro lado, el Anexo IV – Contrato de modelo API </w:t>
      </w:r>
      <w:r w:rsidR="007F1FA8">
        <w:t>W</w:t>
      </w:r>
      <w:r w:rsidRPr="007F1FA8">
        <w:t xml:space="preserve">eb RESTful contiene un proyecto de modelo de documentación que se basa en el </w:t>
      </w:r>
      <w:r w:rsidRPr="007F1FA8">
        <w:rPr>
          <w:szCs w:val="17"/>
        </w:rPr>
        <w:t>lenguaje de modelado API RESTful (RAML)</w:t>
      </w:r>
      <w:r w:rsidRPr="007F1FA8">
        <w:t>, como documento aparte</w:t>
      </w:r>
      <w:r w:rsidR="00AB60AB" w:rsidRPr="007F1FA8">
        <w:t xml:space="preserve">. </w:t>
      </w:r>
      <w:r w:rsidRPr="007F1FA8">
        <w:t xml:space="preserve">La Oficina Internacional prevé elaborar otro modelo de contrato basado en la </w:t>
      </w:r>
      <w:r w:rsidRPr="007F1FA8">
        <w:rPr>
          <w:szCs w:val="17"/>
        </w:rPr>
        <w:t>especificación OpenAPI (OAS)</w:t>
      </w:r>
      <w:r w:rsidRPr="007F1FA8">
        <w:t xml:space="preserve"> y el lenguaje de descripción de servicios Web (WSDL), que las oficinas de PI pueden adaptar ligeramente para poner en marcha su propia API. </w:t>
      </w:r>
    </w:p>
    <w:p w:rsidR="006F78F6" w:rsidRPr="007F1FA8" w:rsidRDefault="006F78F6" w:rsidP="006F78F6">
      <w:pPr>
        <w:pStyle w:val="Heading3"/>
      </w:pPr>
      <w:r w:rsidRPr="007F1FA8">
        <w:rPr>
          <w:bCs w:val="0"/>
        </w:rPr>
        <w:t>Temas pendientes</w:t>
      </w:r>
    </w:p>
    <w:p w:rsidR="006F78F6" w:rsidRPr="007F1FA8" w:rsidRDefault="006F78F6" w:rsidP="006F78F6">
      <w:pPr>
        <w:widowControl w:val="0"/>
        <w:spacing w:after="200" w:line="276" w:lineRule="auto"/>
        <w:rPr>
          <w:rFonts w:eastAsiaTheme="minorHAnsi"/>
          <w:szCs w:val="22"/>
        </w:rPr>
      </w:pPr>
      <w:r w:rsidRPr="007F1FA8">
        <w:rPr>
          <w:rFonts w:eastAsiaTheme="minorHAnsi"/>
          <w:szCs w:val="22"/>
        </w:rPr>
        <w:fldChar w:fldCharType="begin"/>
      </w:r>
      <w:r w:rsidRPr="007F1FA8">
        <w:rPr>
          <w:rFonts w:eastAsiaTheme="minorHAnsi"/>
          <w:szCs w:val="22"/>
        </w:rPr>
        <w:instrText xml:space="preserve"> AUTONUM  </w:instrText>
      </w:r>
      <w:r w:rsidRPr="007F1FA8">
        <w:rPr>
          <w:rFonts w:eastAsiaTheme="minorHAnsi"/>
          <w:szCs w:val="22"/>
        </w:rPr>
        <w:fldChar w:fldCharType="end"/>
      </w:r>
      <w:r w:rsidRPr="007F1FA8">
        <w:rPr>
          <w:rFonts w:eastAsiaTheme="minorHAnsi"/>
          <w:szCs w:val="22"/>
        </w:rPr>
        <w:tab/>
        <w:t xml:space="preserve">La Oficina Internacional organizó una conferencia en línea el 14 de junio de 2018 en la que participaron expertos de siete </w:t>
      </w:r>
      <w:r w:rsidR="00AB60AB" w:rsidRPr="007F1FA8">
        <w:rPr>
          <w:rFonts w:eastAsiaTheme="minorHAnsi"/>
          <w:szCs w:val="22"/>
        </w:rPr>
        <w:t>O</w:t>
      </w:r>
      <w:r w:rsidRPr="007F1FA8">
        <w:rPr>
          <w:rFonts w:eastAsiaTheme="minorHAnsi"/>
          <w:szCs w:val="22"/>
        </w:rPr>
        <w:t xml:space="preserve">ficinas de PI para debatir las siguientes cuestiones pendientes: </w:t>
      </w:r>
    </w:p>
    <w:p w:rsidR="006F78F6" w:rsidRPr="007F1FA8" w:rsidRDefault="006F78F6" w:rsidP="006F78F6">
      <w:pPr>
        <w:pStyle w:val="ListParagraph"/>
        <w:numPr>
          <w:ilvl w:val="0"/>
          <w:numId w:val="13"/>
        </w:numPr>
        <w:rPr>
          <w:lang w:val="es-ES"/>
        </w:rPr>
      </w:pPr>
      <w:r w:rsidRPr="007F1FA8">
        <w:rPr>
          <w:lang w:val="es-ES"/>
        </w:rPr>
        <w:t>el uso del singular o el plural en los nombres de los recursos; por ejemplo, persona o personas;</w:t>
      </w:r>
    </w:p>
    <w:p w:rsidR="006F78F6" w:rsidRPr="007F1FA8" w:rsidRDefault="006F78F6" w:rsidP="006F78F6">
      <w:pPr>
        <w:pStyle w:val="ListParagraph"/>
        <w:numPr>
          <w:ilvl w:val="0"/>
          <w:numId w:val="13"/>
        </w:numPr>
        <w:rPr>
          <w:lang w:val="es-ES"/>
        </w:rPr>
      </w:pPr>
      <w:r w:rsidRPr="007F1FA8">
        <w:rPr>
          <w:lang w:val="es-ES"/>
        </w:rPr>
        <w:t xml:space="preserve">el uso de RAML u OAS para el modelo de documentación de la API </w:t>
      </w:r>
      <w:r w:rsidR="007F1FA8">
        <w:rPr>
          <w:lang w:val="es-ES"/>
        </w:rPr>
        <w:t>W</w:t>
      </w:r>
      <w:r w:rsidRPr="007F1FA8">
        <w:rPr>
          <w:lang w:val="es-ES"/>
        </w:rPr>
        <w:t>eb RESTful;</w:t>
      </w:r>
    </w:p>
    <w:p w:rsidR="006F78F6" w:rsidRPr="007F1FA8" w:rsidRDefault="006F78F6" w:rsidP="006F78F6">
      <w:pPr>
        <w:pStyle w:val="ListParagraph"/>
        <w:numPr>
          <w:ilvl w:val="0"/>
          <w:numId w:val="13"/>
        </w:numPr>
        <w:rPr>
          <w:lang w:val="es-ES"/>
        </w:rPr>
      </w:pPr>
      <w:r w:rsidRPr="007F1FA8">
        <w:rPr>
          <w:lang w:val="es-ES"/>
        </w:rPr>
        <w:t>el uso de XML o JSON para la carga útil;</w:t>
      </w:r>
    </w:p>
    <w:p w:rsidR="006F78F6" w:rsidRPr="007F1FA8" w:rsidRDefault="006F78F6" w:rsidP="006F78F6">
      <w:pPr>
        <w:pStyle w:val="ListParagraph"/>
        <w:numPr>
          <w:ilvl w:val="0"/>
          <w:numId w:val="13"/>
        </w:numPr>
        <w:rPr>
          <w:lang w:val="es-ES"/>
        </w:rPr>
      </w:pPr>
      <w:r w:rsidRPr="007F1FA8">
        <w:rPr>
          <w:lang w:val="es-ES"/>
        </w:rPr>
        <w:t>la transformación de datos XML al formato JSON y el esquema JSON;</w:t>
      </w:r>
    </w:p>
    <w:p w:rsidR="006F78F6" w:rsidRPr="007F1FA8" w:rsidRDefault="006F78F6" w:rsidP="006F78F6">
      <w:pPr>
        <w:pStyle w:val="ListParagraph"/>
        <w:numPr>
          <w:ilvl w:val="0"/>
          <w:numId w:val="13"/>
        </w:numPr>
        <w:rPr>
          <w:lang w:val="es-ES"/>
        </w:rPr>
      </w:pPr>
      <w:r w:rsidRPr="007F1FA8">
        <w:rPr>
          <w:lang w:val="es-ES"/>
        </w:rPr>
        <w:t xml:space="preserve">el modelo de seguridad de la API </w:t>
      </w:r>
      <w:r w:rsidR="007F1FA8">
        <w:rPr>
          <w:lang w:val="es-ES"/>
        </w:rPr>
        <w:t>W</w:t>
      </w:r>
      <w:r w:rsidRPr="007F1FA8">
        <w:rPr>
          <w:lang w:val="es-ES"/>
        </w:rPr>
        <w:t>eb RESTful; y</w:t>
      </w:r>
    </w:p>
    <w:p w:rsidR="006F78F6" w:rsidRPr="007F1FA8" w:rsidRDefault="006F78F6" w:rsidP="006F78F6">
      <w:pPr>
        <w:pStyle w:val="ListParagraph"/>
        <w:numPr>
          <w:ilvl w:val="0"/>
          <w:numId w:val="13"/>
        </w:numPr>
        <w:rPr>
          <w:lang w:val="es-ES"/>
        </w:rPr>
      </w:pPr>
      <w:r w:rsidRPr="007F1FA8">
        <w:rPr>
          <w:lang w:val="es-ES"/>
        </w:rPr>
        <w:t>una lista de los recursos de datos de PI.</w:t>
      </w:r>
    </w:p>
    <w:p w:rsidR="006F78F6" w:rsidRPr="007F1FA8" w:rsidRDefault="006F78F6" w:rsidP="006F78F6"/>
    <w:p w:rsidR="006F78F6" w:rsidRPr="007F1FA8" w:rsidRDefault="006F78F6" w:rsidP="006F78F6">
      <w:pPr>
        <w:widowControl w:val="0"/>
        <w:spacing w:after="200" w:line="276" w:lineRule="auto"/>
        <w:rPr>
          <w:rFonts w:eastAsiaTheme="minorHAnsi"/>
          <w:szCs w:val="22"/>
        </w:rPr>
      </w:pPr>
      <w:r w:rsidRPr="007F1FA8">
        <w:rPr>
          <w:rFonts w:eastAsiaTheme="minorHAnsi"/>
          <w:szCs w:val="22"/>
        </w:rPr>
        <w:fldChar w:fldCharType="begin"/>
      </w:r>
      <w:r w:rsidRPr="007F1FA8">
        <w:rPr>
          <w:rFonts w:eastAsiaTheme="minorHAnsi"/>
          <w:szCs w:val="22"/>
        </w:rPr>
        <w:instrText xml:space="preserve"> AUTONUM  </w:instrText>
      </w:r>
      <w:r w:rsidRPr="007F1FA8">
        <w:rPr>
          <w:rFonts w:eastAsiaTheme="minorHAnsi"/>
          <w:szCs w:val="22"/>
        </w:rPr>
        <w:fldChar w:fldCharType="end"/>
      </w:r>
      <w:r w:rsidRPr="007F1FA8">
        <w:rPr>
          <w:rFonts w:eastAsiaTheme="minorHAnsi"/>
          <w:szCs w:val="22"/>
        </w:rPr>
        <w:tab/>
        <w:t>Teniendo en cuenta las deliberaciones de la reunión y otras observaciones sobre esos temas, en el proyecto de trabajo se recomienda:</w:t>
      </w:r>
    </w:p>
    <w:p w:rsidR="006F78F6" w:rsidRPr="007F1FA8" w:rsidRDefault="006F78F6" w:rsidP="006F78F6">
      <w:pPr>
        <w:pStyle w:val="ListParagraph"/>
        <w:widowControl w:val="0"/>
        <w:numPr>
          <w:ilvl w:val="0"/>
          <w:numId w:val="14"/>
        </w:numPr>
        <w:spacing w:after="200" w:line="276" w:lineRule="auto"/>
        <w:rPr>
          <w:rFonts w:eastAsiaTheme="minorHAnsi"/>
          <w:szCs w:val="22"/>
          <w:lang w:val="es-ES"/>
        </w:rPr>
      </w:pPr>
      <w:r w:rsidRPr="007F1FA8">
        <w:rPr>
          <w:rFonts w:eastAsiaTheme="minorHAnsi"/>
          <w:szCs w:val="22"/>
          <w:lang w:val="es-ES"/>
        </w:rPr>
        <w:t>utilizar el plural en lugar del singular, puesto que la mayoría de las oficinas de PI prefieren o usan la forma plural, es decir, “las personas”;</w:t>
      </w:r>
    </w:p>
    <w:p w:rsidR="006F78F6" w:rsidRPr="007F1FA8" w:rsidRDefault="006F78F6" w:rsidP="006F78F6">
      <w:pPr>
        <w:pStyle w:val="ListParagraph"/>
        <w:widowControl w:val="0"/>
        <w:numPr>
          <w:ilvl w:val="0"/>
          <w:numId w:val="14"/>
        </w:numPr>
        <w:spacing w:after="200" w:line="276" w:lineRule="auto"/>
        <w:rPr>
          <w:lang w:val="es-ES"/>
        </w:rPr>
      </w:pPr>
      <w:r w:rsidRPr="007F1FA8">
        <w:rPr>
          <w:lang w:val="es-ES"/>
        </w:rPr>
        <w:t xml:space="preserve">utilizar RAML y OAS para la </w:t>
      </w:r>
      <w:r w:rsidRPr="007F1FA8">
        <w:rPr>
          <w:szCs w:val="22"/>
          <w:lang w:val="es-ES"/>
        </w:rPr>
        <w:t xml:space="preserve">documentación modelo </w:t>
      </w:r>
      <w:r w:rsidRPr="007F1FA8">
        <w:rPr>
          <w:lang w:val="es-ES"/>
        </w:rPr>
        <w:t xml:space="preserve">de la API </w:t>
      </w:r>
      <w:r w:rsidR="007F1FA8">
        <w:rPr>
          <w:lang w:val="es-ES"/>
        </w:rPr>
        <w:t>W</w:t>
      </w:r>
      <w:r w:rsidRPr="007F1FA8">
        <w:rPr>
          <w:lang w:val="es-ES"/>
        </w:rPr>
        <w:t>eb RESTful;</w:t>
      </w:r>
    </w:p>
    <w:p w:rsidR="006F78F6" w:rsidRPr="007F1FA8" w:rsidRDefault="006F78F6" w:rsidP="006F78F6">
      <w:pPr>
        <w:pStyle w:val="ListParagraph"/>
        <w:widowControl w:val="0"/>
        <w:numPr>
          <w:ilvl w:val="0"/>
          <w:numId w:val="14"/>
        </w:numPr>
        <w:spacing w:after="200" w:line="276" w:lineRule="auto"/>
        <w:rPr>
          <w:rFonts w:eastAsiaTheme="minorHAnsi"/>
          <w:szCs w:val="22"/>
          <w:lang w:val="es-ES"/>
        </w:rPr>
      </w:pPr>
      <w:r w:rsidRPr="007F1FA8">
        <w:rPr>
          <w:rFonts w:eastAsiaTheme="minorHAnsi"/>
          <w:szCs w:val="22"/>
          <w:lang w:val="es-ES"/>
        </w:rPr>
        <w:t>utilizar XML y JSON para la carga útil;</w:t>
      </w:r>
    </w:p>
    <w:p w:rsidR="006F78F6" w:rsidRPr="007F1FA8" w:rsidRDefault="006F78F6" w:rsidP="006F78F6">
      <w:pPr>
        <w:pStyle w:val="ListParagraph"/>
        <w:widowControl w:val="0"/>
        <w:numPr>
          <w:ilvl w:val="0"/>
          <w:numId w:val="14"/>
        </w:numPr>
        <w:spacing w:after="200" w:line="276" w:lineRule="auto"/>
        <w:rPr>
          <w:rFonts w:eastAsia="MS Mincho"/>
          <w:lang w:val="es-ES"/>
        </w:rPr>
      </w:pPr>
      <w:r w:rsidRPr="007F1FA8">
        <w:rPr>
          <w:lang w:val="es-ES"/>
        </w:rPr>
        <w:t xml:space="preserve">transformar los datos en XML a JSON mediante BadgerFish hasta </w:t>
      </w:r>
      <w:r w:rsidRPr="007F1FA8">
        <w:rPr>
          <w:szCs w:val="17"/>
          <w:lang w:val="es-ES"/>
        </w:rPr>
        <w:t>que esté disponible el esquema JSON</w:t>
      </w:r>
      <w:r w:rsidR="00AB60AB" w:rsidRPr="007F1FA8">
        <w:rPr>
          <w:szCs w:val="17"/>
          <w:lang w:val="es-ES"/>
        </w:rPr>
        <w:t xml:space="preserve">. </w:t>
      </w:r>
      <w:r w:rsidRPr="007F1FA8">
        <w:rPr>
          <w:szCs w:val="17"/>
          <w:lang w:val="es-ES"/>
        </w:rPr>
        <w:t>Con</w:t>
      </w:r>
      <w:r w:rsidRPr="007F1FA8">
        <w:rPr>
          <w:lang w:val="es-ES"/>
        </w:rPr>
        <w:t>siderando que las oficinas de PI poco a poco utilizan el formato JSON con mayor frecuencia, el Equipo Técnico considera que el esquema JSON debería elaborarse sobre la base de la Norma ST.96 de la OMPI</w:t>
      </w:r>
      <w:r w:rsidR="00AB60AB" w:rsidRPr="007F1FA8">
        <w:rPr>
          <w:lang w:val="es-ES"/>
        </w:rPr>
        <w:t xml:space="preserve">. </w:t>
      </w:r>
      <w:r w:rsidRPr="007F1FA8">
        <w:rPr>
          <w:lang w:val="es-ES"/>
        </w:rPr>
        <w:t>No obstante, como no hay un estándar acordado por el sector para el esquema JSON, el Equipo Técnico sigue supervisando el desarrollo del esquema JSON en el sector</w:t>
      </w:r>
      <w:r w:rsidR="00AB60AB" w:rsidRPr="007F1FA8">
        <w:rPr>
          <w:lang w:val="es-ES"/>
        </w:rPr>
        <w:t xml:space="preserve">. </w:t>
      </w:r>
      <w:r w:rsidRPr="007F1FA8">
        <w:rPr>
          <w:lang w:val="es-ES"/>
        </w:rPr>
        <w:t xml:space="preserve">El Equipo Técnico decidió que la convención para los nombres fuese </w:t>
      </w:r>
      <w:r w:rsidRPr="007F1FA8">
        <w:rPr>
          <w:i/>
          <w:iCs/>
          <w:lang w:val="es-ES"/>
        </w:rPr>
        <w:t>lower camel case</w:t>
      </w:r>
      <w:r w:rsidRPr="007F1FA8">
        <w:rPr>
          <w:lang w:val="es-ES"/>
        </w:rPr>
        <w:t xml:space="preserve">, por ejemplo, </w:t>
      </w:r>
      <w:r w:rsidR="00AB60AB" w:rsidRPr="007F1FA8">
        <w:rPr>
          <w:lang w:val="es-ES"/>
        </w:rPr>
        <w:t>“</w:t>
      </w:r>
      <w:r w:rsidRPr="007F1FA8">
        <w:rPr>
          <w:lang w:val="es-ES"/>
        </w:rPr>
        <w:t>applicantName</w:t>
      </w:r>
      <w:r w:rsidR="00AB60AB" w:rsidRPr="007F1FA8">
        <w:rPr>
          <w:lang w:val="es-ES"/>
        </w:rPr>
        <w:t>”</w:t>
      </w:r>
      <w:r w:rsidRPr="007F1FA8">
        <w:rPr>
          <w:lang w:val="es-ES"/>
        </w:rPr>
        <w:t xml:space="preserve">, y que los nombres de los componentes XML siguieran la convención </w:t>
      </w:r>
      <w:r w:rsidRPr="007F1FA8">
        <w:rPr>
          <w:i/>
          <w:iCs/>
          <w:lang w:val="es-ES"/>
        </w:rPr>
        <w:t>upper camel case</w:t>
      </w:r>
      <w:r w:rsidRPr="007F1FA8">
        <w:rPr>
          <w:lang w:val="es-ES"/>
        </w:rPr>
        <w:t xml:space="preserve">, de conformidad con la Norma ST.96 de la OMPI, por ejemplo, </w:t>
      </w:r>
      <w:r w:rsidR="00AB60AB" w:rsidRPr="007F1FA8">
        <w:rPr>
          <w:lang w:val="es-ES"/>
        </w:rPr>
        <w:t>“</w:t>
      </w:r>
      <w:r w:rsidRPr="007F1FA8">
        <w:rPr>
          <w:lang w:val="es-ES"/>
        </w:rPr>
        <w:t>ApplicantName</w:t>
      </w:r>
      <w:r w:rsidR="00AB60AB" w:rsidRPr="007F1FA8">
        <w:rPr>
          <w:lang w:val="es-ES"/>
        </w:rPr>
        <w:t xml:space="preserve">”. </w:t>
      </w:r>
      <w:r w:rsidRPr="007F1FA8">
        <w:rPr>
          <w:lang w:val="es-ES"/>
        </w:rPr>
        <w:t>El Equipo Técnico también convino en analizar la transformación de la definición de esquemas XML (XSD) de la Norma ST.96 al esquema JSON.</w:t>
      </w:r>
    </w:p>
    <w:p w:rsidR="002E47E4" w:rsidRDefault="006F78F6" w:rsidP="006F78F6">
      <w:pPr>
        <w:pStyle w:val="ListParagraph"/>
        <w:widowControl w:val="0"/>
        <w:numPr>
          <w:ilvl w:val="0"/>
          <w:numId w:val="14"/>
        </w:numPr>
        <w:spacing w:after="200" w:line="276" w:lineRule="auto"/>
        <w:rPr>
          <w:lang w:val="es-ES"/>
        </w:rPr>
      </w:pPr>
      <w:r w:rsidRPr="007F1FA8">
        <w:rPr>
          <w:lang w:val="es-ES"/>
        </w:rPr>
        <w:t xml:space="preserve">establecer un modelo de seguridad de alto nivel de la API </w:t>
      </w:r>
      <w:r w:rsidR="007F1FA8">
        <w:rPr>
          <w:lang w:val="es-ES"/>
        </w:rPr>
        <w:t>W</w:t>
      </w:r>
      <w:r w:rsidRPr="007F1FA8">
        <w:rPr>
          <w:lang w:val="es-ES"/>
        </w:rPr>
        <w:t xml:space="preserve">eb RESTful basado en la propuesta de la Oficina Internacional y dejar los pormenores de su </w:t>
      </w:r>
      <w:r w:rsidR="00AB60AB" w:rsidRPr="007F1FA8">
        <w:rPr>
          <w:lang w:val="es-ES"/>
        </w:rPr>
        <w:t>puesta en práctica</w:t>
      </w:r>
      <w:r w:rsidRPr="007F1FA8">
        <w:rPr>
          <w:lang w:val="es-ES"/>
        </w:rPr>
        <w:t xml:space="preserve"> a las oficinas de PI, habida cuenta de que deben aplicar sus propias directrices de seguridad;</w:t>
      </w:r>
      <w:r w:rsidR="002E47E4">
        <w:rPr>
          <w:lang w:val="es-ES"/>
        </w:rPr>
        <w:br w:type="page"/>
      </w:r>
    </w:p>
    <w:p w:rsidR="006F78F6" w:rsidRPr="007F1FA8" w:rsidRDefault="006F78F6" w:rsidP="006F78F6">
      <w:pPr>
        <w:pStyle w:val="ListParagraph"/>
        <w:widowControl w:val="0"/>
        <w:numPr>
          <w:ilvl w:val="0"/>
          <w:numId w:val="14"/>
        </w:numPr>
        <w:spacing w:after="200" w:line="276" w:lineRule="auto"/>
        <w:rPr>
          <w:lang w:val="es-ES"/>
        </w:rPr>
      </w:pPr>
      <w:r w:rsidRPr="007F1FA8">
        <w:rPr>
          <w:lang w:val="es-ES"/>
        </w:rPr>
        <w:lastRenderedPageBreak/>
        <w:t>establecer una lista de nombres de recursos de datos de PI e información conexa</w:t>
      </w:r>
      <w:r w:rsidR="00AB60AB" w:rsidRPr="007F1FA8">
        <w:rPr>
          <w:lang w:val="es-ES"/>
        </w:rPr>
        <w:t xml:space="preserve">. </w:t>
      </w:r>
      <w:r w:rsidRPr="007F1FA8">
        <w:rPr>
          <w:lang w:val="es-ES"/>
        </w:rPr>
        <w:t>Con el fin de elaborar la lista, se invita a las oficinas de PI a proporcionar la lista de recursos de la API que facilitarán y los datos de otras oficinas de PI en los que tienen interés.</w:t>
      </w:r>
    </w:p>
    <w:p w:rsidR="006F78F6" w:rsidRPr="007F1FA8" w:rsidRDefault="006F78F6" w:rsidP="006F78F6">
      <w:pPr>
        <w:widowControl w:val="0"/>
        <w:spacing w:after="200" w:line="276" w:lineRule="auto"/>
        <w:rPr>
          <w:rFonts w:eastAsiaTheme="minorHAnsi"/>
          <w:szCs w:val="22"/>
        </w:rPr>
      </w:pPr>
      <w:r w:rsidRPr="007F1FA8">
        <w:rPr>
          <w:szCs w:val="22"/>
        </w:rPr>
        <w:fldChar w:fldCharType="begin"/>
      </w:r>
      <w:r w:rsidRPr="007F1FA8">
        <w:rPr>
          <w:szCs w:val="22"/>
        </w:rPr>
        <w:instrText xml:space="preserve"> AUTONUM  </w:instrText>
      </w:r>
      <w:r w:rsidRPr="007F1FA8">
        <w:rPr>
          <w:szCs w:val="22"/>
        </w:rPr>
        <w:fldChar w:fldCharType="end"/>
      </w:r>
      <w:r w:rsidRPr="007F1FA8">
        <w:rPr>
          <w:szCs w:val="22"/>
        </w:rPr>
        <w:tab/>
        <w:t>Asimismo, el Equipo Técnico analizó los beneficios y la necesidad de disponer de API comunes</w:t>
      </w:r>
      <w:r w:rsidRPr="007F1FA8">
        <w:t xml:space="preserve"> </w:t>
      </w:r>
      <w:r w:rsidRPr="007F1FA8">
        <w:rPr>
          <w:szCs w:val="22"/>
        </w:rPr>
        <w:t>basadas en la nueva norma técnica, que cada oficina de PI podría adaptar a sus necesidades para su puesta en marcha</w:t>
      </w:r>
      <w:r w:rsidR="00AB60AB" w:rsidRPr="007F1FA8">
        <w:rPr>
          <w:szCs w:val="22"/>
        </w:rPr>
        <w:t xml:space="preserve">. </w:t>
      </w:r>
      <w:r w:rsidRPr="007F1FA8">
        <w:rPr>
          <w:szCs w:val="22"/>
        </w:rPr>
        <w:t xml:space="preserve">Una Oficina de PI miembro del Equipo Técnico propuso crear una API </w:t>
      </w:r>
      <w:r w:rsidR="007F1FA8">
        <w:rPr>
          <w:szCs w:val="22"/>
        </w:rPr>
        <w:t>W</w:t>
      </w:r>
      <w:r w:rsidRPr="007F1FA8">
        <w:rPr>
          <w:szCs w:val="22"/>
        </w:rPr>
        <w:t xml:space="preserve">eb RESTful para ofrecer datos </w:t>
      </w:r>
      <w:r w:rsidR="00AB60AB" w:rsidRPr="007F1FA8">
        <w:rPr>
          <w:szCs w:val="22"/>
        </w:rPr>
        <w:t>acerca de</w:t>
      </w:r>
      <w:r w:rsidRPr="007F1FA8">
        <w:rPr>
          <w:szCs w:val="22"/>
        </w:rPr>
        <w:t xml:space="preserve"> las incidencias relativas a la situación de las patentes sobre la base de la Norma ST.27 de la OMPI</w:t>
      </w:r>
      <w:r w:rsidR="00AB60AB" w:rsidRPr="007F1FA8">
        <w:rPr>
          <w:szCs w:val="22"/>
        </w:rPr>
        <w:t xml:space="preserve">. </w:t>
      </w:r>
      <w:r w:rsidRPr="007F1FA8">
        <w:rPr>
          <w:szCs w:val="22"/>
        </w:rPr>
        <w:t xml:space="preserve">En la sexta sesión se propone analizar la necesidad de crear API comunes y las esferas operativas de interés, por ejemplo, el intercambio de datos sobre la situación de las patentes, y estudiar cómo pueden trabajar juntas las oficinas de PI con miras a su creación. </w:t>
      </w:r>
    </w:p>
    <w:p w:rsidR="006F78F6" w:rsidRPr="007F1FA8" w:rsidRDefault="006F78F6" w:rsidP="006F78F6">
      <w:pPr>
        <w:pStyle w:val="Heading2"/>
        <w:rPr>
          <w:caps w:val="0"/>
        </w:rPr>
      </w:pPr>
      <w:r w:rsidRPr="007F1FA8">
        <w:rPr>
          <w:bCs w:val="0"/>
          <w:iCs w:val="0"/>
          <w:caps w:val="0"/>
        </w:rPr>
        <w:t>DELIBERACIONES ADICIONALES Y LABOR DE PERFECCIONAMIENTO</w:t>
      </w:r>
    </w:p>
    <w:p w:rsidR="006F78F6" w:rsidRPr="007F1FA8" w:rsidRDefault="006F78F6" w:rsidP="006F78F6">
      <w:pPr>
        <w:widowControl w:val="0"/>
        <w:spacing w:after="200" w:line="276" w:lineRule="auto"/>
        <w:rPr>
          <w:rFonts w:eastAsiaTheme="minorHAnsi"/>
          <w:szCs w:val="22"/>
        </w:rPr>
      </w:pPr>
      <w:r w:rsidRPr="007F1FA8">
        <w:rPr>
          <w:rFonts w:eastAsiaTheme="minorHAnsi"/>
          <w:szCs w:val="22"/>
        </w:rPr>
        <w:fldChar w:fldCharType="begin"/>
      </w:r>
      <w:r w:rsidRPr="007F1FA8">
        <w:rPr>
          <w:rFonts w:eastAsiaTheme="minorHAnsi"/>
          <w:szCs w:val="22"/>
        </w:rPr>
        <w:instrText xml:space="preserve"> AUTONUM  </w:instrText>
      </w:r>
      <w:r w:rsidRPr="007F1FA8">
        <w:rPr>
          <w:rFonts w:eastAsiaTheme="minorHAnsi"/>
          <w:szCs w:val="22"/>
        </w:rPr>
        <w:fldChar w:fldCharType="end"/>
      </w:r>
      <w:r w:rsidRPr="007F1FA8">
        <w:rPr>
          <w:rFonts w:eastAsiaTheme="minorHAnsi"/>
          <w:szCs w:val="22"/>
        </w:rPr>
        <w:tab/>
        <w:t>Se han definido los siguientes puntos para su deliberación y perfeccionamiento:</w:t>
      </w:r>
    </w:p>
    <w:p w:rsidR="006F78F6" w:rsidRPr="007F1FA8" w:rsidRDefault="006F78F6" w:rsidP="006F78F6">
      <w:pPr>
        <w:pStyle w:val="ListParagraph"/>
        <w:widowControl w:val="0"/>
        <w:numPr>
          <w:ilvl w:val="0"/>
          <w:numId w:val="15"/>
        </w:numPr>
        <w:spacing w:after="200" w:line="276" w:lineRule="auto"/>
        <w:rPr>
          <w:rFonts w:eastAsiaTheme="minorHAnsi"/>
          <w:szCs w:val="22"/>
          <w:lang w:val="es-ES"/>
        </w:rPr>
      </w:pPr>
      <w:r w:rsidRPr="007F1FA8">
        <w:rPr>
          <w:rFonts w:eastAsiaTheme="minorHAnsi"/>
          <w:szCs w:val="22"/>
          <w:lang w:val="es-ES"/>
        </w:rPr>
        <w:t>especificación JSON basada en la Norma</w:t>
      </w:r>
      <w:r w:rsidR="007F1FA8" w:rsidRPr="007F1FA8">
        <w:rPr>
          <w:rFonts w:eastAsiaTheme="minorHAnsi"/>
          <w:szCs w:val="22"/>
          <w:lang w:val="es-ES"/>
        </w:rPr>
        <w:t> </w:t>
      </w:r>
      <w:r w:rsidRPr="007F1FA8">
        <w:rPr>
          <w:rFonts w:eastAsiaTheme="minorHAnsi"/>
          <w:szCs w:val="22"/>
          <w:lang w:val="es-ES"/>
        </w:rPr>
        <w:t xml:space="preserve">ST.96 de la OMPI para la API </w:t>
      </w:r>
      <w:r w:rsidR="007F1FA8">
        <w:rPr>
          <w:rFonts w:eastAsiaTheme="minorHAnsi"/>
          <w:szCs w:val="22"/>
          <w:lang w:val="es-ES"/>
        </w:rPr>
        <w:t>W</w:t>
      </w:r>
      <w:r w:rsidRPr="007F1FA8">
        <w:rPr>
          <w:rFonts w:eastAsiaTheme="minorHAnsi"/>
          <w:szCs w:val="22"/>
          <w:lang w:val="es-ES"/>
        </w:rPr>
        <w:t>eb RESTful;</w:t>
      </w:r>
    </w:p>
    <w:p w:rsidR="006F78F6" w:rsidRPr="007F1FA8" w:rsidRDefault="006F78F6" w:rsidP="006F78F6">
      <w:pPr>
        <w:pStyle w:val="ListParagraph"/>
        <w:widowControl w:val="0"/>
        <w:numPr>
          <w:ilvl w:val="0"/>
          <w:numId w:val="15"/>
        </w:numPr>
        <w:spacing w:after="200" w:line="276" w:lineRule="auto"/>
        <w:rPr>
          <w:rFonts w:eastAsiaTheme="minorHAnsi"/>
          <w:szCs w:val="22"/>
          <w:lang w:val="es-ES"/>
        </w:rPr>
      </w:pPr>
      <w:r w:rsidRPr="007F1FA8">
        <w:rPr>
          <w:rFonts w:eastAsiaTheme="minorHAnsi"/>
          <w:szCs w:val="22"/>
          <w:lang w:val="es-ES"/>
        </w:rPr>
        <w:t xml:space="preserve">mayor armonización con OData, que es un estándar del sector al que los proveedores recurren cada vez más, a pesar de que su </w:t>
      </w:r>
      <w:r w:rsidR="007F1FA8" w:rsidRPr="007F1FA8">
        <w:rPr>
          <w:rFonts w:eastAsiaTheme="minorHAnsi"/>
          <w:szCs w:val="22"/>
          <w:lang w:val="es-ES"/>
        </w:rPr>
        <w:t>aplicación es bastante compleja;</w:t>
      </w:r>
    </w:p>
    <w:p w:rsidR="006F78F6" w:rsidRPr="007F1FA8" w:rsidRDefault="006F78F6" w:rsidP="006F78F6">
      <w:pPr>
        <w:pStyle w:val="ListParagraph"/>
        <w:widowControl w:val="0"/>
        <w:numPr>
          <w:ilvl w:val="0"/>
          <w:numId w:val="15"/>
        </w:numPr>
        <w:spacing w:after="200" w:line="276" w:lineRule="auto"/>
        <w:rPr>
          <w:rFonts w:eastAsiaTheme="minorHAnsi"/>
          <w:szCs w:val="22"/>
          <w:lang w:val="es-ES"/>
        </w:rPr>
      </w:pPr>
      <w:r w:rsidRPr="007F1FA8">
        <w:rPr>
          <w:rFonts w:eastAsiaTheme="minorHAnsi"/>
          <w:szCs w:val="22"/>
          <w:lang w:val="es-ES"/>
        </w:rPr>
        <w:t>se necesita una prueba de conformidad para demostrar la versatilidad de la norma técnica</w:t>
      </w:r>
      <w:r w:rsidR="00AB60AB" w:rsidRPr="007F1FA8">
        <w:rPr>
          <w:rFonts w:eastAsiaTheme="minorHAnsi"/>
          <w:szCs w:val="22"/>
          <w:lang w:val="es-ES"/>
        </w:rPr>
        <w:t xml:space="preserve">. </w:t>
      </w:r>
      <w:r w:rsidRPr="007F1FA8">
        <w:rPr>
          <w:rFonts w:eastAsiaTheme="minorHAnsi"/>
          <w:szCs w:val="22"/>
          <w:lang w:val="es-ES"/>
        </w:rPr>
        <w:t>Incluso se puede utilizar un banco de pruebas con software instalado para que cualquier persona pueda llamarlo y cuantificar su conformidad, como hace W3C a través de https://validator.w3.org/ para demostrar la conformidad con HTML</w:t>
      </w:r>
      <w:r w:rsidR="00AB60AB" w:rsidRPr="007F1FA8">
        <w:rPr>
          <w:rFonts w:eastAsiaTheme="minorHAnsi"/>
          <w:szCs w:val="22"/>
          <w:lang w:val="es-ES"/>
        </w:rPr>
        <w:t xml:space="preserve">. </w:t>
      </w:r>
      <w:r w:rsidRPr="007F1FA8">
        <w:rPr>
          <w:rFonts w:eastAsiaTheme="minorHAnsi"/>
          <w:szCs w:val="22"/>
          <w:lang w:val="es-ES"/>
        </w:rPr>
        <w:t>La Norma ST.96 de la OMPI también ofrece un instrumento para validar la compatibilidad del esquema de aplicación de una oficina de PI con respecto a la Norma ST.96</w:t>
      </w:r>
      <w:r w:rsidR="007F1FA8" w:rsidRPr="007F1FA8">
        <w:rPr>
          <w:rFonts w:eastAsiaTheme="minorHAnsi"/>
          <w:szCs w:val="22"/>
          <w:lang w:val="es-ES"/>
        </w:rPr>
        <w:t>;</w:t>
      </w:r>
    </w:p>
    <w:p w:rsidR="006F78F6" w:rsidRPr="007F1FA8" w:rsidRDefault="006F78F6" w:rsidP="006F78F6">
      <w:pPr>
        <w:pStyle w:val="ListParagraph"/>
        <w:widowControl w:val="0"/>
        <w:numPr>
          <w:ilvl w:val="0"/>
          <w:numId w:val="15"/>
        </w:numPr>
        <w:spacing w:after="200" w:line="276" w:lineRule="auto"/>
        <w:rPr>
          <w:rFonts w:eastAsiaTheme="minorHAnsi"/>
          <w:szCs w:val="22"/>
          <w:lang w:val="es-ES"/>
        </w:rPr>
      </w:pPr>
      <w:r w:rsidRPr="007F1FA8">
        <w:rPr>
          <w:rFonts w:eastAsiaTheme="minorHAnsi"/>
          <w:szCs w:val="22"/>
          <w:lang w:val="es-ES"/>
        </w:rPr>
        <w:t xml:space="preserve">más modelos de contratos para la API </w:t>
      </w:r>
      <w:r w:rsidR="007F1FA8">
        <w:rPr>
          <w:rFonts w:eastAsiaTheme="minorHAnsi"/>
          <w:szCs w:val="22"/>
          <w:lang w:val="es-ES"/>
        </w:rPr>
        <w:t>W</w:t>
      </w:r>
      <w:r w:rsidRPr="007F1FA8">
        <w:rPr>
          <w:rFonts w:eastAsiaTheme="minorHAnsi"/>
          <w:szCs w:val="22"/>
          <w:lang w:val="es-ES"/>
        </w:rPr>
        <w:t xml:space="preserve">eb RESTful en RAML/OAS y para la API </w:t>
      </w:r>
      <w:r w:rsidR="007F1FA8">
        <w:rPr>
          <w:rFonts w:eastAsiaTheme="minorHAnsi"/>
          <w:szCs w:val="22"/>
          <w:lang w:val="es-ES"/>
        </w:rPr>
        <w:t>W</w:t>
      </w:r>
      <w:r w:rsidRPr="007F1FA8">
        <w:rPr>
          <w:rFonts w:eastAsiaTheme="minorHAnsi"/>
          <w:szCs w:val="22"/>
          <w:lang w:val="es-ES"/>
        </w:rPr>
        <w:t xml:space="preserve">eb SOAP en WSDL, que se basarán en reglas definidas en la norma técnica, de modo que las oficinas de PI puedan descargarlos y utilizarlos sin modificar nada o ampliarlos con un mínimo esfuerzo. De esta manera, se lograría que la API de las oficinas de PI cumpliera con la norma técnica y se podría minimizar el costo de puesta en marcha </w:t>
      </w:r>
      <w:r w:rsidR="007F1FA8" w:rsidRPr="007F1FA8">
        <w:rPr>
          <w:rFonts w:eastAsiaTheme="minorHAnsi"/>
          <w:szCs w:val="22"/>
          <w:lang w:val="es-ES"/>
        </w:rPr>
        <w:t>que sufragaría la oficina de PI;</w:t>
      </w:r>
    </w:p>
    <w:p w:rsidR="006F78F6" w:rsidRPr="007F1FA8" w:rsidRDefault="006F78F6" w:rsidP="006F78F6">
      <w:pPr>
        <w:pStyle w:val="ListParagraph"/>
        <w:widowControl w:val="0"/>
        <w:numPr>
          <w:ilvl w:val="0"/>
          <w:numId w:val="15"/>
        </w:numPr>
        <w:spacing w:after="200" w:line="276" w:lineRule="auto"/>
        <w:rPr>
          <w:rFonts w:eastAsiaTheme="minorHAnsi"/>
          <w:szCs w:val="22"/>
          <w:lang w:val="es-ES"/>
        </w:rPr>
      </w:pPr>
      <w:r w:rsidRPr="007F1FA8">
        <w:rPr>
          <w:rFonts w:eastAsiaTheme="minorHAnsi"/>
          <w:szCs w:val="22"/>
          <w:lang w:val="es-ES"/>
        </w:rPr>
        <w:t>finalización de la lista de recursos y parámetros de consulta, en la que se indique qué URI corresponde a cada parámetro de consulta, cuerpo de la solicitud, encabezado HTTP y verbo HTTP para utilizar los servicios que las oficinas de PI pres</w:t>
      </w:r>
      <w:r w:rsidR="007F1FA8" w:rsidRPr="007F1FA8">
        <w:rPr>
          <w:rFonts w:eastAsiaTheme="minorHAnsi"/>
          <w:szCs w:val="22"/>
          <w:lang w:val="es-ES"/>
        </w:rPr>
        <w:t>tan por conducto de las API web:</w:t>
      </w:r>
    </w:p>
    <w:p w:rsidR="006F78F6" w:rsidRPr="007F1FA8" w:rsidRDefault="007F1FA8" w:rsidP="006F78F6">
      <w:pPr>
        <w:pStyle w:val="ListParagraph"/>
        <w:widowControl w:val="0"/>
        <w:numPr>
          <w:ilvl w:val="0"/>
          <w:numId w:val="15"/>
        </w:numPr>
        <w:spacing w:after="200" w:line="276" w:lineRule="auto"/>
        <w:rPr>
          <w:rFonts w:eastAsiaTheme="minorHAnsi"/>
          <w:szCs w:val="22"/>
          <w:lang w:val="es-ES"/>
        </w:rPr>
      </w:pPr>
      <w:r w:rsidRPr="007F1FA8">
        <w:rPr>
          <w:rFonts w:eastAsiaTheme="minorHAnsi"/>
          <w:szCs w:val="22"/>
          <w:lang w:val="es-ES"/>
        </w:rPr>
        <w:t>acuerdo sobre e</w:t>
      </w:r>
      <w:r w:rsidR="006F78F6" w:rsidRPr="007F1FA8">
        <w:rPr>
          <w:rFonts w:eastAsiaTheme="minorHAnsi"/>
          <w:szCs w:val="22"/>
          <w:lang w:val="es-ES"/>
        </w:rPr>
        <w:t>l formato de los datos y el contenido de la respuesta, por ejemplo, el número de resultados, el espacio de nombres, si se utiliza gramática de búsqueda compleja, etc.;</w:t>
      </w:r>
    </w:p>
    <w:p w:rsidR="00387404" w:rsidRDefault="006F78F6" w:rsidP="006F78F6">
      <w:pPr>
        <w:pStyle w:val="ListParagraph"/>
        <w:widowControl w:val="0"/>
        <w:numPr>
          <w:ilvl w:val="0"/>
          <w:numId w:val="15"/>
        </w:numPr>
        <w:spacing w:after="200" w:line="276" w:lineRule="auto"/>
        <w:rPr>
          <w:rFonts w:eastAsiaTheme="minorHAnsi"/>
          <w:szCs w:val="22"/>
          <w:lang w:val="es-ES"/>
        </w:rPr>
      </w:pPr>
      <w:r w:rsidRPr="007F1FA8">
        <w:rPr>
          <w:rFonts w:eastAsiaTheme="minorHAnsi"/>
          <w:szCs w:val="22"/>
          <w:lang w:val="es-ES"/>
        </w:rPr>
        <w:t>labor de perfeccionamiento para incorporar nuevas funciones, por ejemplo, la notificación automática de actualizaciones.</w:t>
      </w:r>
      <w:r w:rsidR="00387404">
        <w:rPr>
          <w:rFonts w:eastAsiaTheme="minorHAnsi"/>
          <w:szCs w:val="22"/>
          <w:lang w:val="es-ES"/>
        </w:rPr>
        <w:br w:type="page"/>
      </w:r>
    </w:p>
    <w:p w:rsidR="006F78F6" w:rsidRPr="007F1FA8" w:rsidRDefault="006F78F6" w:rsidP="006F78F6">
      <w:pPr>
        <w:pStyle w:val="ONUME"/>
        <w:numPr>
          <w:ilvl w:val="0"/>
          <w:numId w:val="0"/>
        </w:numPr>
        <w:ind w:left="5529"/>
        <w:rPr>
          <w:i/>
        </w:rPr>
      </w:pPr>
      <w:bookmarkStart w:id="4" w:name="_GoBack"/>
      <w:bookmarkEnd w:id="4"/>
      <w:r w:rsidRPr="007F1FA8">
        <w:rPr>
          <w:i/>
          <w:iCs/>
        </w:rPr>
        <w:lastRenderedPageBreak/>
        <w:t>17.</w:t>
      </w:r>
      <w:r w:rsidRPr="007F1FA8">
        <w:rPr>
          <w:i/>
          <w:iCs/>
        </w:rPr>
        <w:tab/>
        <w:t>Se invita al CWS a:</w:t>
      </w:r>
    </w:p>
    <w:p w:rsidR="006F78F6" w:rsidRPr="007F1FA8" w:rsidRDefault="006F78F6" w:rsidP="006F78F6">
      <w:pPr>
        <w:pStyle w:val="ONUME"/>
        <w:numPr>
          <w:ilvl w:val="0"/>
          <w:numId w:val="0"/>
        </w:numPr>
        <w:ind w:left="5536"/>
        <w:rPr>
          <w:i/>
        </w:rPr>
      </w:pPr>
      <w:r w:rsidRPr="007F1FA8">
        <w:tab/>
      </w:r>
      <w:r w:rsidRPr="007F1FA8">
        <w:tab/>
      </w:r>
      <w:r w:rsidRPr="007F1FA8">
        <w:rPr>
          <w:i/>
          <w:iCs/>
        </w:rPr>
        <w:t>a)</w:t>
      </w:r>
      <w:r w:rsidRPr="007F1FA8">
        <w:rPr>
          <w:i/>
          <w:iCs/>
        </w:rPr>
        <w:tab/>
        <w:t>tomar nota del contenido del presente documento y de su Anexo;</w:t>
      </w:r>
      <w:r w:rsidRPr="007F1FA8">
        <w:t xml:space="preserve"> </w:t>
      </w:r>
    </w:p>
    <w:p w:rsidR="006F78F6" w:rsidRPr="007F1FA8" w:rsidRDefault="006F78F6" w:rsidP="006F78F6">
      <w:pPr>
        <w:pStyle w:val="ONUME"/>
        <w:numPr>
          <w:ilvl w:val="0"/>
          <w:numId w:val="0"/>
        </w:numPr>
        <w:ind w:left="5536"/>
        <w:rPr>
          <w:i/>
        </w:rPr>
      </w:pPr>
      <w:r w:rsidRPr="007F1FA8">
        <w:tab/>
      </w:r>
      <w:r w:rsidRPr="007F1FA8">
        <w:tab/>
      </w:r>
      <w:r w:rsidRPr="007F1FA8">
        <w:rPr>
          <w:i/>
          <w:iCs/>
        </w:rPr>
        <w:t>b)</w:t>
      </w:r>
      <w:r w:rsidRPr="007F1FA8">
        <w:rPr>
          <w:i/>
          <w:iCs/>
        </w:rPr>
        <w:tab/>
        <w:t>formular observaciones sobre el contenido del proyecto de trabajo, que figura en el Anexo del presente documento;</w:t>
      </w:r>
    </w:p>
    <w:p w:rsidR="006F78F6" w:rsidRPr="007F1FA8" w:rsidRDefault="006F78F6" w:rsidP="006F78F6">
      <w:pPr>
        <w:pStyle w:val="ONUME"/>
        <w:numPr>
          <w:ilvl w:val="0"/>
          <w:numId w:val="0"/>
        </w:numPr>
        <w:ind w:left="5536"/>
        <w:rPr>
          <w:i/>
        </w:rPr>
      </w:pPr>
      <w:r w:rsidRPr="007F1FA8">
        <w:tab/>
      </w:r>
      <w:r w:rsidRPr="007F1FA8">
        <w:tab/>
      </w:r>
      <w:r w:rsidRPr="007F1FA8">
        <w:rPr>
          <w:i/>
          <w:iCs/>
        </w:rPr>
        <w:t>c)</w:t>
      </w:r>
      <w:r w:rsidRPr="007F1FA8">
        <w:rPr>
          <w:i/>
          <w:iCs/>
        </w:rPr>
        <w:tab/>
        <w:t>debatir la creación de API comunes, como se indica en el párrafo 15; y</w:t>
      </w:r>
    </w:p>
    <w:p w:rsidR="006F78F6" w:rsidRPr="007F1FA8" w:rsidRDefault="006F78F6" w:rsidP="00690CDF">
      <w:pPr>
        <w:pStyle w:val="ONUME"/>
        <w:keepNext/>
        <w:keepLines/>
        <w:numPr>
          <w:ilvl w:val="0"/>
          <w:numId w:val="0"/>
        </w:numPr>
        <w:spacing w:after="0"/>
        <w:ind w:left="5534"/>
        <w:rPr>
          <w:i/>
        </w:rPr>
      </w:pPr>
      <w:r w:rsidRPr="007F1FA8">
        <w:tab/>
      </w:r>
      <w:r w:rsidRPr="007F1FA8">
        <w:tab/>
      </w:r>
      <w:r w:rsidRPr="007F1FA8">
        <w:rPr>
          <w:i/>
          <w:iCs/>
        </w:rPr>
        <w:t>d)</w:t>
      </w:r>
      <w:r w:rsidRPr="007F1FA8">
        <w:rPr>
          <w:i/>
          <w:iCs/>
        </w:rPr>
        <w:tab/>
        <w:t>solicitar al Equipo Técnico XML4IP que presente una propuesta de nueva norma técnica sobre API web para su examen en la séptima sesión.</w:t>
      </w:r>
    </w:p>
    <w:p w:rsidR="006F78F6" w:rsidRPr="007F1FA8" w:rsidRDefault="006F78F6" w:rsidP="006F78F6">
      <w:pPr>
        <w:pStyle w:val="ONUME"/>
        <w:numPr>
          <w:ilvl w:val="0"/>
          <w:numId w:val="0"/>
        </w:numPr>
        <w:spacing w:after="0"/>
        <w:ind w:left="5534"/>
        <w:rPr>
          <w:i/>
        </w:rPr>
      </w:pPr>
    </w:p>
    <w:p w:rsidR="006F78F6" w:rsidRPr="007F1FA8" w:rsidRDefault="006F78F6" w:rsidP="006F78F6">
      <w:pPr>
        <w:pStyle w:val="ONUME"/>
        <w:numPr>
          <w:ilvl w:val="0"/>
          <w:numId w:val="0"/>
        </w:numPr>
        <w:spacing w:after="0"/>
        <w:ind w:left="5534"/>
        <w:rPr>
          <w:i/>
        </w:rPr>
      </w:pPr>
    </w:p>
    <w:p w:rsidR="006F78F6" w:rsidRPr="007F1FA8" w:rsidRDefault="006F78F6" w:rsidP="006F78F6">
      <w:pPr>
        <w:pStyle w:val="Endofdocument-Annex"/>
        <w:rPr>
          <w:lang w:val="es-ES"/>
        </w:rPr>
      </w:pPr>
      <w:r w:rsidRPr="007F1FA8">
        <w:rPr>
          <w:lang w:val="es-ES"/>
        </w:rPr>
        <w:t>[Sigue el Anexo]</w:t>
      </w:r>
    </w:p>
    <w:p w:rsidR="00152CEA" w:rsidRPr="007F1FA8" w:rsidRDefault="00152CEA" w:rsidP="006F78F6"/>
    <w:sectPr w:rsidR="00152CEA" w:rsidRPr="007F1FA8" w:rsidSect="006F78F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244" w:rsidRDefault="00A24244">
      <w:r>
        <w:separator/>
      </w:r>
    </w:p>
  </w:endnote>
  <w:endnote w:type="continuationSeparator" w:id="0">
    <w:p w:rsidR="00A24244" w:rsidRPr="009D30E6" w:rsidRDefault="00A24244" w:rsidP="007E663E">
      <w:pPr>
        <w:rPr>
          <w:sz w:val="17"/>
          <w:szCs w:val="17"/>
        </w:rPr>
      </w:pPr>
      <w:r>
        <w:rPr>
          <w:sz w:val="17"/>
          <w:szCs w:val="17"/>
        </w:rPr>
        <w:separator/>
      </w:r>
    </w:p>
    <w:p w:rsidR="00A24244" w:rsidRPr="007E663E" w:rsidRDefault="00A24244" w:rsidP="007E663E">
      <w:pPr>
        <w:spacing w:after="60"/>
        <w:rPr>
          <w:sz w:val="17"/>
          <w:szCs w:val="17"/>
        </w:rPr>
      </w:pPr>
      <w:r>
        <w:rPr>
          <w:sz w:val="17"/>
        </w:rPr>
        <w:t>[Continuación de la nota de la página anterior]</w:t>
      </w:r>
    </w:p>
  </w:endnote>
  <w:endnote w:type="continuationNotice" w:id="1">
    <w:p w:rsidR="00A24244" w:rsidRPr="007E663E" w:rsidRDefault="00A24244"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244" w:rsidRDefault="00A24244">
      <w:r>
        <w:separator/>
      </w:r>
    </w:p>
  </w:footnote>
  <w:footnote w:type="continuationSeparator" w:id="0">
    <w:p w:rsidR="00A24244" w:rsidRPr="009D30E6" w:rsidRDefault="00A24244" w:rsidP="007E663E">
      <w:pPr>
        <w:rPr>
          <w:sz w:val="17"/>
          <w:szCs w:val="17"/>
        </w:rPr>
      </w:pPr>
      <w:r>
        <w:rPr>
          <w:sz w:val="17"/>
          <w:szCs w:val="17"/>
        </w:rPr>
        <w:separator/>
      </w:r>
    </w:p>
    <w:p w:rsidR="00A24244" w:rsidRPr="007E663E" w:rsidRDefault="00A24244" w:rsidP="007E663E">
      <w:pPr>
        <w:spacing w:after="60"/>
        <w:rPr>
          <w:sz w:val="17"/>
          <w:szCs w:val="17"/>
        </w:rPr>
      </w:pPr>
      <w:r>
        <w:rPr>
          <w:sz w:val="17"/>
        </w:rPr>
        <w:t>[Continuación de la nota de la página anterior]</w:t>
      </w:r>
    </w:p>
  </w:footnote>
  <w:footnote w:type="continuationNotice" w:id="1">
    <w:p w:rsidR="00A24244" w:rsidRPr="007E663E" w:rsidRDefault="00A24244" w:rsidP="007E663E">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6F78F6" w:rsidP="00477D6B">
    <w:pPr>
      <w:jc w:val="right"/>
    </w:pPr>
    <w:bookmarkStart w:id="5" w:name="Code2"/>
    <w:bookmarkEnd w:id="5"/>
    <w:r>
      <w:rPr>
        <w:lang w:val="es"/>
      </w:rPr>
      <w:t>CWS/6/</w:t>
    </w:r>
    <w:r w:rsidR="00B22579">
      <w:rPr>
        <w:lang w:val="es"/>
      </w:rPr>
      <w:t>6 CORR.</w:t>
    </w:r>
  </w:p>
  <w:p w:rsidR="00AE7F20" w:rsidRDefault="00AE7F20"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387404">
      <w:rPr>
        <w:noProof/>
        <w:lang w:val="es"/>
      </w:rPr>
      <w:t>2</w:t>
    </w:r>
    <w:r>
      <w:rPr>
        <w:lang w:val="es"/>
      </w:rP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233A90"/>
    <w:multiLevelType w:val="hybridMultilevel"/>
    <w:tmpl w:val="B420C27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38739B"/>
    <w:multiLevelType w:val="hybridMultilevel"/>
    <w:tmpl w:val="918C0F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52238"/>
    <w:multiLevelType w:val="hybridMultilevel"/>
    <w:tmpl w:val="C86A1F1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C10FF"/>
    <w:multiLevelType w:val="hybridMultilevel"/>
    <w:tmpl w:val="61A0BCD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52516"/>
    <w:multiLevelType w:val="hybridMultilevel"/>
    <w:tmpl w:val="48AC4624"/>
    <w:lvl w:ilvl="0" w:tplc="DD6C141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10"/>
  </w:num>
  <w:num w:numId="3">
    <w:abstractNumId w:val="0"/>
  </w:num>
  <w:num w:numId="4">
    <w:abstractNumId w:val="11"/>
  </w:num>
  <w:num w:numId="5">
    <w:abstractNumId w:val="2"/>
  </w:num>
  <w:num w:numId="6">
    <w:abstractNumId w:val="6"/>
  </w:num>
  <w:num w:numId="7">
    <w:abstractNumId w:val="13"/>
  </w:num>
  <w:num w:numId="8">
    <w:abstractNumId w:val="12"/>
  </w:num>
  <w:num w:numId="9">
    <w:abstractNumId w:val="9"/>
  </w:num>
  <w:num w:numId="10">
    <w:abstractNumId w:val="5"/>
  </w:num>
  <w:num w:numId="11">
    <w:abstractNumId w:val="14"/>
  </w:num>
  <w:num w:numId="12">
    <w:abstractNumId w:val="7"/>
  </w:num>
  <w:num w:numId="13">
    <w:abstractNumId w:val="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F6"/>
    <w:rsid w:val="00010686"/>
    <w:rsid w:val="0003108F"/>
    <w:rsid w:val="00052915"/>
    <w:rsid w:val="000E3BB3"/>
    <w:rsid w:val="000F5E56"/>
    <w:rsid w:val="001362EE"/>
    <w:rsid w:val="00152CEA"/>
    <w:rsid w:val="001832A6"/>
    <w:rsid w:val="002634C4"/>
    <w:rsid w:val="002C2E2F"/>
    <w:rsid w:val="002D7E2D"/>
    <w:rsid w:val="002E0F47"/>
    <w:rsid w:val="002E47E4"/>
    <w:rsid w:val="002F4E68"/>
    <w:rsid w:val="00310826"/>
    <w:rsid w:val="003151D5"/>
    <w:rsid w:val="00354647"/>
    <w:rsid w:val="00377273"/>
    <w:rsid w:val="003845C1"/>
    <w:rsid w:val="00387287"/>
    <w:rsid w:val="00387404"/>
    <w:rsid w:val="003E48F1"/>
    <w:rsid w:val="003F347A"/>
    <w:rsid w:val="00423E3E"/>
    <w:rsid w:val="00427AF4"/>
    <w:rsid w:val="00430333"/>
    <w:rsid w:val="0045231F"/>
    <w:rsid w:val="004647DA"/>
    <w:rsid w:val="0046793F"/>
    <w:rsid w:val="00477808"/>
    <w:rsid w:val="00477D6B"/>
    <w:rsid w:val="004A6C37"/>
    <w:rsid w:val="004C17CB"/>
    <w:rsid w:val="004E297D"/>
    <w:rsid w:val="00531B02"/>
    <w:rsid w:val="005332F0"/>
    <w:rsid w:val="00533B55"/>
    <w:rsid w:val="0055013B"/>
    <w:rsid w:val="00571B99"/>
    <w:rsid w:val="005D4DB4"/>
    <w:rsid w:val="00605827"/>
    <w:rsid w:val="00675021"/>
    <w:rsid w:val="00690CDF"/>
    <w:rsid w:val="006A06C6"/>
    <w:rsid w:val="006F78F6"/>
    <w:rsid w:val="00713F5B"/>
    <w:rsid w:val="007224C8"/>
    <w:rsid w:val="00794BE2"/>
    <w:rsid w:val="007A5581"/>
    <w:rsid w:val="007B71FE"/>
    <w:rsid w:val="007D781E"/>
    <w:rsid w:val="007E663E"/>
    <w:rsid w:val="007F1FA8"/>
    <w:rsid w:val="00815082"/>
    <w:rsid w:val="0088395E"/>
    <w:rsid w:val="008B2CC1"/>
    <w:rsid w:val="008E6BD6"/>
    <w:rsid w:val="00901625"/>
    <w:rsid w:val="0090731E"/>
    <w:rsid w:val="00966A22"/>
    <w:rsid w:val="00972F03"/>
    <w:rsid w:val="009A0C8B"/>
    <w:rsid w:val="009A20CD"/>
    <w:rsid w:val="009B6241"/>
    <w:rsid w:val="009C04BC"/>
    <w:rsid w:val="00A16FC0"/>
    <w:rsid w:val="00A24244"/>
    <w:rsid w:val="00A32C9E"/>
    <w:rsid w:val="00AB60AB"/>
    <w:rsid w:val="00AB613D"/>
    <w:rsid w:val="00AE7F20"/>
    <w:rsid w:val="00B22579"/>
    <w:rsid w:val="00B534D5"/>
    <w:rsid w:val="00B65A0A"/>
    <w:rsid w:val="00B67CDC"/>
    <w:rsid w:val="00B72D36"/>
    <w:rsid w:val="00B8095C"/>
    <w:rsid w:val="00BC4164"/>
    <w:rsid w:val="00BD2DCC"/>
    <w:rsid w:val="00C90559"/>
    <w:rsid w:val="00C963D7"/>
    <w:rsid w:val="00CA2251"/>
    <w:rsid w:val="00D56C7C"/>
    <w:rsid w:val="00D71B4D"/>
    <w:rsid w:val="00D90289"/>
    <w:rsid w:val="00D93D55"/>
    <w:rsid w:val="00DC4C60"/>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rules v:ext="edit">
        <o:r id="V:Rule9" type="connector" idref="#Straight Arrow Connector 17"/>
        <o:r id="V:Rule10" type="connector" idref="#Straight Arrow Connector 26"/>
        <o:r id="V:Rule11" type="connector" idref="#Straight Arrow Connector 20"/>
        <o:r id="V:Rule12" type="connector" idref="#Straight Arrow Connector 18"/>
        <o:r id="V:Rule13" type="connector" idref="#Straight Arrow Connector 25"/>
        <o:r id="V:Rule14" type="connector" idref="#Straight Arrow Connector 16"/>
        <o:r id="V:Rule15" type="connector" idref="#Straight Arrow Connector 15"/>
        <o:r id="V:Rule16" type="connector" idref="#Straight Arrow Connector 11"/>
      </o:rules>
    </o:shapelayout>
  </w:shapeDefaults>
  <w:decimalSymbol w:val="."/>
  <w:listSeparator w:val=","/>
  <w15:docId w15:val="{3B144EB3-7834-49C0-A726-E1FB30E3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aliases w:val="%Hyperlink"/>
    <w:unhideWhenUsed/>
    <w:rsid w:val="006F78F6"/>
    <w:rPr>
      <w:color w:val="0000FF"/>
      <w:u w:val="single"/>
    </w:rPr>
  </w:style>
  <w:style w:type="character" w:customStyle="1" w:styleId="ONUMEChar">
    <w:name w:val="ONUM E Char"/>
    <w:link w:val="ONUME"/>
    <w:rsid w:val="006F78F6"/>
    <w:rPr>
      <w:rFonts w:ascii="Arial" w:eastAsia="SimSun" w:hAnsi="Arial" w:cs="Arial"/>
      <w:sz w:val="22"/>
      <w:lang w:val="es-ES" w:eastAsia="zh-CN"/>
    </w:rPr>
  </w:style>
  <w:style w:type="paragraph" w:styleId="ListParagraph">
    <w:name w:val="List Paragraph"/>
    <w:basedOn w:val="Normal"/>
    <w:uiPriority w:val="34"/>
    <w:qFormat/>
    <w:rsid w:val="006F78F6"/>
    <w:pPr>
      <w:ind w:left="720"/>
      <w:contextualSpacing/>
    </w:pPr>
    <w:rPr>
      <w:lang w:val="en-US"/>
    </w:rPr>
  </w:style>
  <w:style w:type="character" w:customStyle="1" w:styleId="ic-current-selection">
    <w:name w:val="ic-current-selection"/>
    <w:basedOn w:val="DefaultParagraphFont"/>
    <w:rsid w:val="006F78F6"/>
  </w:style>
  <w:style w:type="paragraph" w:styleId="NormalWeb">
    <w:name w:val="Normal (Web)"/>
    <w:basedOn w:val="Normal"/>
    <w:uiPriority w:val="99"/>
    <w:unhideWhenUsed/>
    <w:rsid w:val="006F78F6"/>
    <w:pPr>
      <w:spacing w:before="100" w:beforeAutospacing="1" w:after="100" w:afterAutospacing="1"/>
    </w:pPr>
    <w:rPr>
      <w:rFonts w:eastAsia="Batang" w:cs="Times New Roman"/>
      <w:sz w:val="17"/>
      <w:lang w:val="en-US" w:eastAsia="en-US"/>
    </w:rPr>
  </w:style>
  <w:style w:type="paragraph" w:styleId="BalloonText">
    <w:name w:val="Balloon Text"/>
    <w:basedOn w:val="Normal"/>
    <w:link w:val="BalloonTextChar"/>
    <w:semiHidden/>
    <w:unhideWhenUsed/>
    <w:rsid w:val="00AB60AB"/>
    <w:rPr>
      <w:rFonts w:ascii="Tahoma" w:hAnsi="Tahoma" w:cs="Tahoma"/>
      <w:sz w:val="16"/>
      <w:szCs w:val="16"/>
    </w:rPr>
  </w:style>
  <w:style w:type="character" w:customStyle="1" w:styleId="BalloonTextChar">
    <w:name w:val="Balloon Text Char"/>
    <w:basedOn w:val="DefaultParagraphFont"/>
    <w:link w:val="BalloonText"/>
    <w:semiHidden/>
    <w:rsid w:val="00AB60A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meetings/en/details.jsp?meeting_id=4658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2133</Words>
  <Characters>10665</Characters>
  <Application>Microsoft Office Word</Application>
  <DocSecurity>0</DocSecurity>
  <Lines>217</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CWS/6/6 CORR. (in Spanish)</vt:lpstr>
      <vt:lpstr>CWS/6/</vt:lpstr>
    </vt:vector>
  </TitlesOfParts>
  <Company>WIPO</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CWS/6/6 CORR. (in Spanish)</dc:title>
  <dc:subject>NUEVA NORMA TÉCNICA DE LA OMPI SOBRE API WEB</dc:subject>
  <dc:creator>OMPI</dc:creator>
  <cp:keywords>CWS</cp:keywords>
  <cp:lastModifiedBy>DRAKE Sophie</cp:lastModifiedBy>
  <cp:revision>11</cp:revision>
  <dcterms:created xsi:type="dcterms:W3CDTF">2018-09-28T12:42:00Z</dcterms:created>
  <dcterms:modified xsi:type="dcterms:W3CDTF">2018-10-01T11:58:00Z</dcterms:modified>
  <cp:category>CWS (in Spanish)</cp:category>
</cp:coreProperties>
</file>