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B1DD5" w:rsidRPr="0012595F" w:rsidTr="006021C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B1DD5" w:rsidRPr="0012595F" w:rsidRDefault="00AB1DD5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B1DD5" w:rsidRPr="0012595F" w:rsidRDefault="00AB1DD5" w:rsidP="00FE55BB">
            <w:pPr>
              <w:ind w:firstLine="567"/>
              <w:rPr>
                <w:lang w:val="es-ES"/>
              </w:rPr>
            </w:pPr>
            <w:r w:rsidRPr="0012595F">
              <w:rPr>
                <w:noProof/>
                <w:lang w:eastAsia="en-US"/>
              </w:rPr>
              <w:drawing>
                <wp:inline distT="0" distB="0" distL="0" distR="0" wp14:anchorId="634785E1" wp14:editId="49E7FD1A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B1DD5" w:rsidRPr="0012595F" w:rsidRDefault="00AB1DD5" w:rsidP="0097448D">
            <w:pPr>
              <w:jc w:val="right"/>
              <w:rPr>
                <w:lang w:val="es-ES"/>
              </w:rPr>
            </w:pPr>
            <w:r w:rsidRPr="0012595F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12595F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2595F" w:rsidRDefault="00CD59F2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12595F">
              <w:rPr>
                <w:rFonts w:ascii="Arial Black" w:hAnsi="Arial Black"/>
                <w:caps/>
                <w:sz w:val="15"/>
                <w:lang w:val="es-ES"/>
              </w:rPr>
              <w:t>CWS/6/</w:t>
            </w:r>
            <w:bookmarkStart w:id="0" w:name="Code"/>
            <w:bookmarkEnd w:id="0"/>
            <w:r w:rsidR="00F272DE" w:rsidRPr="0012595F">
              <w:rPr>
                <w:rFonts w:ascii="Arial Black" w:hAnsi="Arial Black"/>
                <w:caps/>
                <w:sz w:val="15"/>
                <w:lang w:val="es-ES"/>
              </w:rPr>
              <w:t>23</w:t>
            </w:r>
          </w:p>
        </w:tc>
      </w:tr>
      <w:tr w:rsidR="006021C6" w:rsidRPr="0012595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021C6" w:rsidRPr="0012595F" w:rsidRDefault="006021C6" w:rsidP="0097448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12595F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2595F" w:rsidRPr="0012595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Pr="0012595F">
              <w:rPr>
                <w:rFonts w:ascii="Arial Black" w:hAnsi="Arial Black"/>
                <w:caps/>
                <w:sz w:val="15"/>
                <w:lang w:val="es-ES"/>
              </w:rPr>
              <w:t xml:space="preserve">inglés </w:t>
            </w:r>
          </w:p>
        </w:tc>
      </w:tr>
      <w:tr w:rsidR="006021C6" w:rsidRPr="0012595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021C6" w:rsidRPr="0012595F" w:rsidRDefault="006021C6" w:rsidP="0097448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12595F">
              <w:rPr>
                <w:rFonts w:ascii="Arial Black" w:hAnsi="Arial Black"/>
                <w:caps/>
                <w:sz w:val="15"/>
                <w:lang w:val="es-ES"/>
              </w:rPr>
              <w:t>fecha:</w:t>
            </w:r>
            <w:r w:rsidR="0012595F" w:rsidRPr="0012595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Pr="0012595F">
              <w:rPr>
                <w:rFonts w:ascii="Arial Black" w:hAnsi="Arial Black"/>
                <w:caps/>
                <w:sz w:val="15"/>
                <w:lang w:val="es-ES"/>
              </w:rPr>
              <w:t xml:space="preserve">12 de septiembre de 2018 </w:t>
            </w:r>
          </w:p>
        </w:tc>
      </w:tr>
    </w:tbl>
    <w:p w:rsidR="008B2CC1" w:rsidRPr="0012595F" w:rsidRDefault="008B2CC1" w:rsidP="008B2CC1">
      <w:pPr>
        <w:rPr>
          <w:lang w:val="es-ES"/>
        </w:rPr>
      </w:pPr>
    </w:p>
    <w:p w:rsidR="008B2CC1" w:rsidRPr="0012595F" w:rsidRDefault="008B2CC1" w:rsidP="008B2CC1">
      <w:pPr>
        <w:rPr>
          <w:lang w:val="es-ES"/>
        </w:rPr>
      </w:pPr>
    </w:p>
    <w:p w:rsidR="008B2CC1" w:rsidRPr="0012595F" w:rsidRDefault="008B2CC1" w:rsidP="008B2CC1">
      <w:pPr>
        <w:rPr>
          <w:lang w:val="es-ES"/>
        </w:rPr>
      </w:pPr>
    </w:p>
    <w:p w:rsidR="008B2CC1" w:rsidRPr="0012595F" w:rsidRDefault="008B2CC1" w:rsidP="008B2CC1">
      <w:pPr>
        <w:rPr>
          <w:lang w:val="es-ES"/>
        </w:rPr>
      </w:pPr>
    </w:p>
    <w:p w:rsidR="008B2CC1" w:rsidRPr="0012595F" w:rsidRDefault="008B2CC1" w:rsidP="008B2CC1">
      <w:pPr>
        <w:rPr>
          <w:lang w:val="es-ES"/>
        </w:rPr>
      </w:pPr>
    </w:p>
    <w:p w:rsidR="006021C6" w:rsidRPr="0012595F" w:rsidRDefault="006021C6" w:rsidP="006021C6">
      <w:pPr>
        <w:rPr>
          <w:b/>
          <w:sz w:val="28"/>
          <w:szCs w:val="28"/>
          <w:lang w:val="es-ES"/>
        </w:rPr>
      </w:pPr>
      <w:r w:rsidRPr="0012595F">
        <w:rPr>
          <w:b/>
          <w:sz w:val="28"/>
          <w:szCs w:val="28"/>
          <w:lang w:val="es-ES"/>
        </w:rPr>
        <w:t>Comité de Normas Técnicas de la OMPI (CWS)</w:t>
      </w:r>
    </w:p>
    <w:p w:rsidR="006021C6" w:rsidRPr="0012595F" w:rsidRDefault="006021C6" w:rsidP="006021C6">
      <w:pPr>
        <w:rPr>
          <w:lang w:val="es-ES"/>
        </w:rPr>
      </w:pPr>
    </w:p>
    <w:p w:rsidR="006021C6" w:rsidRPr="0012595F" w:rsidRDefault="006021C6" w:rsidP="006021C6">
      <w:pPr>
        <w:rPr>
          <w:lang w:val="es-ES"/>
        </w:rPr>
      </w:pPr>
    </w:p>
    <w:p w:rsidR="006021C6" w:rsidRPr="0012595F" w:rsidRDefault="006021C6" w:rsidP="006021C6">
      <w:pPr>
        <w:rPr>
          <w:b/>
          <w:sz w:val="24"/>
          <w:szCs w:val="24"/>
          <w:lang w:val="es-ES"/>
        </w:rPr>
      </w:pPr>
      <w:r w:rsidRPr="0012595F">
        <w:rPr>
          <w:b/>
          <w:sz w:val="24"/>
          <w:szCs w:val="24"/>
          <w:lang w:val="es-ES"/>
        </w:rPr>
        <w:t>Sexta sesión</w:t>
      </w:r>
    </w:p>
    <w:p w:rsidR="008B2CC1" w:rsidRPr="0012595F" w:rsidRDefault="006021C6" w:rsidP="006021C6">
      <w:pPr>
        <w:rPr>
          <w:b/>
          <w:sz w:val="24"/>
          <w:szCs w:val="24"/>
          <w:lang w:val="es-ES"/>
        </w:rPr>
      </w:pPr>
      <w:r w:rsidRPr="0012595F">
        <w:rPr>
          <w:b/>
          <w:sz w:val="24"/>
          <w:szCs w:val="24"/>
          <w:lang w:val="es-ES"/>
        </w:rPr>
        <w:t>Ginebra, 15 a 19 de octubre de 2018</w:t>
      </w:r>
    </w:p>
    <w:p w:rsidR="008B2CC1" w:rsidRPr="0012595F" w:rsidRDefault="008B2CC1" w:rsidP="008B2CC1">
      <w:pPr>
        <w:rPr>
          <w:lang w:val="es-ES"/>
        </w:rPr>
      </w:pPr>
    </w:p>
    <w:p w:rsidR="008B2CC1" w:rsidRPr="0012595F" w:rsidRDefault="008B2CC1" w:rsidP="008B2CC1">
      <w:pPr>
        <w:rPr>
          <w:lang w:val="es-ES"/>
        </w:rPr>
      </w:pPr>
    </w:p>
    <w:p w:rsidR="008B2CC1" w:rsidRPr="0012595F" w:rsidRDefault="008B2CC1" w:rsidP="008B2CC1">
      <w:pPr>
        <w:rPr>
          <w:lang w:val="es-ES"/>
        </w:rPr>
      </w:pPr>
    </w:p>
    <w:p w:rsidR="008B2CC1" w:rsidRPr="0012595F" w:rsidRDefault="00F272DE" w:rsidP="008B2CC1">
      <w:pPr>
        <w:rPr>
          <w:caps/>
          <w:sz w:val="24"/>
          <w:lang w:val="es-ES"/>
        </w:rPr>
      </w:pPr>
      <w:bookmarkStart w:id="3" w:name="TitleOfDoc"/>
      <w:bookmarkStart w:id="4" w:name="_GoBack"/>
      <w:bookmarkEnd w:id="3"/>
      <w:r w:rsidRPr="0012595F">
        <w:rPr>
          <w:caps/>
          <w:sz w:val="24"/>
          <w:lang w:val="es-ES"/>
        </w:rPr>
        <w:t>PROP</w:t>
      </w:r>
      <w:r w:rsidR="006021C6" w:rsidRPr="0012595F">
        <w:rPr>
          <w:caps/>
          <w:sz w:val="24"/>
          <w:lang w:val="es-ES"/>
        </w:rPr>
        <w:t>UESTA DE CREACIÓN DE UNA TAREA PARA ACTUALIZAR LAS NORMAS TÉCNICAS DE LA OMPI RELATIVAS A LA PUBLICACIÓN DE INFORMACIÓN SOBRE LOS DERECHOS DE PI Y LAS INCIDENCIAS RELATIVAS A LA SITUACIÓN JURÍDICA</w:t>
      </w:r>
    </w:p>
    <w:bookmarkEnd w:id="4"/>
    <w:p w:rsidR="008B2CC1" w:rsidRPr="0012595F" w:rsidRDefault="008B2CC1" w:rsidP="008B2CC1">
      <w:pPr>
        <w:rPr>
          <w:lang w:val="es-ES"/>
        </w:rPr>
      </w:pPr>
    </w:p>
    <w:p w:rsidR="008B2CC1" w:rsidRPr="0012595F" w:rsidRDefault="006021C6" w:rsidP="008B2CC1">
      <w:pPr>
        <w:rPr>
          <w:i/>
          <w:lang w:val="es-ES"/>
        </w:rPr>
      </w:pPr>
      <w:bookmarkStart w:id="5" w:name="Prepared"/>
      <w:bookmarkEnd w:id="5"/>
      <w:r w:rsidRPr="0012595F">
        <w:rPr>
          <w:i/>
          <w:lang w:val="es-ES"/>
        </w:rPr>
        <w:t>Documento preparado por la Secretaría</w:t>
      </w:r>
    </w:p>
    <w:p w:rsidR="00AC205C" w:rsidRPr="0012595F" w:rsidRDefault="00AC205C">
      <w:pPr>
        <w:rPr>
          <w:lang w:val="es-ES"/>
        </w:rPr>
      </w:pPr>
    </w:p>
    <w:p w:rsidR="002928D3" w:rsidRPr="0012595F" w:rsidRDefault="002928D3" w:rsidP="0053057A">
      <w:pPr>
        <w:rPr>
          <w:lang w:val="es-ES"/>
        </w:rPr>
      </w:pPr>
    </w:p>
    <w:p w:rsidR="00F272DE" w:rsidRPr="0012595F" w:rsidRDefault="00F272DE" w:rsidP="00F272DE">
      <w:pPr>
        <w:rPr>
          <w:u w:val="single"/>
          <w:lang w:val="es-ES"/>
        </w:rPr>
      </w:pPr>
    </w:p>
    <w:p w:rsidR="004400EA" w:rsidRPr="0012595F" w:rsidRDefault="004400EA" w:rsidP="00F272DE">
      <w:pPr>
        <w:rPr>
          <w:lang w:val="es-ES"/>
        </w:rPr>
      </w:pPr>
    </w:p>
    <w:p w:rsidR="00F272DE" w:rsidRPr="0012595F" w:rsidRDefault="00F272DE" w:rsidP="00F272DE">
      <w:pPr>
        <w:rPr>
          <w:lang w:val="es-ES"/>
        </w:rPr>
      </w:pPr>
    </w:p>
    <w:p w:rsidR="00F272DE" w:rsidRPr="0012595F" w:rsidRDefault="00F272DE" w:rsidP="00F272DE">
      <w:pPr>
        <w:pStyle w:val="Heading2"/>
        <w:rPr>
          <w:caps w:val="0"/>
          <w:lang w:val="es-ES"/>
        </w:rPr>
      </w:pPr>
      <w:r w:rsidRPr="0012595F">
        <w:rPr>
          <w:caps w:val="0"/>
          <w:lang w:val="es-ES"/>
        </w:rPr>
        <w:t>INTRODUC</w:t>
      </w:r>
      <w:r w:rsidR="006021C6" w:rsidRPr="0012595F">
        <w:rPr>
          <w:caps w:val="0"/>
          <w:lang w:val="es-ES"/>
        </w:rPr>
        <w:t>CIÓN</w:t>
      </w:r>
    </w:p>
    <w:p w:rsidR="00F272DE" w:rsidRPr="0012595F" w:rsidRDefault="00F272DE" w:rsidP="00F272DE">
      <w:pPr>
        <w:rPr>
          <w:rFonts w:eastAsiaTheme="minorHAnsi"/>
          <w:lang w:val="es-ES" w:eastAsia="en-US"/>
        </w:rPr>
      </w:pPr>
      <w:r w:rsidRPr="0012595F">
        <w:rPr>
          <w:lang w:val="es-ES"/>
        </w:rPr>
        <w:fldChar w:fldCharType="begin"/>
      </w:r>
      <w:r w:rsidRPr="0012595F">
        <w:rPr>
          <w:lang w:val="es-ES"/>
        </w:rPr>
        <w:instrText xml:space="preserve"> AUTONUM  </w:instrText>
      </w:r>
      <w:r w:rsidRPr="0012595F">
        <w:rPr>
          <w:lang w:val="es-ES"/>
        </w:rPr>
        <w:fldChar w:fldCharType="end"/>
      </w:r>
      <w:r w:rsidRPr="0012595F">
        <w:rPr>
          <w:lang w:val="es-ES"/>
        </w:rPr>
        <w:tab/>
      </w:r>
      <w:r w:rsidR="006021C6" w:rsidRPr="0012595F">
        <w:rPr>
          <w:lang w:val="es-ES"/>
        </w:rPr>
        <w:t>La delegación de la Federación de Rusia ha formulado una pro</w:t>
      </w:r>
      <w:r w:rsidR="00425732" w:rsidRPr="0012595F">
        <w:rPr>
          <w:lang w:val="es-ES"/>
        </w:rPr>
        <w:t>puesta para la creación de una t</w:t>
      </w:r>
      <w:r w:rsidR="006021C6" w:rsidRPr="0012595F">
        <w:rPr>
          <w:lang w:val="es-ES"/>
        </w:rPr>
        <w:t>area consistente en actualizar las normas técnicas de la OMPI relativas a la publicación de información sobre los derechos de propiedad intelectual (PI) y las incidencias relativas a la situación jurídica, a los fines de someterla a examen de</w:t>
      </w:r>
      <w:r w:rsidR="00425732" w:rsidRPr="0012595F">
        <w:rPr>
          <w:lang w:val="es-ES"/>
        </w:rPr>
        <w:t>l Comité de Normas Técnicas de la OMPI (CWS) en su</w:t>
      </w:r>
      <w:r w:rsidR="006021C6" w:rsidRPr="0012595F">
        <w:rPr>
          <w:lang w:val="es-ES"/>
        </w:rPr>
        <w:t xml:space="preserve"> sexta sesión</w:t>
      </w:r>
      <w:r w:rsidR="00425732" w:rsidRPr="0012595F">
        <w:rPr>
          <w:lang w:val="es-ES"/>
        </w:rPr>
        <w:t xml:space="preserve">. </w:t>
      </w:r>
      <w:r w:rsidR="006021C6" w:rsidRPr="0012595F">
        <w:rPr>
          <w:lang w:val="es-ES"/>
        </w:rPr>
        <w:t>La propuesta se recoge en el Anexo del presente documento</w:t>
      </w:r>
      <w:r w:rsidRPr="0012595F">
        <w:rPr>
          <w:lang w:val="es-ES"/>
        </w:rPr>
        <w:t>.</w:t>
      </w:r>
    </w:p>
    <w:p w:rsidR="00F272DE" w:rsidRPr="0012595F" w:rsidRDefault="00F272DE" w:rsidP="00F272DE">
      <w:pPr>
        <w:rPr>
          <w:lang w:val="es-ES"/>
        </w:rPr>
      </w:pPr>
    </w:p>
    <w:p w:rsidR="00F272DE" w:rsidRPr="0012595F" w:rsidRDefault="00F272DE" w:rsidP="00F272DE">
      <w:pPr>
        <w:spacing w:after="220"/>
        <w:rPr>
          <w:lang w:val="es-ES"/>
        </w:rPr>
      </w:pPr>
      <w:r w:rsidRPr="0012595F">
        <w:rPr>
          <w:lang w:val="es-ES"/>
        </w:rPr>
        <w:fldChar w:fldCharType="begin"/>
      </w:r>
      <w:r w:rsidRPr="0012595F">
        <w:rPr>
          <w:lang w:val="es-ES"/>
        </w:rPr>
        <w:instrText xml:space="preserve"> AUTONUM  </w:instrText>
      </w:r>
      <w:r w:rsidRPr="0012595F">
        <w:rPr>
          <w:lang w:val="es-ES"/>
        </w:rPr>
        <w:fldChar w:fldCharType="end"/>
      </w:r>
      <w:r w:rsidRPr="0012595F">
        <w:rPr>
          <w:lang w:val="es-ES"/>
        </w:rPr>
        <w:tab/>
      </w:r>
      <w:r w:rsidR="00AD760E" w:rsidRPr="0012595F">
        <w:rPr>
          <w:lang w:val="es-ES"/>
        </w:rPr>
        <w:t>La delegación de la Federación de Rusia propone lo siguiente</w:t>
      </w:r>
      <w:r w:rsidRPr="0012595F">
        <w:rPr>
          <w:lang w:val="es-ES"/>
        </w:rPr>
        <w:t>:</w:t>
      </w:r>
    </w:p>
    <w:p w:rsidR="00F272DE" w:rsidRPr="0012595F" w:rsidRDefault="00D168DC" w:rsidP="004A651B">
      <w:pPr>
        <w:pStyle w:val="NoSpacing"/>
        <w:numPr>
          <w:ilvl w:val="0"/>
          <w:numId w:val="7"/>
        </w:numPr>
        <w:ind w:left="714" w:hanging="357"/>
        <w:jc w:val="both"/>
        <w:rPr>
          <w:rFonts w:ascii="Arial" w:hAnsi="Arial" w:cs="Arial"/>
          <w:lang w:val="es-ES"/>
        </w:rPr>
      </w:pPr>
      <w:r w:rsidRPr="0012595F">
        <w:rPr>
          <w:rFonts w:ascii="Arial" w:hAnsi="Arial" w:cs="Arial"/>
          <w:lang w:val="es-ES"/>
        </w:rPr>
        <w:t>crear una nueva tarea a fin de examinar las siguientes normas técnicas de la OMPI</w:t>
      </w:r>
      <w:r w:rsidR="00F272DE" w:rsidRPr="0012595F">
        <w:rPr>
          <w:rFonts w:ascii="Arial" w:hAnsi="Arial" w:cs="Arial"/>
          <w:lang w:val="es-ES"/>
        </w:rPr>
        <w:t xml:space="preserve">: ST.6, ST.8, ST.10, ST.11, ST.15, ST.17, ST.18, ST.63 </w:t>
      </w:r>
      <w:r w:rsidRPr="0012595F">
        <w:rPr>
          <w:rFonts w:ascii="Arial" w:hAnsi="Arial" w:cs="Arial"/>
          <w:lang w:val="es-ES"/>
        </w:rPr>
        <w:t xml:space="preserve">y </w:t>
      </w:r>
      <w:r w:rsidR="00F272DE" w:rsidRPr="0012595F">
        <w:rPr>
          <w:rFonts w:ascii="Arial" w:hAnsi="Arial" w:cs="Arial"/>
          <w:lang w:val="es-ES"/>
        </w:rPr>
        <w:t xml:space="preserve">ST.81, </w:t>
      </w:r>
      <w:r w:rsidRPr="0012595F">
        <w:rPr>
          <w:rFonts w:ascii="Arial" w:hAnsi="Arial" w:cs="Arial"/>
          <w:lang w:val="es-ES"/>
        </w:rPr>
        <w:t>que tienen que ver con la publicación de información sobre los derechos de PI y las incidencias relativas a la situación jurídica</w:t>
      </w:r>
      <w:r w:rsidR="00F272DE" w:rsidRPr="0012595F">
        <w:rPr>
          <w:rFonts w:ascii="Arial" w:hAnsi="Arial" w:cs="Arial"/>
          <w:lang w:val="es-ES"/>
        </w:rPr>
        <w:t xml:space="preserve">; </w:t>
      </w:r>
      <w:r w:rsidRPr="0012595F">
        <w:rPr>
          <w:rFonts w:ascii="Arial" w:hAnsi="Arial" w:cs="Arial"/>
          <w:lang w:val="es-ES"/>
        </w:rPr>
        <w:t>y</w:t>
      </w:r>
    </w:p>
    <w:p w:rsidR="00F272DE" w:rsidRPr="0012595F" w:rsidRDefault="00F272DE" w:rsidP="00F272DE">
      <w:pPr>
        <w:pStyle w:val="NoSpacing"/>
        <w:ind w:left="720"/>
        <w:jc w:val="both"/>
        <w:rPr>
          <w:rFonts w:ascii="Arial" w:hAnsi="Arial" w:cs="Arial"/>
          <w:lang w:val="es-ES"/>
        </w:rPr>
      </w:pPr>
    </w:p>
    <w:p w:rsidR="00D835C7" w:rsidRDefault="00D168DC" w:rsidP="00D168DC">
      <w:pPr>
        <w:pStyle w:val="ListParagraph"/>
        <w:numPr>
          <w:ilvl w:val="0"/>
          <w:numId w:val="7"/>
        </w:numPr>
        <w:spacing w:after="220"/>
        <w:rPr>
          <w:lang w:val="es-ES"/>
        </w:rPr>
      </w:pPr>
      <w:r w:rsidRPr="0012595F">
        <w:rPr>
          <w:lang w:val="es-ES"/>
        </w:rPr>
        <w:t>ampliar la Norma</w:t>
      </w:r>
      <w:r w:rsidR="00F272DE" w:rsidRPr="0012595F">
        <w:rPr>
          <w:lang w:val="es-ES"/>
        </w:rPr>
        <w:t xml:space="preserve"> ST.96</w:t>
      </w:r>
      <w:r w:rsidRPr="0012595F">
        <w:rPr>
          <w:lang w:val="es-ES"/>
        </w:rPr>
        <w:t xml:space="preserve"> de la OMPI</w:t>
      </w:r>
      <w:r w:rsidR="00F272DE" w:rsidRPr="0012595F">
        <w:rPr>
          <w:lang w:val="es-ES"/>
        </w:rPr>
        <w:t xml:space="preserve"> </w:t>
      </w:r>
      <w:r w:rsidRPr="0012595F">
        <w:rPr>
          <w:lang w:val="es-ES"/>
        </w:rPr>
        <w:t xml:space="preserve">añadiendo </w:t>
      </w:r>
      <w:r w:rsidR="008F7D9A" w:rsidRPr="0012595F">
        <w:rPr>
          <w:lang w:val="es-ES"/>
        </w:rPr>
        <w:t>hojas de estilo</w:t>
      </w:r>
      <w:r w:rsidRPr="0012595F">
        <w:rPr>
          <w:lang w:val="es-ES"/>
        </w:rPr>
        <w:t xml:space="preserve"> XSLT </w:t>
      </w:r>
      <w:r w:rsidR="00F272DE" w:rsidRPr="0012595F">
        <w:rPr>
          <w:lang w:val="es-ES"/>
        </w:rPr>
        <w:t>(eXtensible Stylesheet Language Transformation</w:t>
      </w:r>
      <w:r w:rsidRPr="0012595F">
        <w:rPr>
          <w:lang w:val="es-ES"/>
        </w:rPr>
        <w:t xml:space="preserve">) para </w:t>
      </w:r>
      <w:r w:rsidR="00425732" w:rsidRPr="0012595F">
        <w:rPr>
          <w:lang w:val="es-ES"/>
        </w:rPr>
        <w:t xml:space="preserve">uniformizar el </w:t>
      </w:r>
      <w:r w:rsidRPr="0012595F">
        <w:rPr>
          <w:lang w:val="es-ES"/>
        </w:rPr>
        <w:t>procesa</w:t>
      </w:r>
      <w:r w:rsidR="00425732" w:rsidRPr="0012595F">
        <w:rPr>
          <w:lang w:val="es-ES"/>
        </w:rPr>
        <w:t>miento de</w:t>
      </w:r>
      <w:r w:rsidRPr="0012595F">
        <w:rPr>
          <w:lang w:val="es-ES"/>
        </w:rPr>
        <w:t xml:space="preserve"> datos en XML</w:t>
      </w:r>
      <w:r w:rsidR="00F272DE" w:rsidRPr="0012595F">
        <w:rPr>
          <w:lang w:val="es-ES"/>
        </w:rPr>
        <w:t>.</w:t>
      </w:r>
      <w:r w:rsidR="00D835C7">
        <w:rPr>
          <w:lang w:val="es-ES"/>
        </w:rPr>
        <w:br w:type="page"/>
      </w:r>
    </w:p>
    <w:p w:rsidR="00F272DE" w:rsidRPr="0012595F" w:rsidRDefault="00F272DE" w:rsidP="00F272DE">
      <w:pPr>
        <w:rPr>
          <w:lang w:val="es-ES"/>
        </w:rPr>
      </w:pPr>
      <w:r w:rsidRPr="0012595F">
        <w:rPr>
          <w:lang w:val="es-ES"/>
        </w:rPr>
        <w:fldChar w:fldCharType="begin"/>
      </w:r>
      <w:r w:rsidRPr="0012595F">
        <w:rPr>
          <w:lang w:val="es-ES"/>
        </w:rPr>
        <w:instrText xml:space="preserve"> AUTONUM  </w:instrText>
      </w:r>
      <w:r w:rsidRPr="0012595F">
        <w:rPr>
          <w:lang w:val="es-ES"/>
        </w:rPr>
        <w:fldChar w:fldCharType="end"/>
      </w:r>
      <w:r w:rsidR="00795957" w:rsidRPr="0012595F">
        <w:rPr>
          <w:lang w:val="es-ES"/>
        </w:rPr>
        <w:tab/>
        <w:t>E</w:t>
      </w:r>
      <w:r w:rsidRPr="0012595F">
        <w:rPr>
          <w:lang w:val="es-ES"/>
        </w:rPr>
        <w:t xml:space="preserve">n </w:t>
      </w:r>
      <w:r w:rsidR="00795957" w:rsidRPr="0012595F">
        <w:rPr>
          <w:lang w:val="es-ES"/>
        </w:rPr>
        <w:t>las respuestas a la encuesta sobre el uso de las normas técnicas de la OMPI</w:t>
      </w:r>
      <w:r w:rsidRPr="0012595F">
        <w:rPr>
          <w:lang w:val="es-ES"/>
        </w:rPr>
        <w:t xml:space="preserve">, </w:t>
      </w:r>
      <w:r w:rsidR="00795957" w:rsidRPr="0012595F">
        <w:rPr>
          <w:lang w:val="es-ES"/>
        </w:rPr>
        <w:t>hubo oficinas de PI que señalaron que no aplican algunas no</w:t>
      </w:r>
      <w:r w:rsidR="00CF1C93" w:rsidRPr="0012595F">
        <w:rPr>
          <w:lang w:val="es-ES"/>
        </w:rPr>
        <w:t>r</w:t>
      </w:r>
      <w:r w:rsidR="00795957" w:rsidRPr="0012595F">
        <w:rPr>
          <w:lang w:val="es-ES"/>
        </w:rPr>
        <w:t>mas</w:t>
      </w:r>
      <w:r w:rsidR="000A3D75" w:rsidRPr="0012595F">
        <w:rPr>
          <w:lang w:val="es-ES"/>
        </w:rPr>
        <w:t xml:space="preserve"> técnicas</w:t>
      </w:r>
      <w:r w:rsidR="00795957" w:rsidRPr="0012595F">
        <w:rPr>
          <w:lang w:val="es-ES"/>
        </w:rPr>
        <w:t xml:space="preserve"> de la OMPI porque las recomendaciones que se suministran junto con las </w:t>
      </w:r>
      <w:r w:rsidR="00CF1C93" w:rsidRPr="0012595F">
        <w:rPr>
          <w:lang w:val="es-ES"/>
        </w:rPr>
        <w:t>mismas</w:t>
      </w:r>
      <w:r w:rsidR="00795957" w:rsidRPr="0012595F">
        <w:rPr>
          <w:lang w:val="es-ES"/>
        </w:rPr>
        <w:t xml:space="preserve"> han quedado obsoletas</w:t>
      </w:r>
      <w:r w:rsidRPr="0012595F">
        <w:rPr>
          <w:lang w:val="es-ES"/>
        </w:rPr>
        <w:t>.</w:t>
      </w:r>
      <w:r w:rsidR="0012595F" w:rsidRPr="0012595F">
        <w:rPr>
          <w:lang w:val="es-ES"/>
        </w:rPr>
        <w:t xml:space="preserve"> </w:t>
      </w:r>
      <w:r w:rsidR="00CF1C93" w:rsidRPr="0012595F">
        <w:rPr>
          <w:lang w:val="es-ES"/>
        </w:rPr>
        <w:t xml:space="preserve">A raíz de </w:t>
      </w:r>
      <w:r w:rsidR="00CF1C93" w:rsidRPr="0012595F">
        <w:rPr>
          <w:lang w:val="es-ES"/>
        </w:rPr>
        <w:lastRenderedPageBreak/>
        <w:t>esas respuestas, en su quinta sesión, el CWS decidió trasladar a los archivos varias de las normas técnicas de la OMPI</w:t>
      </w:r>
      <w:r w:rsidRPr="0012595F">
        <w:rPr>
          <w:lang w:val="es-ES"/>
        </w:rPr>
        <w:t> (</w:t>
      </w:r>
      <w:r w:rsidR="000A3D75" w:rsidRPr="0012595F">
        <w:rPr>
          <w:lang w:val="es-ES"/>
        </w:rPr>
        <w:t>v</w:t>
      </w:r>
      <w:r w:rsidR="00CF1C93" w:rsidRPr="0012595F">
        <w:rPr>
          <w:lang w:val="es-ES"/>
        </w:rPr>
        <w:t>éanse los párrafos</w:t>
      </w:r>
      <w:r w:rsidRPr="0012595F">
        <w:rPr>
          <w:lang w:val="es-ES"/>
        </w:rPr>
        <w:t xml:space="preserve"> 13 </w:t>
      </w:r>
      <w:r w:rsidR="00CF1C93" w:rsidRPr="0012595F">
        <w:rPr>
          <w:lang w:val="es-ES"/>
        </w:rPr>
        <w:t xml:space="preserve">a </w:t>
      </w:r>
      <w:r w:rsidRPr="0012595F">
        <w:rPr>
          <w:lang w:val="es-ES"/>
        </w:rPr>
        <w:t xml:space="preserve">18 </w:t>
      </w:r>
      <w:r w:rsidR="00CF1C93" w:rsidRPr="0012595F">
        <w:rPr>
          <w:lang w:val="es-ES"/>
        </w:rPr>
        <w:t xml:space="preserve">del </w:t>
      </w:r>
      <w:r w:rsidRPr="0012595F">
        <w:rPr>
          <w:lang w:val="es-ES"/>
        </w:rPr>
        <w:t>document</w:t>
      </w:r>
      <w:r w:rsidR="00CF1C93" w:rsidRPr="0012595F">
        <w:rPr>
          <w:lang w:val="es-ES"/>
        </w:rPr>
        <w:t>o</w:t>
      </w:r>
      <w:r w:rsidRPr="0012595F">
        <w:rPr>
          <w:lang w:val="es-ES"/>
        </w:rPr>
        <w:t xml:space="preserve"> CWS/5/22.)</w:t>
      </w:r>
    </w:p>
    <w:p w:rsidR="000A3D75" w:rsidRPr="0012595F" w:rsidRDefault="000A3D75" w:rsidP="00F272DE">
      <w:pPr>
        <w:rPr>
          <w:lang w:val="es-ES"/>
        </w:rPr>
      </w:pPr>
    </w:p>
    <w:p w:rsidR="00F272DE" w:rsidRPr="0012595F" w:rsidRDefault="00F272DE" w:rsidP="00F272DE">
      <w:pPr>
        <w:rPr>
          <w:szCs w:val="22"/>
          <w:lang w:val="es-ES"/>
        </w:rPr>
      </w:pPr>
      <w:r w:rsidRPr="0012595F">
        <w:rPr>
          <w:rFonts w:eastAsiaTheme="minorHAnsi"/>
          <w:lang w:val="es-ES" w:eastAsia="en-US"/>
        </w:rPr>
        <w:fldChar w:fldCharType="begin"/>
      </w:r>
      <w:r w:rsidRPr="0012595F">
        <w:rPr>
          <w:rFonts w:eastAsiaTheme="minorHAnsi"/>
          <w:lang w:val="es-ES" w:eastAsia="en-US"/>
        </w:rPr>
        <w:instrText xml:space="preserve"> AUTONUM  </w:instrText>
      </w:r>
      <w:r w:rsidRPr="0012595F">
        <w:rPr>
          <w:rFonts w:eastAsiaTheme="minorHAnsi"/>
          <w:lang w:val="es-ES" w:eastAsia="en-US"/>
        </w:rPr>
        <w:fldChar w:fldCharType="end"/>
      </w:r>
      <w:r w:rsidRPr="0012595F">
        <w:rPr>
          <w:rFonts w:eastAsiaTheme="minorHAnsi"/>
          <w:lang w:val="es-ES" w:eastAsia="en-US"/>
        </w:rPr>
        <w:tab/>
      </w:r>
      <w:r w:rsidR="00CF1C93" w:rsidRPr="0012595F">
        <w:rPr>
          <w:rFonts w:eastAsiaTheme="minorHAnsi"/>
          <w:lang w:val="es-ES" w:eastAsia="en-US"/>
        </w:rPr>
        <w:t>En su reunión celebrada en Moscú, en mayo de 2018,</w:t>
      </w:r>
      <w:r w:rsidRPr="0012595F">
        <w:rPr>
          <w:szCs w:val="22"/>
          <w:lang w:val="es-ES"/>
        </w:rPr>
        <w:t xml:space="preserve"> </w:t>
      </w:r>
      <w:r w:rsidR="00CF1C93" w:rsidRPr="0012595F">
        <w:rPr>
          <w:szCs w:val="22"/>
          <w:lang w:val="es-ES"/>
        </w:rPr>
        <w:t>los miembros del Equipo Técnico</w:t>
      </w:r>
      <w:r w:rsidRPr="0012595F">
        <w:rPr>
          <w:szCs w:val="22"/>
          <w:lang w:val="es-ES"/>
        </w:rPr>
        <w:t xml:space="preserve"> XML4IP </w:t>
      </w:r>
      <w:r w:rsidR="00CF1C93" w:rsidRPr="0012595F">
        <w:rPr>
          <w:szCs w:val="22"/>
          <w:lang w:val="es-ES"/>
        </w:rPr>
        <w:t xml:space="preserve">intercambiaron </w:t>
      </w:r>
      <w:r w:rsidR="000A3D75" w:rsidRPr="0012595F">
        <w:rPr>
          <w:szCs w:val="22"/>
          <w:lang w:val="es-ES"/>
        </w:rPr>
        <w:t xml:space="preserve">brevemente </w:t>
      </w:r>
      <w:r w:rsidR="00CF1C93" w:rsidRPr="0012595F">
        <w:rPr>
          <w:szCs w:val="22"/>
          <w:lang w:val="es-ES"/>
        </w:rPr>
        <w:t xml:space="preserve">experiencias en la representación de </w:t>
      </w:r>
      <w:r w:rsidR="000A3D75" w:rsidRPr="0012595F">
        <w:rPr>
          <w:szCs w:val="22"/>
          <w:lang w:val="es-ES"/>
        </w:rPr>
        <w:t xml:space="preserve">los </w:t>
      </w:r>
      <w:r w:rsidR="00CF1C93" w:rsidRPr="0012595F">
        <w:rPr>
          <w:szCs w:val="22"/>
          <w:lang w:val="es-ES"/>
        </w:rPr>
        <w:t>datos</w:t>
      </w:r>
      <w:r w:rsidRPr="0012595F">
        <w:rPr>
          <w:szCs w:val="22"/>
          <w:lang w:val="es-ES"/>
        </w:rPr>
        <w:t xml:space="preserve"> ST.96 </w:t>
      </w:r>
      <w:r w:rsidR="00CF1C93" w:rsidRPr="0012595F">
        <w:rPr>
          <w:szCs w:val="22"/>
          <w:lang w:val="es-ES"/>
        </w:rPr>
        <w:t xml:space="preserve">para </w:t>
      </w:r>
      <w:r w:rsidR="000A3D75" w:rsidRPr="0012595F">
        <w:rPr>
          <w:szCs w:val="22"/>
          <w:lang w:val="es-ES"/>
        </w:rPr>
        <w:t xml:space="preserve">su </w:t>
      </w:r>
      <w:r w:rsidR="00CF1C93" w:rsidRPr="0012595F">
        <w:rPr>
          <w:szCs w:val="22"/>
          <w:lang w:val="es-ES"/>
        </w:rPr>
        <w:t>publicación</w:t>
      </w:r>
      <w:r w:rsidRPr="0012595F">
        <w:rPr>
          <w:szCs w:val="22"/>
          <w:lang w:val="es-ES"/>
        </w:rPr>
        <w:t>.</w:t>
      </w:r>
    </w:p>
    <w:p w:rsidR="00F272DE" w:rsidRPr="0012595F" w:rsidRDefault="00F272DE" w:rsidP="00F272DE">
      <w:pPr>
        <w:rPr>
          <w:szCs w:val="22"/>
          <w:lang w:val="es-ES"/>
        </w:rPr>
      </w:pPr>
    </w:p>
    <w:p w:rsidR="00F272DE" w:rsidRPr="0012595F" w:rsidRDefault="00F272DE" w:rsidP="00F272DE">
      <w:pPr>
        <w:pStyle w:val="ONUME"/>
        <w:numPr>
          <w:ilvl w:val="0"/>
          <w:numId w:val="0"/>
        </w:numPr>
        <w:ind w:left="5533"/>
        <w:rPr>
          <w:i/>
          <w:lang w:val="es-ES"/>
        </w:rPr>
      </w:pPr>
      <w:r w:rsidRPr="0012595F">
        <w:rPr>
          <w:i/>
          <w:lang w:val="es-ES"/>
        </w:rPr>
        <w:fldChar w:fldCharType="begin"/>
      </w:r>
      <w:r w:rsidRPr="0012595F">
        <w:rPr>
          <w:i/>
          <w:lang w:val="es-ES"/>
        </w:rPr>
        <w:instrText xml:space="preserve"> AUTONUM  </w:instrText>
      </w:r>
      <w:r w:rsidRPr="0012595F">
        <w:rPr>
          <w:i/>
          <w:lang w:val="es-ES"/>
        </w:rPr>
        <w:fldChar w:fldCharType="end"/>
      </w:r>
      <w:r w:rsidRPr="0012595F">
        <w:rPr>
          <w:i/>
          <w:lang w:val="es-ES"/>
        </w:rPr>
        <w:tab/>
      </w:r>
      <w:r w:rsidR="00CF1C93" w:rsidRPr="0012595F">
        <w:rPr>
          <w:i/>
          <w:lang w:val="es-ES"/>
        </w:rPr>
        <w:t>Se invita al</w:t>
      </w:r>
      <w:r w:rsidRPr="0012595F">
        <w:rPr>
          <w:i/>
          <w:lang w:val="es-ES"/>
        </w:rPr>
        <w:t xml:space="preserve"> CWS</w:t>
      </w:r>
      <w:r w:rsidR="00CF1C93" w:rsidRPr="0012595F">
        <w:rPr>
          <w:i/>
          <w:lang w:val="es-ES"/>
        </w:rPr>
        <w:t xml:space="preserve"> a</w:t>
      </w:r>
      <w:r w:rsidRPr="0012595F">
        <w:rPr>
          <w:i/>
          <w:lang w:val="es-ES"/>
        </w:rPr>
        <w:t>:</w:t>
      </w:r>
    </w:p>
    <w:p w:rsidR="00F272DE" w:rsidRPr="0012595F" w:rsidRDefault="00F272DE" w:rsidP="00F272DE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12595F">
        <w:rPr>
          <w:i/>
          <w:szCs w:val="22"/>
          <w:lang w:val="es-ES"/>
        </w:rPr>
        <w:tab/>
        <w:t>a)</w:t>
      </w:r>
      <w:r w:rsidRPr="0012595F">
        <w:rPr>
          <w:i/>
          <w:szCs w:val="22"/>
          <w:lang w:val="es-ES"/>
        </w:rPr>
        <w:tab/>
      </w:r>
      <w:r w:rsidR="00E54B89" w:rsidRPr="0012595F">
        <w:rPr>
          <w:i/>
          <w:szCs w:val="22"/>
          <w:lang w:val="es-ES"/>
        </w:rPr>
        <w:t>tomar nota del contenido de la propuesta de la delegación de la Federación de Rusia, que se recoge en el Anexo</w:t>
      </w:r>
      <w:r w:rsidRPr="0012595F">
        <w:rPr>
          <w:i/>
          <w:szCs w:val="22"/>
          <w:lang w:val="es-ES"/>
        </w:rPr>
        <w:t xml:space="preserve">; </w:t>
      </w:r>
    </w:p>
    <w:p w:rsidR="00F272DE" w:rsidRPr="0012595F" w:rsidRDefault="00F272DE" w:rsidP="00F272DE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12595F">
        <w:rPr>
          <w:i/>
          <w:szCs w:val="22"/>
          <w:lang w:val="es-ES"/>
        </w:rPr>
        <w:tab/>
        <w:t>b)</w:t>
      </w:r>
      <w:r w:rsidRPr="0012595F">
        <w:rPr>
          <w:i/>
          <w:szCs w:val="22"/>
          <w:lang w:val="es-ES"/>
        </w:rPr>
        <w:tab/>
      </w:r>
      <w:r w:rsidR="00E54B89" w:rsidRPr="0012595F">
        <w:rPr>
          <w:i/>
          <w:szCs w:val="22"/>
          <w:lang w:val="es-ES"/>
        </w:rPr>
        <w:t xml:space="preserve">considerar la creación de una Tarea con la siguiente descripción: </w:t>
      </w:r>
      <w:r w:rsidRPr="0012595F">
        <w:rPr>
          <w:i/>
          <w:szCs w:val="22"/>
          <w:lang w:val="es-ES"/>
        </w:rPr>
        <w:t>“</w:t>
      </w:r>
      <w:r w:rsidR="00E54B89" w:rsidRPr="0012595F">
        <w:rPr>
          <w:i/>
          <w:szCs w:val="22"/>
          <w:lang w:val="es-ES"/>
        </w:rPr>
        <w:t>Exam</w:t>
      </w:r>
      <w:r w:rsidR="00666E13" w:rsidRPr="0012595F">
        <w:rPr>
          <w:i/>
          <w:szCs w:val="22"/>
          <w:lang w:val="es-ES"/>
        </w:rPr>
        <w:t>inar</w:t>
      </w:r>
      <w:r w:rsidR="00E54B89" w:rsidRPr="0012595F">
        <w:rPr>
          <w:i/>
          <w:szCs w:val="22"/>
          <w:lang w:val="es-ES"/>
        </w:rPr>
        <w:t xml:space="preserve"> las normas técnicas de la OMPI</w:t>
      </w:r>
      <w:r w:rsidRPr="0012595F">
        <w:rPr>
          <w:i/>
          <w:szCs w:val="22"/>
          <w:lang w:val="es-ES"/>
        </w:rPr>
        <w:t xml:space="preserve"> ST.6, ST.8, ST.10, ST.11, ST.15, ST.17, ST.18, ST.63 </w:t>
      </w:r>
      <w:r w:rsidR="00E54B89" w:rsidRPr="0012595F">
        <w:rPr>
          <w:i/>
          <w:szCs w:val="22"/>
          <w:lang w:val="es-ES"/>
        </w:rPr>
        <w:t xml:space="preserve">y </w:t>
      </w:r>
      <w:r w:rsidRPr="0012595F">
        <w:rPr>
          <w:i/>
          <w:szCs w:val="22"/>
          <w:lang w:val="es-ES"/>
        </w:rPr>
        <w:t>ST.81</w:t>
      </w:r>
      <w:r w:rsidR="00E54B89" w:rsidRPr="0012595F">
        <w:rPr>
          <w:i/>
          <w:szCs w:val="22"/>
          <w:lang w:val="es-ES"/>
        </w:rPr>
        <w:t xml:space="preserve">, teniendo presente </w:t>
      </w:r>
      <w:r w:rsidR="000A3D75" w:rsidRPr="0012595F">
        <w:rPr>
          <w:i/>
          <w:szCs w:val="22"/>
          <w:lang w:val="es-ES"/>
        </w:rPr>
        <w:t>que los</w:t>
      </w:r>
      <w:r w:rsidR="00E54B89" w:rsidRPr="0012595F">
        <w:rPr>
          <w:i/>
          <w:szCs w:val="22"/>
          <w:lang w:val="es-ES"/>
        </w:rPr>
        <w:t xml:space="preserve"> documentos de PI</w:t>
      </w:r>
      <w:r w:rsidR="000A3D75" w:rsidRPr="0012595F">
        <w:rPr>
          <w:i/>
          <w:szCs w:val="22"/>
          <w:lang w:val="es-ES"/>
        </w:rPr>
        <w:t xml:space="preserve"> se publican por vía electrónica</w:t>
      </w:r>
      <w:r w:rsidR="00E54B89" w:rsidRPr="0012595F">
        <w:rPr>
          <w:i/>
          <w:szCs w:val="22"/>
          <w:lang w:val="es-ES"/>
        </w:rPr>
        <w:t>; y si es necesario, proponer modificaciones de dichas normas</w:t>
      </w:r>
      <w:r w:rsidR="00666E13" w:rsidRPr="0012595F">
        <w:rPr>
          <w:i/>
          <w:szCs w:val="22"/>
          <w:lang w:val="es-ES"/>
        </w:rPr>
        <w:t>”</w:t>
      </w:r>
      <w:r w:rsidR="00E54B89" w:rsidRPr="0012595F">
        <w:rPr>
          <w:i/>
          <w:szCs w:val="22"/>
          <w:lang w:val="es-ES"/>
        </w:rPr>
        <w:t xml:space="preserve">, como se indica en el párrafo 2 </w:t>
      </w:r>
      <w:r w:rsidR="00E54B89" w:rsidRPr="0012595F">
        <w:rPr>
          <w:szCs w:val="22"/>
          <w:lang w:val="es-ES"/>
        </w:rPr>
        <w:t>supra</w:t>
      </w:r>
      <w:r w:rsidR="0012595F" w:rsidRPr="0012595F">
        <w:rPr>
          <w:szCs w:val="22"/>
          <w:lang w:val="es-ES"/>
        </w:rPr>
        <w:t xml:space="preserve"> </w:t>
      </w:r>
      <w:r w:rsidR="00E54B89" w:rsidRPr="0012595F">
        <w:rPr>
          <w:i/>
          <w:szCs w:val="22"/>
          <w:lang w:val="es-ES"/>
        </w:rPr>
        <w:t>y en el Anexo</w:t>
      </w:r>
      <w:r w:rsidRPr="0012595F">
        <w:rPr>
          <w:i/>
          <w:szCs w:val="22"/>
          <w:lang w:val="es-ES"/>
        </w:rPr>
        <w:t xml:space="preserve">; </w:t>
      </w:r>
    </w:p>
    <w:p w:rsidR="004D4D3B" w:rsidRPr="0012595F" w:rsidRDefault="00F272DE" w:rsidP="004D4D3B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12595F">
        <w:rPr>
          <w:i/>
          <w:szCs w:val="22"/>
          <w:lang w:val="es-ES"/>
        </w:rPr>
        <w:tab/>
      </w:r>
      <w:r w:rsidR="004D4D3B" w:rsidRPr="0012595F">
        <w:rPr>
          <w:i/>
          <w:color w:val="000000"/>
          <w:szCs w:val="22"/>
          <w:lang w:val="es-ES"/>
        </w:rPr>
        <w:t>c)</w:t>
      </w:r>
      <w:r w:rsidR="004D4D3B" w:rsidRPr="0012595F">
        <w:rPr>
          <w:i/>
          <w:color w:val="000000"/>
          <w:szCs w:val="22"/>
          <w:lang w:val="es-ES"/>
        </w:rPr>
        <w:tab/>
        <w:t>establecer el correspondiente equipo técnico y designar al responsable del mismo</w:t>
      </w:r>
      <w:r w:rsidR="004D4D3B" w:rsidRPr="0012595F">
        <w:rPr>
          <w:i/>
          <w:color w:val="008000"/>
          <w:szCs w:val="22"/>
          <w:lang w:val="es-ES"/>
        </w:rPr>
        <w:t>;</w:t>
      </w:r>
    </w:p>
    <w:p w:rsidR="004D4D3B" w:rsidRPr="0012595F" w:rsidRDefault="004D4D3B" w:rsidP="004D4D3B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12595F">
        <w:rPr>
          <w:i/>
          <w:szCs w:val="22"/>
          <w:lang w:val="es-ES"/>
        </w:rPr>
        <w:tab/>
      </w:r>
      <w:r w:rsidRPr="0012595F">
        <w:rPr>
          <w:i/>
          <w:color w:val="000000"/>
          <w:szCs w:val="22"/>
          <w:lang w:val="es-ES"/>
        </w:rPr>
        <w:t>d)</w:t>
      </w:r>
      <w:r w:rsidRPr="0012595F">
        <w:rPr>
          <w:i/>
          <w:color w:val="000000"/>
          <w:szCs w:val="22"/>
          <w:lang w:val="es-ES"/>
        </w:rPr>
        <w:tab/>
        <w:t xml:space="preserve">solicitar a la Secretaría que publique una circular a fin de invitar a las oficinas de PI a designar a los respectivos expertos para el equipo técnico que se establezca; </w:t>
      </w:r>
    </w:p>
    <w:p w:rsidR="00F272DE" w:rsidRPr="0012595F" w:rsidRDefault="004D4D3B" w:rsidP="004D4D3B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12595F">
        <w:rPr>
          <w:i/>
          <w:szCs w:val="22"/>
          <w:lang w:val="es-ES"/>
        </w:rPr>
        <w:tab/>
      </w:r>
      <w:r w:rsidRPr="0012595F">
        <w:rPr>
          <w:i/>
          <w:color w:val="000000"/>
          <w:szCs w:val="22"/>
          <w:lang w:val="es-ES"/>
        </w:rPr>
        <w:t>e)</w:t>
      </w:r>
      <w:r w:rsidRPr="0012595F">
        <w:rPr>
          <w:i/>
          <w:color w:val="000000"/>
          <w:szCs w:val="22"/>
          <w:lang w:val="es-ES"/>
        </w:rPr>
        <w:tab/>
        <w:t>pedir al equipo técnico que se establezca que presente en la séptima sesión del Comité un informe sobre la marcha de su labor</w:t>
      </w:r>
      <w:r w:rsidR="00666E13" w:rsidRPr="0012595F">
        <w:rPr>
          <w:i/>
          <w:color w:val="000000"/>
          <w:szCs w:val="22"/>
          <w:lang w:val="es-ES"/>
        </w:rPr>
        <w:t>; y</w:t>
      </w:r>
    </w:p>
    <w:p w:rsidR="00F272DE" w:rsidRPr="0012595F" w:rsidRDefault="00F272DE" w:rsidP="00F272DE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es-ES"/>
        </w:rPr>
      </w:pPr>
      <w:r w:rsidRPr="0012595F">
        <w:rPr>
          <w:i/>
          <w:szCs w:val="22"/>
          <w:lang w:val="es-ES"/>
        </w:rPr>
        <w:tab/>
        <w:t>f)</w:t>
      </w:r>
      <w:r w:rsidRPr="0012595F">
        <w:rPr>
          <w:i/>
          <w:szCs w:val="22"/>
          <w:lang w:val="es-ES"/>
        </w:rPr>
        <w:tab/>
        <w:t>consider</w:t>
      </w:r>
      <w:r w:rsidR="00E4015F" w:rsidRPr="0012595F">
        <w:rPr>
          <w:i/>
          <w:szCs w:val="22"/>
          <w:lang w:val="es-ES"/>
        </w:rPr>
        <w:t xml:space="preserve">ar las ventajas y la necesidad de añadir </w:t>
      </w:r>
      <w:r w:rsidR="000A3D75" w:rsidRPr="0012595F">
        <w:rPr>
          <w:i/>
          <w:szCs w:val="22"/>
          <w:lang w:val="es-ES"/>
        </w:rPr>
        <w:t>hojas de estilo</w:t>
      </w:r>
      <w:r w:rsidR="00E4015F" w:rsidRPr="0012595F">
        <w:rPr>
          <w:i/>
          <w:szCs w:val="22"/>
          <w:lang w:val="es-ES"/>
        </w:rPr>
        <w:t xml:space="preserve"> XSLT a la Norma</w:t>
      </w:r>
      <w:r w:rsidRPr="0012595F">
        <w:rPr>
          <w:i/>
          <w:szCs w:val="22"/>
          <w:lang w:val="es-ES"/>
        </w:rPr>
        <w:t xml:space="preserve"> ST.96</w:t>
      </w:r>
      <w:r w:rsidR="00E4015F" w:rsidRPr="0012595F">
        <w:rPr>
          <w:i/>
          <w:szCs w:val="22"/>
          <w:lang w:val="es-ES"/>
        </w:rPr>
        <w:t xml:space="preserve"> de la OMPI</w:t>
      </w:r>
      <w:r w:rsidRPr="0012595F">
        <w:rPr>
          <w:i/>
          <w:szCs w:val="22"/>
          <w:lang w:val="es-ES"/>
        </w:rPr>
        <w:t xml:space="preserve">, </w:t>
      </w:r>
      <w:r w:rsidR="00E4015F" w:rsidRPr="0012595F">
        <w:rPr>
          <w:i/>
          <w:szCs w:val="22"/>
          <w:lang w:val="es-ES"/>
        </w:rPr>
        <w:t xml:space="preserve">y pedir al Equipo Técnico </w:t>
      </w:r>
      <w:r w:rsidRPr="0012595F">
        <w:rPr>
          <w:i/>
          <w:szCs w:val="22"/>
          <w:lang w:val="es-ES"/>
        </w:rPr>
        <w:t>XML4IP</w:t>
      </w:r>
      <w:r w:rsidR="00E4015F" w:rsidRPr="0012595F">
        <w:rPr>
          <w:i/>
          <w:szCs w:val="22"/>
          <w:lang w:val="es-ES"/>
        </w:rPr>
        <w:t xml:space="preserve"> que elabore </w:t>
      </w:r>
      <w:r w:rsidR="008F7D9A" w:rsidRPr="0012595F">
        <w:rPr>
          <w:i/>
          <w:szCs w:val="22"/>
          <w:lang w:val="es-ES"/>
        </w:rPr>
        <w:t>hojas de estilo</w:t>
      </w:r>
      <w:r w:rsidRPr="0012595F">
        <w:rPr>
          <w:i/>
          <w:szCs w:val="22"/>
          <w:lang w:val="es-ES"/>
        </w:rPr>
        <w:t xml:space="preserve"> XSLT</w:t>
      </w:r>
      <w:r w:rsidR="00E4015F" w:rsidRPr="0012595F">
        <w:rPr>
          <w:i/>
          <w:szCs w:val="22"/>
          <w:lang w:val="es-ES"/>
        </w:rPr>
        <w:t xml:space="preserve"> y las incorpore en la Norma</w:t>
      </w:r>
      <w:r w:rsidRPr="0012595F">
        <w:rPr>
          <w:i/>
          <w:szCs w:val="22"/>
          <w:lang w:val="es-ES"/>
        </w:rPr>
        <w:t xml:space="preserve"> ST.96, </w:t>
      </w:r>
      <w:r w:rsidR="00E4015F" w:rsidRPr="0012595F">
        <w:rPr>
          <w:i/>
          <w:szCs w:val="22"/>
          <w:lang w:val="es-ES"/>
        </w:rPr>
        <w:t xml:space="preserve">como se indica en el párrafo 4 </w:t>
      </w:r>
      <w:r w:rsidR="00E4015F" w:rsidRPr="0012595F">
        <w:rPr>
          <w:szCs w:val="22"/>
          <w:lang w:val="es-ES"/>
        </w:rPr>
        <w:t>supra</w:t>
      </w:r>
      <w:r w:rsidRPr="0012595F">
        <w:rPr>
          <w:i/>
          <w:szCs w:val="22"/>
          <w:lang w:val="es-ES"/>
        </w:rPr>
        <w:t>.</w:t>
      </w:r>
    </w:p>
    <w:p w:rsidR="00F272DE" w:rsidRPr="0012595F" w:rsidRDefault="00F272DE" w:rsidP="00F272DE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es-ES"/>
        </w:rPr>
      </w:pPr>
    </w:p>
    <w:p w:rsidR="00F272DE" w:rsidRPr="0012595F" w:rsidRDefault="00F272DE" w:rsidP="00F272DE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es-ES"/>
        </w:rPr>
      </w:pPr>
    </w:p>
    <w:p w:rsidR="00F272DE" w:rsidRPr="0012595F" w:rsidRDefault="00F272DE" w:rsidP="00375885">
      <w:pPr>
        <w:pStyle w:val="Endofdocument-Annex"/>
        <w:rPr>
          <w:lang w:val="es-ES"/>
        </w:rPr>
      </w:pPr>
      <w:r w:rsidRPr="0012595F">
        <w:rPr>
          <w:lang w:val="es-ES"/>
        </w:rPr>
        <w:t>[</w:t>
      </w:r>
      <w:r w:rsidR="004D4D3B" w:rsidRPr="0012595F">
        <w:rPr>
          <w:lang w:val="es-ES"/>
        </w:rPr>
        <w:t>Sigue el Anexo</w:t>
      </w:r>
      <w:r w:rsidR="00375885" w:rsidRPr="0012595F">
        <w:rPr>
          <w:lang w:val="es-ES"/>
        </w:rPr>
        <w:t>]</w:t>
      </w:r>
    </w:p>
    <w:sectPr w:rsidR="00F272DE" w:rsidRPr="0012595F" w:rsidSect="00F272DE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8E" w:rsidRDefault="008A568E" w:rsidP="008A568E">
      <w:r>
        <w:separator/>
      </w:r>
    </w:p>
  </w:endnote>
  <w:endnote w:type="continuationSeparator" w:id="0">
    <w:p w:rsidR="008A568E" w:rsidRDefault="008A568E" w:rsidP="008A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8E" w:rsidRDefault="008A568E" w:rsidP="008A568E">
      <w:r>
        <w:separator/>
      </w:r>
    </w:p>
  </w:footnote>
  <w:footnote w:type="continuationSeparator" w:id="0">
    <w:p w:rsidR="008A568E" w:rsidRDefault="008A568E" w:rsidP="008A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85" w:rsidRDefault="00375885" w:rsidP="00375885">
    <w:pPr>
      <w:pStyle w:val="Header"/>
      <w:jc w:val="right"/>
      <w:rPr>
        <w:lang w:val="en-GB"/>
      </w:rPr>
    </w:pPr>
    <w:r>
      <w:rPr>
        <w:lang w:val="en-GB"/>
      </w:rPr>
      <w:t>CWS/6/23</w:t>
    </w:r>
  </w:p>
  <w:p w:rsidR="00375885" w:rsidRPr="00E4015F" w:rsidRDefault="00375885" w:rsidP="00375885">
    <w:pPr>
      <w:pStyle w:val="Header"/>
      <w:jc w:val="right"/>
      <w:rPr>
        <w:lang w:val="es-ES"/>
      </w:rPr>
    </w:pPr>
    <w:r>
      <w:rPr>
        <w:lang w:val="en-GB"/>
      </w:rPr>
      <w:t>p</w:t>
    </w:r>
    <w:r w:rsidR="00E4015F">
      <w:rPr>
        <w:lang w:val="en-GB"/>
      </w:rPr>
      <w:t>ágina</w:t>
    </w:r>
    <w:r>
      <w:rPr>
        <w:lang w:val="en-GB"/>
      </w:rPr>
      <w:t xml:space="preserve"> 2</w:t>
    </w:r>
  </w:p>
  <w:p w:rsidR="00375885" w:rsidRDefault="00375885" w:rsidP="00375885">
    <w:pPr>
      <w:pStyle w:val="Header"/>
      <w:jc w:val="right"/>
      <w:rPr>
        <w:lang w:val="en-GB"/>
      </w:rPr>
    </w:pPr>
  </w:p>
  <w:p w:rsidR="00D835C7" w:rsidRPr="00375885" w:rsidRDefault="00D835C7" w:rsidP="00375885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3A7D14"/>
    <w:multiLevelType w:val="hybridMultilevel"/>
    <w:tmpl w:val="9438C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1056A9"/>
    <w:multiLevelType w:val="hybridMultilevel"/>
    <w:tmpl w:val="AFBE8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6979"/>
    <w:multiLevelType w:val="hybridMultilevel"/>
    <w:tmpl w:val="4CFE3508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B2267A"/>
    <w:multiLevelType w:val="hybridMultilevel"/>
    <w:tmpl w:val="8488DA4E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62323"/>
    <w:multiLevelType w:val="hybridMultilevel"/>
    <w:tmpl w:val="BF549214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9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DE"/>
    <w:rsid w:val="00043CAA"/>
    <w:rsid w:val="00075432"/>
    <w:rsid w:val="000968ED"/>
    <w:rsid w:val="000A3D75"/>
    <w:rsid w:val="000D01E0"/>
    <w:rsid w:val="000F5E56"/>
    <w:rsid w:val="0012595F"/>
    <w:rsid w:val="001362EE"/>
    <w:rsid w:val="001647D5"/>
    <w:rsid w:val="00170926"/>
    <w:rsid w:val="001832A6"/>
    <w:rsid w:val="001B5E6D"/>
    <w:rsid w:val="0021217E"/>
    <w:rsid w:val="002634C4"/>
    <w:rsid w:val="002928D3"/>
    <w:rsid w:val="002F1FE6"/>
    <w:rsid w:val="002F4E68"/>
    <w:rsid w:val="00312F7F"/>
    <w:rsid w:val="00361450"/>
    <w:rsid w:val="003673CF"/>
    <w:rsid w:val="00375885"/>
    <w:rsid w:val="003845C1"/>
    <w:rsid w:val="00397AAF"/>
    <w:rsid w:val="003A6F89"/>
    <w:rsid w:val="003B38C1"/>
    <w:rsid w:val="00423E3E"/>
    <w:rsid w:val="00425732"/>
    <w:rsid w:val="00427AF4"/>
    <w:rsid w:val="004400EA"/>
    <w:rsid w:val="004647DA"/>
    <w:rsid w:val="00474062"/>
    <w:rsid w:val="00477D6B"/>
    <w:rsid w:val="004A651B"/>
    <w:rsid w:val="004D4D3B"/>
    <w:rsid w:val="004F2D40"/>
    <w:rsid w:val="005019FF"/>
    <w:rsid w:val="0053057A"/>
    <w:rsid w:val="00560A29"/>
    <w:rsid w:val="005C6649"/>
    <w:rsid w:val="006021C6"/>
    <w:rsid w:val="00605827"/>
    <w:rsid w:val="00646050"/>
    <w:rsid w:val="00666E13"/>
    <w:rsid w:val="006713CA"/>
    <w:rsid w:val="00673D0F"/>
    <w:rsid w:val="00676C5C"/>
    <w:rsid w:val="0069248A"/>
    <w:rsid w:val="006C0AD5"/>
    <w:rsid w:val="00795957"/>
    <w:rsid w:val="007D1613"/>
    <w:rsid w:val="007E4C0E"/>
    <w:rsid w:val="008027AD"/>
    <w:rsid w:val="008A134B"/>
    <w:rsid w:val="008A568E"/>
    <w:rsid w:val="008B2CC1"/>
    <w:rsid w:val="008B60B2"/>
    <w:rsid w:val="008F7D9A"/>
    <w:rsid w:val="0090731E"/>
    <w:rsid w:val="00916EE2"/>
    <w:rsid w:val="00966A22"/>
    <w:rsid w:val="0096722F"/>
    <w:rsid w:val="00980843"/>
    <w:rsid w:val="009C6CEF"/>
    <w:rsid w:val="009C7DB0"/>
    <w:rsid w:val="009E2791"/>
    <w:rsid w:val="009E3F6F"/>
    <w:rsid w:val="009F499F"/>
    <w:rsid w:val="00A37342"/>
    <w:rsid w:val="00A42DAF"/>
    <w:rsid w:val="00A45BD8"/>
    <w:rsid w:val="00A869B7"/>
    <w:rsid w:val="00AB1DD5"/>
    <w:rsid w:val="00AC205C"/>
    <w:rsid w:val="00AD760E"/>
    <w:rsid w:val="00AF0A6B"/>
    <w:rsid w:val="00B05A69"/>
    <w:rsid w:val="00B7665B"/>
    <w:rsid w:val="00B9734B"/>
    <w:rsid w:val="00BA30E2"/>
    <w:rsid w:val="00C11BFE"/>
    <w:rsid w:val="00C5068F"/>
    <w:rsid w:val="00C86D74"/>
    <w:rsid w:val="00CD04F1"/>
    <w:rsid w:val="00CD59F2"/>
    <w:rsid w:val="00CF1C93"/>
    <w:rsid w:val="00D168DC"/>
    <w:rsid w:val="00D3124F"/>
    <w:rsid w:val="00D41380"/>
    <w:rsid w:val="00D45252"/>
    <w:rsid w:val="00D71B4D"/>
    <w:rsid w:val="00D835C7"/>
    <w:rsid w:val="00D93D55"/>
    <w:rsid w:val="00E15015"/>
    <w:rsid w:val="00E335FE"/>
    <w:rsid w:val="00E4015F"/>
    <w:rsid w:val="00E54B89"/>
    <w:rsid w:val="00EA7D6E"/>
    <w:rsid w:val="00EC4E49"/>
    <w:rsid w:val="00ED77FB"/>
    <w:rsid w:val="00EE45FA"/>
    <w:rsid w:val="00F272DE"/>
    <w:rsid w:val="00F66152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9DB2FD7"/>
  <w15:docId w15:val="{5C3998D5-92B2-4D4F-AE06-D7A1ACDB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F272DE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272DE"/>
    <w:pPr>
      <w:ind w:left="720"/>
      <w:contextualSpacing/>
    </w:pPr>
    <w:rPr>
      <w:rFonts w:eastAsiaTheme="minorHAnsi"/>
      <w:szCs w:val="22"/>
      <w:lang w:eastAsia="en-US"/>
    </w:rPr>
  </w:style>
  <w:style w:type="paragraph" w:styleId="NoSpacing">
    <w:name w:val="No Spacing"/>
    <w:uiPriority w:val="1"/>
    <w:qFormat/>
    <w:rsid w:val="00F272D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ONUMEChar">
    <w:name w:val="ONUM E Char"/>
    <w:link w:val="ONUME"/>
    <w:rsid w:val="00F272DE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272DE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272DE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B76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7665B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5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CWS/6/23 (in Spanish)</vt:lpstr>
    </vt:vector>
  </TitlesOfParts>
  <Company>WIPO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CWS/6/23 (in Spanish)</dc:title>
  <dc:subject>PROPUESTA DE CREACIÓN DE UNA TAREA PARA ACTUALIZAR LAS NORMAS TÉCNICAS DE LA OMPI RELATIVAS A LA PUBLICACIÓN DE INFORMACIÓN SOBRE LOS DERECHOS DE PI Y LAS INCIDENCIAS RELATIVAS A LA SITUACIÓN JURÍDICA</dc:subject>
  <dc:creator>WIPO</dc:creator>
  <cp:keywords>CWS</cp:keywords>
  <cp:lastModifiedBy>DRAKE Sophie</cp:lastModifiedBy>
  <cp:revision>5</cp:revision>
  <cp:lastPrinted>2018-09-07T15:41:00Z</cp:lastPrinted>
  <dcterms:created xsi:type="dcterms:W3CDTF">2018-09-19T07:54:00Z</dcterms:created>
  <dcterms:modified xsi:type="dcterms:W3CDTF">2018-09-24T08:42:00Z</dcterms:modified>
  <cp:category>CWS (in Spanish)</cp:category>
</cp:coreProperties>
</file>