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DE" w:rsidRPr="003A07D6" w:rsidRDefault="003A07D6" w:rsidP="00F272DE">
      <w:pPr>
        <w:pStyle w:val="Heading1"/>
        <w:rPr>
          <w:caps w:val="0"/>
          <w:szCs w:val="22"/>
          <w:lang w:val="es-ES"/>
        </w:rPr>
      </w:pPr>
      <w:r w:rsidRPr="003A07D6">
        <w:rPr>
          <w:sz w:val="24"/>
          <w:lang w:val="es-ES"/>
        </w:rPr>
        <w:t>PROPUESTA DE CREACIÓN DE UNA TAREA PARA ACTUALIZAR LAS NORMAS TÉCNICAS DE LA OMPI RELATIVAS A LA PUBLICACIÓN DE INFORMACIÓN SOBRE LOS DERECHOS DE PI Y LAS INCIDENCIAS RELATIVAS A LA SITUACIÓN JURÍDICA</w:t>
      </w:r>
    </w:p>
    <w:p w:rsidR="00F272DE" w:rsidRPr="003A07D6" w:rsidRDefault="00F272DE" w:rsidP="00F272DE">
      <w:pPr>
        <w:rPr>
          <w:lang w:val="es-ES"/>
        </w:rPr>
      </w:pPr>
    </w:p>
    <w:p w:rsidR="00F272DE" w:rsidRPr="003A07D6" w:rsidRDefault="00F272DE" w:rsidP="008E71F6">
      <w:pPr>
        <w:spacing w:after="120"/>
        <w:rPr>
          <w:i/>
          <w:lang w:val="es-ES"/>
        </w:rPr>
      </w:pPr>
      <w:r w:rsidRPr="003A07D6">
        <w:rPr>
          <w:i/>
          <w:lang w:val="es-ES"/>
        </w:rPr>
        <w:t>Document</w:t>
      </w:r>
      <w:r w:rsidR="003A07D6">
        <w:rPr>
          <w:i/>
          <w:lang w:val="es-ES"/>
        </w:rPr>
        <w:t>o</w:t>
      </w:r>
      <w:r w:rsidRPr="003A07D6">
        <w:rPr>
          <w:i/>
          <w:lang w:val="es-ES"/>
        </w:rPr>
        <w:t xml:space="preserve"> prepar</w:t>
      </w:r>
      <w:r w:rsidR="003A07D6">
        <w:rPr>
          <w:i/>
          <w:lang w:val="es-ES"/>
        </w:rPr>
        <w:t>ado por la delegación de la Federación de Rusia</w:t>
      </w:r>
    </w:p>
    <w:p w:rsidR="0069248A" w:rsidRDefault="00821465" w:rsidP="008E71F6">
      <w:pPr>
        <w:pStyle w:val="ONUMFS"/>
        <w:rPr>
          <w:lang w:val="es-ES"/>
        </w:rPr>
      </w:pPr>
      <w:r w:rsidRPr="00821465">
        <w:rPr>
          <w:lang w:val="es-ES"/>
        </w:rPr>
        <w:t>En la actualidad existen varias normas de la OMPI</w:t>
      </w:r>
      <w:r w:rsidR="00F23E41">
        <w:rPr>
          <w:lang w:val="es-ES"/>
        </w:rPr>
        <w:t xml:space="preserve"> creadas hace mucho tiempo en relación con</w:t>
      </w:r>
      <w:r w:rsidRPr="00821465">
        <w:rPr>
          <w:lang w:val="es-ES"/>
        </w:rPr>
        <w:t xml:space="preserve"> la publicación de i</w:t>
      </w:r>
      <w:r w:rsidR="00F23E41">
        <w:rPr>
          <w:lang w:val="es-ES"/>
        </w:rPr>
        <w:t xml:space="preserve">nformación sobre objetos de PI </w:t>
      </w:r>
      <w:r w:rsidRPr="00821465">
        <w:rPr>
          <w:lang w:val="es-ES"/>
        </w:rPr>
        <w:t>e incidencias re</w:t>
      </w:r>
      <w:r w:rsidR="00F23E41">
        <w:rPr>
          <w:lang w:val="es-ES"/>
        </w:rPr>
        <w:t xml:space="preserve">lativas a la situación jurídica, normas </w:t>
      </w:r>
      <w:r w:rsidRPr="00821465">
        <w:rPr>
          <w:lang w:val="es-ES"/>
        </w:rPr>
        <w:t xml:space="preserve">que </w:t>
      </w:r>
      <w:r w:rsidR="00F23E41">
        <w:rPr>
          <w:lang w:val="es-ES"/>
        </w:rPr>
        <w:t>se habían formulado partiendo de</w:t>
      </w:r>
      <w:r w:rsidRPr="00821465">
        <w:rPr>
          <w:lang w:val="es-ES"/>
        </w:rPr>
        <w:t xml:space="preserve"> la utilización de documentos en papel </w:t>
      </w:r>
      <w:r w:rsidR="0069248A" w:rsidRPr="003A07D6">
        <w:rPr>
          <w:lang w:val="es-ES"/>
        </w:rPr>
        <w:t xml:space="preserve">(ST.6: </w:t>
      </w:r>
      <w:r w:rsidR="0011498C" w:rsidRPr="0011498C">
        <w:rPr>
          <w:lang w:val="es-ES"/>
        </w:rPr>
        <w:t>Recomendación para la numeración de los documentos de patente publicados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ST.8: </w:t>
      </w:r>
      <w:r w:rsidR="00F23E41">
        <w:rPr>
          <w:lang w:val="es-ES"/>
        </w:rPr>
        <w:t>Inscripción</w:t>
      </w:r>
      <w:r>
        <w:rPr>
          <w:lang w:val="es-ES"/>
        </w:rPr>
        <w:t xml:space="preserve"> estándar</w:t>
      </w:r>
      <w:r w:rsidR="0011498C" w:rsidRPr="0011498C">
        <w:rPr>
          <w:lang w:val="es-ES"/>
        </w:rPr>
        <w:t xml:space="preserve"> de los símbolos de la CIP </w:t>
      </w:r>
      <w:r w:rsidR="00F23E41">
        <w:rPr>
          <w:lang w:val="es-ES"/>
        </w:rPr>
        <w:t>de forma</w:t>
      </w:r>
      <w:r w:rsidR="0011498C" w:rsidRPr="0011498C">
        <w:rPr>
          <w:lang w:val="es-ES"/>
        </w:rPr>
        <w:t xml:space="preserve"> legible por máquina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ST.10: </w:t>
      </w:r>
      <w:r>
        <w:rPr>
          <w:lang w:val="es-ES"/>
        </w:rPr>
        <w:t>Documentos de patente publicados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ST.11: </w:t>
      </w:r>
      <w:r w:rsidR="008A46F3" w:rsidRPr="008A46F3">
        <w:rPr>
          <w:lang w:val="es-ES"/>
        </w:rPr>
        <w:t>Recomendación sobre el número mínimo de índices que deben incluirse en los boletines de patentes o publicarse junto con los boletines de patentes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ST.15: </w:t>
      </w:r>
      <w:r w:rsidR="008A46F3" w:rsidRPr="008A46F3">
        <w:rPr>
          <w:lang w:val="es-ES"/>
        </w:rPr>
        <w:t>Directrices para la redacción de los títulos de las invenciones en los documentos de patente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ST.17: </w:t>
      </w:r>
      <w:r w:rsidR="0011498C" w:rsidRPr="0011498C">
        <w:rPr>
          <w:lang w:val="es-ES"/>
        </w:rPr>
        <w:t>Recomendación para la codificación de los encabezamientos publicados en los boletines oficiales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ST.18: </w:t>
      </w:r>
      <w:r w:rsidR="008A46F3" w:rsidRPr="008A46F3">
        <w:rPr>
          <w:lang w:val="es-ES"/>
        </w:rPr>
        <w:t>Recomendación relativa a los boletines de patentes y otras revistas de notificación de patentes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ST.63: </w:t>
      </w:r>
      <w:r w:rsidR="0011498C" w:rsidRPr="0011498C">
        <w:rPr>
          <w:lang w:val="es-ES"/>
        </w:rPr>
        <w:t>Recomendación relativa al contenido y presentación de los boletines de marcas</w:t>
      </w:r>
      <w:r w:rsidR="00F23E41">
        <w:rPr>
          <w:lang w:val="es-ES"/>
        </w:rPr>
        <w:t>;</w:t>
      </w:r>
      <w:r w:rsidR="0069248A" w:rsidRPr="003A07D6">
        <w:rPr>
          <w:lang w:val="es-ES"/>
        </w:rPr>
        <w:t xml:space="preserve"> ST.81: </w:t>
      </w:r>
      <w:r w:rsidR="008A46F3" w:rsidRPr="008A46F3">
        <w:rPr>
          <w:lang w:val="es-ES"/>
        </w:rPr>
        <w:t>Recomendación sobre el contenido y la presentación de los boletines de dibujos y modelos industriales</w:t>
      </w:r>
      <w:r w:rsidR="0069248A" w:rsidRPr="003A07D6">
        <w:rPr>
          <w:lang w:val="es-ES"/>
        </w:rPr>
        <w:t>).</w:t>
      </w:r>
    </w:p>
    <w:p w:rsidR="0069248A" w:rsidRDefault="008A46F3" w:rsidP="008E71F6">
      <w:pPr>
        <w:pStyle w:val="ONUMFS"/>
        <w:rPr>
          <w:lang w:val="es-ES"/>
        </w:rPr>
      </w:pPr>
      <w:r w:rsidRPr="008E71F6">
        <w:rPr>
          <w:lang w:val="es-ES"/>
        </w:rPr>
        <w:t>Por otra parte, la gran mayoría de los documentos relativos a los objetos de propiedad industrial se publican por vía electrónica,</w:t>
      </w:r>
      <w:r w:rsidR="0011698C" w:rsidRPr="008E71F6">
        <w:rPr>
          <w:lang w:val="es-ES"/>
        </w:rPr>
        <w:t xml:space="preserve"> inclusive por</w:t>
      </w:r>
      <w:r w:rsidRPr="008E71F6">
        <w:rPr>
          <w:lang w:val="es-ES"/>
        </w:rPr>
        <w:t xml:space="preserve"> Internet, en particular, mediante la utilización de</w:t>
      </w:r>
      <w:r w:rsidR="00F23E41" w:rsidRPr="008E71F6">
        <w:rPr>
          <w:lang w:val="es-ES"/>
        </w:rPr>
        <w:t>l formato</w:t>
      </w:r>
      <w:r w:rsidRPr="008E71F6">
        <w:rPr>
          <w:lang w:val="es-ES"/>
        </w:rPr>
        <w:t xml:space="preserve"> XML </w:t>
      </w:r>
      <w:r w:rsidR="00F23E41" w:rsidRPr="008E71F6">
        <w:rPr>
          <w:lang w:val="es-ES"/>
        </w:rPr>
        <w:t>en la versión</w:t>
      </w:r>
      <w:r w:rsidRPr="008E71F6">
        <w:rPr>
          <w:lang w:val="es-ES"/>
        </w:rPr>
        <w:t xml:space="preserve"> final o intermedia</w:t>
      </w:r>
      <w:r w:rsidR="0069248A" w:rsidRPr="008E71F6">
        <w:rPr>
          <w:lang w:val="es-ES"/>
        </w:rPr>
        <w:t>.</w:t>
      </w:r>
    </w:p>
    <w:p w:rsidR="008A46F3" w:rsidRDefault="008A46F3" w:rsidP="008E71F6">
      <w:pPr>
        <w:pStyle w:val="ONUMFS"/>
        <w:rPr>
          <w:lang w:val="es-ES"/>
        </w:rPr>
      </w:pPr>
      <w:r w:rsidRPr="008E71F6">
        <w:rPr>
          <w:lang w:val="es-ES"/>
        </w:rPr>
        <w:t>La publicación de documentos en XML suele plantear problema</w:t>
      </w:r>
      <w:r w:rsidR="00F23E41" w:rsidRPr="008E71F6">
        <w:rPr>
          <w:lang w:val="es-ES"/>
        </w:rPr>
        <w:t>s</w:t>
      </w:r>
      <w:r w:rsidRPr="008E71F6">
        <w:rPr>
          <w:lang w:val="es-ES"/>
        </w:rPr>
        <w:t xml:space="preserve"> de interpretación de los datos r</w:t>
      </w:r>
      <w:r w:rsidR="00F23E41" w:rsidRPr="008E71F6">
        <w:rPr>
          <w:lang w:val="es-ES"/>
        </w:rPr>
        <w:t>ecibidos. Esos</w:t>
      </w:r>
      <w:r w:rsidRPr="008E71F6">
        <w:rPr>
          <w:lang w:val="es-ES"/>
        </w:rPr>
        <w:t xml:space="preserve"> problema</w:t>
      </w:r>
      <w:r w:rsidR="00F23E41" w:rsidRPr="008E71F6">
        <w:rPr>
          <w:lang w:val="es-ES"/>
        </w:rPr>
        <w:t>s</w:t>
      </w:r>
      <w:r w:rsidRPr="008E71F6">
        <w:rPr>
          <w:lang w:val="es-ES"/>
        </w:rPr>
        <w:t xml:space="preserve"> tiene</w:t>
      </w:r>
      <w:r w:rsidR="00F23E41" w:rsidRPr="008E71F6">
        <w:rPr>
          <w:lang w:val="es-ES"/>
        </w:rPr>
        <w:t>n</w:t>
      </w:r>
      <w:r w:rsidRPr="008E71F6">
        <w:rPr>
          <w:lang w:val="es-ES"/>
        </w:rPr>
        <w:t xml:space="preserve"> mucho que ver con las herramientas de visualización utilizadas (en particular, XSLT para documentos en XML). Las oficinas que efectúan intercambios de datos a nivel internacional</w:t>
      </w:r>
      <w:r w:rsidR="00A45105" w:rsidRPr="008E71F6">
        <w:rPr>
          <w:lang w:val="es-ES"/>
        </w:rPr>
        <w:t xml:space="preserve"> tienen que proceder a conversaciones bilaterales con cada uno de los participantes a fin de</w:t>
      </w:r>
      <w:r w:rsidRPr="008E71F6">
        <w:rPr>
          <w:lang w:val="es-ES"/>
        </w:rPr>
        <w:t xml:space="preserve"> aclarar detalles de la interpretación de la información proporcionada.</w:t>
      </w:r>
    </w:p>
    <w:p w:rsidR="0069248A" w:rsidRDefault="00A45105" w:rsidP="008E71F6">
      <w:pPr>
        <w:pStyle w:val="ONUMFS"/>
        <w:rPr>
          <w:lang w:val="es-ES"/>
        </w:rPr>
      </w:pPr>
      <w:r w:rsidRPr="008E71F6">
        <w:rPr>
          <w:lang w:val="es-ES"/>
        </w:rPr>
        <w:t>Por otra parte</w:t>
      </w:r>
      <w:r w:rsidR="008A46F3" w:rsidRPr="008E71F6">
        <w:rPr>
          <w:lang w:val="es-ES"/>
        </w:rPr>
        <w:t>, ninguna de las normas XML de la OMPI (incluida la norma ST.96) contiene recomendaciones para la visualización de datos XML</w:t>
      </w:r>
      <w:r w:rsidR="0069248A" w:rsidRPr="008E71F6">
        <w:rPr>
          <w:lang w:val="es-ES"/>
        </w:rPr>
        <w:t>.</w:t>
      </w:r>
    </w:p>
    <w:p w:rsidR="00F272DE" w:rsidRPr="008E71F6" w:rsidRDefault="003D7DDF" w:rsidP="008E71F6">
      <w:pPr>
        <w:pStyle w:val="ONUMFS"/>
        <w:rPr>
          <w:lang w:val="es-ES"/>
        </w:rPr>
      </w:pPr>
      <w:r w:rsidRPr="008E71F6">
        <w:rPr>
          <w:lang w:val="es-ES"/>
        </w:rPr>
        <w:t>La Federación de Rusia somete a examen y aprobación del CWS las siguientes propuestas</w:t>
      </w:r>
      <w:r w:rsidR="0069248A" w:rsidRPr="008E71F6">
        <w:rPr>
          <w:lang w:val="es-ES"/>
        </w:rPr>
        <w:t>:</w:t>
      </w:r>
    </w:p>
    <w:p w:rsidR="0069248A" w:rsidRPr="003A07D6" w:rsidRDefault="003D7DDF" w:rsidP="008E71F6">
      <w:pPr>
        <w:pStyle w:val="ONUMFS"/>
        <w:numPr>
          <w:ilvl w:val="1"/>
          <w:numId w:val="6"/>
        </w:numPr>
        <w:rPr>
          <w:lang w:val="es-ES"/>
        </w:rPr>
      </w:pPr>
      <w:r>
        <w:rPr>
          <w:lang w:val="es-ES"/>
        </w:rPr>
        <w:t xml:space="preserve">Crear una nueva tarea con la finalidad de revisar las normas técnicas de la OMPI relativas a la publicación de información sobre los derechos de PI y las incidencias relativas a la situación jurídica </w:t>
      </w:r>
      <w:r w:rsidR="00A45105" w:rsidRPr="00A45105">
        <w:rPr>
          <w:lang w:val="es-ES"/>
        </w:rPr>
        <w:t>(ST.6: Recomendación para la numeración de los documentos de patente publicados; ST.8: Inscripción estándar de los símbolos de la CIP de forma legible por máquina; ST.10: Documentos de patente publicados; ST.11: Recomendación sobre el número mínimo de índices que deben incluirse en los boletines de patentes o publicarse junto con los boletines de patentes; ST.15: Directrices para la redacción de los títulos de las invenciones en los documentos de patente; ST.17: Recomendación para la codificación de los encabezamientos publicados en los boletines oficiales; ST.18: Recomendación relativa a los boletines de patentes y otras revistas de notificación de patentes; ST.63: Recomendación relativa al contenido y presentación de los boletines de marcas; ST.81: Recomendación sobre el contenido y la presentación de los boletines de dibujos y modelos industriales)</w:t>
      </w:r>
      <w:r w:rsidR="0069248A" w:rsidRPr="003D7DDF">
        <w:rPr>
          <w:lang w:val="es-ES"/>
        </w:rPr>
        <w:t>.</w:t>
      </w:r>
    </w:p>
    <w:p w:rsidR="0069248A" w:rsidRPr="003A07D6" w:rsidRDefault="003D7DDF" w:rsidP="00692519">
      <w:pPr>
        <w:pStyle w:val="ONUMFS"/>
        <w:keepNext/>
        <w:keepLines/>
        <w:numPr>
          <w:ilvl w:val="1"/>
          <w:numId w:val="6"/>
        </w:numPr>
        <w:spacing w:after="0"/>
        <w:rPr>
          <w:lang w:val="es-ES"/>
        </w:rPr>
      </w:pPr>
      <w:bookmarkStart w:id="0" w:name="_GoBack"/>
      <w:r>
        <w:rPr>
          <w:lang w:val="es-ES"/>
        </w:rPr>
        <w:lastRenderedPageBreak/>
        <w:t>Ampliar la Norma</w:t>
      </w:r>
      <w:r w:rsidR="0069248A" w:rsidRPr="003A07D6">
        <w:rPr>
          <w:lang w:val="es-ES"/>
        </w:rPr>
        <w:t xml:space="preserve"> ST.96</w:t>
      </w:r>
      <w:r>
        <w:rPr>
          <w:lang w:val="es-ES"/>
        </w:rPr>
        <w:t xml:space="preserve"> de la OMPI añadiendo </w:t>
      </w:r>
      <w:r w:rsidR="00A45105">
        <w:rPr>
          <w:lang w:val="es-ES"/>
        </w:rPr>
        <w:t>hojas de estilo</w:t>
      </w:r>
      <w:r w:rsidR="0069248A" w:rsidRPr="003A07D6">
        <w:rPr>
          <w:lang w:val="es-ES"/>
        </w:rPr>
        <w:t xml:space="preserve"> XSLT </w:t>
      </w:r>
      <w:r>
        <w:rPr>
          <w:lang w:val="es-ES"/>
        </w:rPr>
        <w:t xml:space="preserve">para </w:t>
      </w:r>
      <w:r w:rsidR="00A45105">
        <w:rPr>
          <w:lang w:val="es-ES"/>
        </w:rPr>
        <w:t xml:space="preserve">la ejecución de </w:t>
      </w:r>
      <w:r>
        <w:rPr>
          <w:lang w:val="es-ES"/>
        </w:rPr>
        <w:t xml:space="preserve">las tareas mencionadas en el </w:t>
      </w:r>
      <w:r w:rsidR="00A45105">
        <w:rPr>
          <w:lang w:val="es-ES"/>
        </w:rPr>
        <w:t>alcance</w:t>
      </w:r>
      <w:r>
        <w:rPr>
          <w:lang w:val="es-ES"/>
        </w:rPr>
        <w:t xml:space="preserve"> de la</w:t>
      </w:r>
      <w:r w:rsidR="00A45105">
        <w:rPr>
          <w:lang w:val="es-ES"/>
        </w:rPr>
        <w:t>s</w:t>
      </w:r>
      <w:r>
        <w:rPr>
          <w:lang w:val="es-ES"/>
        </w:rPr>
        <w:t xml:space="preserve"> norma</w:t>
      </w:r>
      <w:r w:rsidR="00A45105">
        <w:rPr>
          <w:lang w:val="es-ES"/>
        </w:rPr>
        <w:t>s</w:t>
      </w:r>
      <w:r w:rsidR="0069248A" w:rsidRPr="003A07D6">
        <w:rPr>
          <w:lang w:val="es-ES"/>
        </w:rPr>
        <w:t xml:space="preserve">: </w:t>
      </w:r>
      <w:r>
        <w:rPr>
          <w:lang w:val="es-ES"/>
        </w:rPr>
        <w:t xml:space="preserve">presentación, </w:t>
      </w:r>
      <w:r w:rsidR="00A45105">
        <w:rPr>
          <w:lang w:val="es-ES"/>
        </w:rPr>
        <w:t>tratamiento</w:t>
      </w:r>
      <w:r>
        <w:rPr>
          <w:lang w:val="es-ES"/>
        </w:rPr>
        <w:t>, publicación, etcétera</w:t>
      </w:r>
      <w:r w:rsidR="0069248A" w:rsidRPr="003A07D6">
        <w:rPr>
          <w:lang w:val="es-ES"/>
        </w:rPr>
        <w:t>.</w:t>
      </w:r>
    </w:p>
    <w:bookmarkEnd w:id="0"/>
    <w:p w:rsidR="00F272DE" w:rsidRPr="003A07D6" w:rsidRDefault="00F272DE" w:rsidP="008E71F6">
      <w:pPr>
        <w:pStyle w:val="Endofdocument-Annex"/>
        <w:spacing w:before="600"/>
        <w:rPr>
          <w:lang w:val="es-ES"/>
        </w:rPr>
      </w:pPr>
      <w:r w:rsidRPr="003A07D6">
        <w:rPr>
          <w:lang w:val="es-ES"/>
        </w:rPr>
        <w:t>[</w:t>
      </w:r>
      <w:r w:rsidR="003D7DDF">
        <w:rPr>
          <w:lang w:val="es-ES"/>
        </w:rPr>
        <w:t>Fin del</w:t>
      </w:r>
      <w:r w:rsidRPr="003A07D6">
        <w:rPr>
          <w:lang w:val="es-ES"/>
        </w:rPr>
        <w:t xml:space="preserve"> Anex</w:t>
      </w:r>
      <w:r w:rsidR="003D7DDF">
        <w:rPr>
          <w:lang w:val="es-ES"/>
        </w:rPr>
        <w:t>o y del documento</w:t>
      </w:r>
      <w:r w:rsidRPr="003A07D6">
        <w:rPr>
          <w:lang w:val="es-ES"/>
        </w:rPr>
        <w:t>]</w:t>
      </w:r>
    </w:p>
    <w:sectPr w:rsidR="00F272DE" w:rsidRPr="003A07D6" w:rsidSect="00F272DE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E" w:rsidRDefault="008A568E" w:rsidP="008A568E">
      <w:r>
        <w:separator/>
      </w:r>
    </w:p>
  </w:endnote>
  <w:endnote w:type="continuationSeparator" w:id="0">
    <w:p w:rsidR="008A568E" w:rsidRDefault="008A568E" w:rsidP="008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E" w:rsidRDefault="008A568E" w:rsidP="008A568E">
      <w:r>
        <w:separator/>
      </w:r>
    </w:p>
  </w:footnote>
  <w:footnote w:type="continuationSeparator" w:id="0">
    <w:p w:rsidR="008A568E" w:rsidRDefault="008A568E" w:rsidP="008A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-11541341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71F6" w:rsidRPr="008E71F6" w:rsidRDefault="008E71F6" w:rsidP="008E71F6">
        <w:pPr>
          <w:pStyle w:val="Header"/>
          <w:jc w:val="right"/>
          <w:rPr>
            <w:lang w:val="es-ES"/>
          </w:rPr>
        </w:pPr>
        <w:r w:rsidRPr="008E71F6">
          <w:rPr>
            <w:lang w:val="es-ES"/>
          </w:rPr>
          <w:t>CWS/6/23</w:t>
        </w:r>
      </w:p>
      <w:p w:rsidR="008E71F6" w:rsidRPr="008E71F6" w:rsidRDefault="008E71F6">
        <w:pPr>
          <w:pStyle w:val="Header"/>
          <w:jc w:val="right"/>
          <w:rPr>
            <w:lang w:val="es-ES"/>
          </w:rPr>
        </w:pPr>
        <w:r w:rsidRPr="008E71F6">
          <w:rPr>
            <w:lang w:val="es-ES"/>
          </w:rPr>
          <w:t xml:space="preserve">página </w:t>
        </w:r>
        <w:r w:rsidRPr="008E71F6">
          <w:rPr>
            <w:lang w:val="es-ES"/>
          </w:rPr>
          <w:fldChar w:fldCharType="begin"/>
        </w:r>
        <w:r w:rsidRPr="008E71F6">
          <w:rPr>
            <w:lang w:val="es-ES"/>
          </w:rPr>
          <w:instrText xml:space="preserve"> PAGE   \* MERGEFORMAT </w:instrText>
        </w:r>
        <w:r w:rsidRPr="008E71F6">
          <w:rPr>
            <w:lang w:val="es-ES"/>
          </w:rPr>
          <w:fldChar w:fldCharType="separate"/>
        </w:r>
        <w:r w:rsidR="00AD387F">
          <w:rPr>
            <w:noProof/>
            <w:lang w:val="es-ES"/>
          </w:rPr>
          <w:t>2</w:t>
        </w:r>
        <w:r w:rsidRPr="008E71F6">
          <w:rPr>
            <w:noProof/>
            <w:lang w:val="es-ES"/>
          </w:rPr>
          <w:fldChar w:fldCharType="end"/>
        </w:r>
      </w:p>
    </w:sdtContent>
  </w:sdt>
  <w:p w:rsidR="008E71F6" w:rsidRDefault="008E71F6" w:rsidP="008E71F6">
    <w:pPr>
      <w:pStyle w:val="Header"/>
      <w:jc w:val="right"/>
      <w:rPr>
        <w:lang w:val="es-ES"/>
      </w:rPr>
    </w:pPr>
  </w:p>
  <w:p w:rsidR="00692519" w:rsidRPr="008E71F6" w:rsidRDefault="00692519" w:rsidP="008E71F6">
    <w:pPr>
      <w:pStyle w:val="Header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26" w:rsidRDefault="00170926" w:rsidP="00170926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170926" w:rsidRDefault="00170926" w:rsidP="00170926">
    <w:pPr>
      <w:pStyle w:val="Header"/>
      <w:jc w:val="right"/>
      <w:rPr>
        <w:lang w:val="en-GB"/>
      </w:rPr>
    </w:pPr>
    <w:r>
      <w:rPr>
        <w:lang w:val="en-GB"/>
      </w:rPr>
      <w:t>ANEX</w:t>
    </w:r>
    <w:r w:rsidR="003175B4">
      <w:rPr>
        <w:lang w:val="en-GB"/>
      </w:rPr>
      <w:t>O</w:t>
    </w:r>
  </w:p>
  <w:p w:rsidR="00170926" w:rsidRDefault="00170926" w:rsidP="00170926">
    <w:pPr>
      <w:pStyle w:val="Header"/>
      <w:jc w:val="right"/>
      <w:rPr>
        <w:lang w:val="en-GB"/>
      </w:rPr>
    </w:pPr>
  </w:p>
  <w:p w:rsidR="00692519" w:rsidRPr="00170926" w:rsidRDefault="00692519" w:rsidP="0017092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3A7D14"/>
    <w:multiLevelType w:val="hybridMultilevel"/>
    <w:tmpl w:val="943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056A9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979"/>
    <w:multiLevelType w:val="hybridMultilevel"/>
    <w:tmpl w:val="4CFE3508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2267A"/>
    <w:multiLevelType w:val="hybridMultilevel"/>
    <w:tmpl w:val="8488DA4E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323"/>
    <w:multiLevelType w:val="hybridMultilevel"/>
    <w:tmpl w:val="32043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DE"/>
    <w:rsid w:val="00043CAA"/>
    <w:rsid w:val="00075432"/>
    <w:rsid w:val="000968ED"/>
    <w:rsid w:val="000D01E0"/>
    <w:rsid w:val="000F5E56"/>
    <w:rsid w:val="0011498C"/>
    <w:rsid w:val="0011698C"/>
    <w:rsid w:val="001362EE"/>
    <w:rsid w:val="001647D5"/>
    <w:rsid w:val="00170926"/>
    <w:rsid w:val="001832A6"/>
    <w:rsid w:val="001B5E6D"/>
    <w:rsid w:val="0021217E"/>
    <w:rsid w:val="002634C4"/>
    <w:rsid w:val="002928D3"/>
    <w:rsid w:val="002F1FE6"/>
    <w:rsid w:val="002F4E68"/>
    <w:rsid w:val="00306522"/>
    <w:rsid w:val="00312F7F"/>
    <w:rsid w:val="003175B4"/>
    <w:rsid w:val="00361450"/>
    <w:rsid w:val="003673CF"/>
    <w:rsid w:val="003845C1"/>
    <w:rsid w:val="00385462"/>
    <w:rsid w:val="00390DFF"/>
    <w:rsid w:val="003A07D6"/>
    <w:rsid w:val="003A6F89"/>
    <w:rsid w:val="003B38C1"/>
    <w:rsid w:val="003D7DDF"/>
    <w:rsid w:val="00423E3E"/>
    <w:rsid w:val="00427AF4"/>
    <w:rsid w:val="004400EA"/>
    <w:rsid w:val="004647DA"/>
    <w:rsid w:val="00474062"/>
    <w:rsid w:val="00477D6B"/>
    <w:rsid w:val="004A651B"/>
    <w:rsid w:val="004F2D40"/>
    <w:rsid w:val="005019FF"/>
    <w:rsid w:val="0053057A"/>
    <w:rsid w:val="00560A29"/>
    <w:rsid w:val="005C6649"/>
    <w:rsid w:val="00605827"/>
    <w:rsid w:val="00646050"/>
    <w:rsid w:val="006713CA"/>
    <w:rsid w:val="00676C5C"/>
    <w:rsid w:val="0069248A"/>
    <w:rsid w:val="00692519"/>
    <w:rsid w:val="006C0AD5"/>
    <w:rsid w:val="00711714"/>
    <w:rsid w:val="007D1613"/>
    <w:rsid w:val="007E4C0E"/>
    <w:rsid w:val="008027AD"/>
    <w:rsid w:val="00821465"/>
    <w:rsid w:val="008A134B"/>
    <w:rsid w:val="008A46F3"/>
    <w:rsid w:val="008A568E"/>
    <w:rsid w:val="008B2CC1"/>
    <w:rsid w:val="008B60B2"/>
    <w:rsid w:val="008E71F6"/>
    <w:rsid w:val="0090731E"/>
    <w:rsid w:val="00916EE2"/>
    <w:rsid w:val="00966A22"/>
    <w:rsid w:val="0096722F"/>
    <w:rsid w:val="00980843"/>
    <w:rsid w:val="009C1F38"/>
    <w:rsid w:val="009C7DB0"/>
    <w:rsid w:val="009E2791"/>
    <w:rsid w:val="009E3F6F"/>
    <w:rsid w:val="009F499F"/>
    <w:rsid w:val="00A37342"/>
    <w:rsid w:val="00A42DAF"/>
    <w:rsid w:val="00A45105"/>
    <w:rsid w:val="00A45BD8"/>
    <w:rsid w:val="00A869B7"/>
    <w:rsid w:val="00AC205C"/>
    <w:rsid w:val="00AD387F"/>
    <w:rsid w:val="00AF0A6B"/>
    <w:rsid w:val="00B05A69"/>
    <w:rsid w:val="00B7665B"/>
    <w:rsid w:val="00B9734B"/>
    <w:rsid w:val="00BA30E2"/>
    <w:rsid w:val="00C11BFE"/>
    <w:rsid w:val="00C5068F"/>
    <w:rsid w:val="00C86D74"/>
    <w:rsid w:val="00CD04F1"/>
    <w:rsid w:val="00CD59F2"/>
    <w:rsid w:val="00D3124F"/>
    <w:rsid w:val="00D41380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23E41"/>
    <w:rsid w:val="00F272DE"/>
    <w:rsid w:val="00F66152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8EAA27D"/>
  <w15:docId w15:val="{81AD94DE-1E77-49F5-8F3B-F7B387DF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272D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272DE"/>
    <w:pPr>
      <w:ind w:left="720"/>
      <w:contextualSpacing/>
    </w:pPr>
    <w:rPr>
      <w:rFonts w:eastAsiaTheme="minorHAnsi"/>
      <w:szCs w:val="22"/>
      <w:lang w:eastAsia="en-US"/>
    </w:rPr>
  </w:style>
  <w:style w:type="paragraph" w:styleId="NoSpacing">
    <w:name w:val="No Spacing"/>
    <w:uiPriority w:val="1"/>
    <w:qFormat/>
    <w:rsid w:val="00F272D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2DE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76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665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Annex (in Spanish)</vt:lpstr>
    </vt:vector>
  </TitlesOfParts>
  <Company>WIPO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CWS/6/23 Annex (in Spanish)</dc:title>
  <dc:subject>Propuesta de creación de una tarea para actualizar las normas técnicas de la ompi relativas a la publicación de información sobre los derechos de pi y las incidencias relativas a la situación jurídica</dc:subject>
  <dc:creator>WIPO</dc:creator>
  <cp:keywords>CWS</cp:keywords>
  <cp:lastModifiedBy>DRAKE Sophie</cp:lastModifiedBy>
  <cp:revision>6</cp:revision>
  <cp:lastPrinted>2018-09-18T14:34:00Z</cp:lastPrinted>
  <dcterms:created xsi:type="dcterms:W3CDTF">2018-09-19T07:54:00Z</dcterms:created>
  <dcterms:modified xsi:type="dcterms:W3CDTF">2018-09-24T08:44:00Z</dcterms:modified>
  <cp:category>CWS (in Spanish)</cp:category>
</cp:coreProperties>
</file>