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FB" w:rsidRPr="003416F8" w:rsidRDefault="00EA137E" w:rsidP="00EA137E">
      <w:pPr>
        <w:pStyle w:val="Heading1"/>
        <w:rPr>
          <w:szCs w:val="22"/>
          <w:lang w:val="es-ES"/>
        </w:rPr>
      </w:pPr>
      <w:bookmarkStart w:id="0" w:name="_GoBack"/>
      <w:bookmarkEnd w:id="0"/>
      <w:r w:rsidRPr="003416F8">
        <w:rPr>
          <w:szCs w:val="22"/>
          <w:lang w:val="es-ES"/>
        </w:rPr>
        <w:t>PRO</w:t>
      </w:r>
      <w:r w:rsidR="00001DFB" w:rsidRPr="003416F8">
        <w:rPr>
          <w:szCs w:val="22"/>
          <w:lang w:val="es-ES"/>
        </w:rPr>
        <w:t>PUESTA DE REVISIÓN DE LA NORMA</w:t>
      </w:r>
      <w:r w:rsidRPr="003416F8">
        <w:rPr>
          <w:szCs w:val="22"/>
          <w:lang w:val="es-ES"/>
        </w:rPr>
        <w:t xml:space="preserve"> ST.60</w:t>
      </w:r>
      <w:r w:rsidR="00001DFB" w:rsidRPr="003416F8">
        <w:rPr>
          <w:szCs w:val="22"/>
          <w:lang w:val="es-ES"/>
        </w:rPr>
        <w:t xml:space="preserve"> DE LA OMPI</w:t>
      </w:r>
    </w:p>
    <w:p w:rsidR="00001DFB" w:rsidRPr="003416F8" w:rsidRDefault="00001DFB" w:rsidP="00EA137E">
      <w:pPr>
        <w:rPr>
          <w:b/>
          <w:bCs/>
          <w:szCs w:val="22"/>
          <w:lang w:val="es-ES"/>
        </w:rPr>
      </w:pPr>
    </w:p>
    <w:p w:rsidR="00001DFB" w:rsidRPr="003416F8" w:rsidRDefault="003416F8" w:rsidP="00EA137E">
      <w:pPr>
        <w:rPr>
          <w:i/>
          <w:iCs/>
          <w:lang w:val="es-ES"/>
        </w:rPr>
      </w:pPr>
      <w:r w:rsidRPr="003416F8">
        <w:rPr>
          <w:i/>
          <w:iCs/>
          <w:lang w:val="es-ES"/>
        </w:rPr>
        <w:t>Documento</w:t>
      </w:r>
      <w:r w:rsidR="00EA137E" w:rsidRPr="003416F8">
        <w:rPr>
          <w:i/>
          <w:iCs/>
          <w:lang w:val="es-ES"/>
        </w:rPr>
        <w:t xml:space="preserve"> </w:t>
      </w:r>
      <w:r w:rsidRPr="003416F8">
        <w:rPr>
          <w:i/>
          <w:iCs/>
          <w:lang w:val="es-ES"/>
        </w:rPr>
        <w:t>preparado</w:t>
      </w:r>
      <w:r w:rsidR="00001DFB" w:rsidRPr="003416F8">
        <w:rPr>
          <w:i/>
          <w:iCs/>
          <w:lang w:val="es-ES"/>
        </w:rPr>
        <w:t xml:space="preserve"> por la Oficina de Propiedad Intelectual de la Unión Europea</w:t>
      </w:r>
      <w:r w:rsidR="00EA137E" w:rsidRPr="003416F8">
        <w:rPr>
          <w:i/>
          <w:iCs/>
          <w:lang w:val="es-ES"/>
        </w:rPr>
        <w:t xml:space="preserve"> (EUIPO)</w:t>
      </w:r>
    </w:p>
    <w:p w:rsidR="00001DFB" w:rsidRPr="003416F8" w:rsidRDefault="00001DFB" w:rsidP="00EA137E">
      <w:pPr>
        <w:pStyle w:val="Heading2"/>
        <w:rPr>
          <w:lang w:val="es-ES"/>
        </w:rPr>
      </w:pPr>
      <w:r w:rsidRPr="003416F8">
        <w:rPr>
          <w:lang w:val="es-ES"/>
        </w:rPr>
        <w:t>ANTECEDENTES</w:t>
      </w:r>
    </w:p>
    <w:p w:rsidR="00001DFB" w:rsidRPr="003416F8" w:rsidRDefault="00564811" w:rsidP="00001DFB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t>La presente propuesta se refiere a la Norma</w:t>
      </w:r>
      <w:r w:rsidR="00EA137E" w:rsidRPr="003416F8">
        <w:rPr>
          <w:szCs w:val="22"/>
          <w:lang w:val="es-ES"/>
        </w:rPr>
        <w:t xml:space="preserve"> ST. 60 </w:t>
      </w:r>
      <w:r w:rsidRPr="003416F8">
        <w:rPr>
          <w:szCs w:val="22"/>
          <w:lang w:val="es-ES"/>
        </w:rPr>
        <w:t xml:space="preserve">de la OMPI: </w:t>
      </w:r>
      <w:r w:rsidRPr="003416F8">
        <w:rPr>
          <w:i/>
          <w:szCs w:val="22"/>
          <w:lang w:val="es-ES"/>
        </w:rPr>
        <w:t>“</w:t>
      </w:r>
      <w:r w:rsidR="003416F8" w:rsidRPr="003416F8">
        <w:rPr>
          <w:i/>
          <w:szCs w:val="22"/>
          <w:lang w:val="es-ES"/>
        </w:rPr>
        <w:t>Recomendación</w:t>
      </w:r>
      <w:r w:rsidR="00EA137E" w:rsidRPr="003416F8">
        <w:rPr>
          <w:i/>
          <w:szCs w:val="22"/>
          <w:lang w:val="es-ES"/>
        </w:rPr>
        <w:t xml:space="preserve"> </w:t>
      </w:r>
      <w:r w:rsidRPr="003416F8">
        <w:rPr>
          <w:i/>
          <w:szCs w:val="22"/>
          <w:lang w:val="es-ES"/>
        </w:rPr>
        <w:t>relativa a los datos bibliográficos sobre marcas”</w:t>
      </w:r>
      <w:r w:rsidR="00EA137E" w:rsidRPr="003416F8">
        <w:rPr>
          <w:szCs w:val="22"/>
          <w:lang w:val="es-ES"/>
        </w:rPr>
        <w:t xml:space="preserve">, </w:t>
      </w:r>
      <w:r w:rsidR="00356D8D" w:rsidRPr="003416F8">
        <w:rPr>
          <w:szCs w:val="22"/>
          <w:lang w:val="es-ES"/>
        </w:rPr>
        <w:t>disponible en línea en la dirección</w:t>
      </w:r>
      <w:r w:rsidR="00EA137E" w:rsidRPr="003416F8">
        <w:rPr>
          <w:szCs w:val="22"/>
          <w:lang w:val="es-ES"/>
        </w:rPr>
        <w:t xml:space="preserve">: </w:t>
      </w:r>
      <w:hyperlink r:id="rId8" w:history="1">
        <w:r w:rsidR="00356D8D" w:rsidRPr="003416F8">
          <w:rPr>
            <w:rStyle w:val="Hyperlink"/>
            <w:color w:val="auto"/>
            <w:lang w:val="es-ES"/>
          </w:rPr>
          <w:t>http://www.wipo.int/export/sites/www/standards/es/pdf/03-60-01.pdf</w:t>
        </w:r>
      </w:hyperlink>
      <w:r w:rsidR="00EA137E" w:rsidRPr="003416F8">
        <w:rPr>
          <w:szCs w:val="22"/>
          <w:lang w:val="es-ES"/>
        </w:rPr>
        <w:t xml:space="preserve"> </w:t>
      </w:r>
    </w:p>
    <w:p w:rsidR="00001DFB" w:rsidRPr="003416F8" w:rsidRDefault="00476A35" w:rsidP="00EA137E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t xml:space="preserve">La propuesta se refiere a la actualización de los </w:t>
      </w:r>
      <w:r w:rsidRPr="003416F8">
        <w:rPr>
          <w:rFonts w:eastAsia="Batang"/>
          <w:lang w:val="es-ES" w:eastAsia="ko-KR"/>
        </w:rPr>
        <w:t>Números internacionalmente aceptados para la identificación de datos (bibliográficos) (códigos INID) de la Norma ST. 60, con el fin de que queden reflejados los nuevos tipos de marca, y para ello se</w:t>
      </w:r>
      <w:r w:rsidRPr="003416F8">
        <w:rPr>
          <w:szCs w:val="22"/>
          <w:lang w:val="es-ES"/>
        </w:rPr>
        <w:t xml:space="preserve"> formulan dos propuestas conexas</w:t>
      </w:r>
      <w:r w:rsidR="00F6364C" w:rsidRPr="003416F8">
        <w:rPr>
          <w:szCs w:val="22"/>
          <w:lang w:val="es-ES"/>
        </w:rPr>
        <w:t xml:space="preserve">. </w:t>
      </w:r>
      <w:r w:rsidRPr="003416F8">
        <w:rPr>
          <w:szCs w:val="22"/>
          <w:lang w:val="es-ES"/>
        </w:rPr>
        <w:t>Sugerimos o bien que se realice una actualización simplificada,</w:t>
      </w:r>
      <w:r w:rsidR="00EA137E" w:rsidRPr="003416F8">
        <w:rPr>
          <w:szCs w:val="22"/>
          <w:lang w:val="es-ES"/>
        </w:rPr>
        <w:t xml:space="preserve"> (a</w:t>
      </w:r>
      <w:r w:rsidRPr="003416F8">
        <w:rPr>
          <w:szCs w:val="22"/>
          <w:lang w:val="es-ES"/>
        </w:rPr>
        <w:t>ñadir un código y modificar otro</w:t>
      </w:r>
      <w:r w:rsidR="00EA137E" w:rsidRPr="003416F8">
        <w:rPr>
          <w:szCs w:val="22"/>
          <w:lang w:val="es-ES"/>
        </w:rPr>
        <w:t xml:space="preserve">), </w:t>
      </w:r>
      <w:r w:rsidRPr="003416F8">
        <w:rPr>
          <w:szCs w:val="22"/>
          <w:lang w:val="es-ES"/>
        </w:rPr>
        <w:t xml:space="preserve">o bien un cambio más </w:t>
      </w:r>
      <w:r w:rsidR="002665E6">
        <w:rPr>
          <w:szCs w:val="22"/>
          <w:lang w:val="es-ES"/>
        </w:rPr>
        <w:t>detallado</w:t>
      </w:r>
      <w:r w:rsidR="00EA137E" w:rsidRPr="003416F8">
        <w:rPr>
          <w:szCs w:val="22"/>
          <w:lang w:val="es-ES"/>
        </w:rPr>
        <w:t>.</w:t>
      </w:r>
    </w:p>
    <w:p w:rsidR="00001DFB" w:rsidRPr="003416F8" w:rsidRDefault="00564811" w:rsidP="00001DFB">
      <w:pPr>
        <w:pStyle w:val="Heading2"/>
        <w:rPr>
          <w:lang w:val="es-ES"/>
        </w:rPr>
      </w:pPr>
      <w:r w:rsidRPr="003416F8">
        <w:rPr>
          <w:lang w:val="es-ES"/>
        </w:rPr>
        <w:t>NUEVOS TIPOS DE MARCAS</w:t>
      </w:r>
    </w:p>
    <w:p w:rsidR="00001DFB" w:rsidRPr="003416F8" w:rsidRDefault="00564811" w:rsidP="00EA137E">
      <w:pPr>
        <w:pStyle w:val="Heading3"/>
        <w:rPr>
          <w:b/>
          <w:u w:val="none"/>
          <w:lang w:val="es-ES"/>
        </w:rPr>
      </w:pPr>
      <w:r w:rsidRPr="003416F8">
        <w:rPr>
          <w:b/>
          <w:u w:val="none"/>
          <w:lang w:val="es-ES"/>
        </w:rPr>
        <w:t>Propuesta simplificada</w:t>
      </w:r>
    </w:p>
    <w:p w:rsidR="00001DFB" w:rsidRPr="003416F8" w:rsidRDefault="00476A35" w:rsidP="00EA137E">
      <w:pPr>
        <w:pStyle w:val="ONUME"/>
        <w:rPr>
          <w:bCs/>
          <w:szCs w:val="22"/>
          <w:lang w:val="es-ES"/>
        </w:rPr>
      </w:pPr>
      <w:r w:rsidRPr="003416F8">
        <w:rPr>
          <w:bCs/>
          <w:szCs w:val="22"/>
          <w:lang w:val="es-ES"/>
        </w:rPr>
        <w:t xml:space="preserve">Tras la segunda fase de la </w:t>
      </w:r>
      <w:r w:rsidR="008E148B" w:rsidRPr="003416F8">
        <w:rPr>
          <w:bCs/>
          <w:szCs w:val="22"/>
          <w:lang w:val="es-ES"/>
        </w:rPr>
        <w:t xml:space="preserve">reforma </w:t>
      </w:r>
      <w:r w:rsidR="003416F8" w:rsidRPr="003416F8">
        <w:rPr>
          <w:bCs/>
          <w:szCs w:val="22"/>
          <w:lang w:val="es-ES"/>
        </w:rPr>
        <w:t>legislativa</w:t>
      </w:r>
      <w:r w:rsidR="008E148B" w:rsidRPr="003416F8">
        <w:rPr>
          <w:bCs/>
          <w:szCs w:val="22"/>
          <w:lang w:val="es-ES"/>
        </w:rPr>
        <w:t xml:space="preserve"> relativa a la marca de la Unión</w:t>
      </w:r>
      <w:r w:rsidR="00EA137E" w:rsidRPr="003416F8">
        <w:rPr>
          <w:bCs/>
          <w:szCs w:val="22"/>
          <w:lang w:val="es-ES"/>
        </w:rPr>
        <w:t xml:space="preserve"> </w:t>
      </w:r>
      <w:r w:rsidR="003416F8" w:rsidRPr="003416F8">
        <w:rPr>
          <w:bCs/>
          <w:szCs w:val="22"/>
          <w:lang w:val="es-ES"/>
        </w:rPr>
        <w:t>Europea</w:t>
      </w:r>
      <w:r w:rsidR="00EA137E" w:rsidRPr="003416F8">
        <w:rPr>
          <w:bCs/>
          <w:szCs w:val="22"/>
          <w:lang w:val="es-ES"/>
        </w:rPr>
        <w:t xml:space="preserve">, </w:t>
      </w:r>
      <w:r w:rsidR="008E148B" w:rsidRPr="003416F8">
        <w:rPr>
          <w:bCs/>
          <w:szCs w:val="22"/>
          <w:lang w:val="es-ES"/>
        </w:rPr>
        <w:t>desde octubre de</w:t>
      </w:r>
      <w:r w:rsidR="00EA137E" w:rsidRPr="003416F8">
        <w:rPr>
          <w:bCs/>
          <w:szCs w:val="22"/>
          <w:lang w:val="es-ES"/>
        </w:rPr>
        <w:t xml:space="preserve"> 2017</w:t>
      </w:r>
      <w:r w:rsidR="008E148B" w:rsidRPr="003416F8">
        <w:rPr>
          <w:bCs/>
          <w:szCs w:val="22"/>
          <w:lang w:val="es-ES"/>
        </w:rPr>
        <w:t>, el Reglamento de Ejecución relativo a la marca</w:t>
      </w:r>
      <w:r w:rsidR="00EA137E" w:rsidRPr="003416F8">
        <w:rPr>
          <w:bCs/>
          <w:szCs w:val="22"/>
          <w:lang w:val="es-ES"/>
        </w:rPr>
        <w:t xml:space="preserve"> </w:t>
      </w:r>
      <w:r w:rsidR="008E148B" w:rsidRPr="003416F8">
        <w:rPr>
          <w:bCs/>
          <w:szCs w:val="22"/>
          <w:lang w:val="es-ES"/>
        </w:rPr>
        <w:t>de la Unión Europea</w:t>
      </w:r>
      <w:r w:rsidR="00EA137E" w:rsidRPr="003416F8">
        <w:rPr>
          <w:rStyle w:val="FootnoteReference"/>
          <w:bCs/>
          <w:szCs w:val="22"/>
          <w:lang w:val="es-ES"/>
        </w:rPr>
        <w:footnoteReference w:id="2"/>
      </w:r>
      <w:r w:rsidR="00EA137E" w:rsidRPr="003416F8">
        <w:rPr>
          <w:bCs/>
          <w:szCs w:val="22"/>
          <w:lang w:val="es-ES"/>
        </w:rPr>
        <w:t xml:space="preserve"> </w:t>
      </w:r>
      <w:r w:rsidR="008E148B" w:rsidRPr="003416F8">
        <w:rPr>
          <w:bCs/>
          <w:szCs w:val="22"/>
          <w:lang w:val="es-ES"/>
        </w:rPr>
        <w:t>reconoce los tipos de marcas siguientes</w:t>
      </w:r>
      <w:r w:rsidR="00EA137E" w:rsidRPr="003416F8">
        <w:rPr>
          <w:bCs/>
          <w:szCs w:val="22"/>
          <w:lang w:val="es-ES"/>
        </w:rPr>
        <w:t xml:space="preserve">: </w:t>
      </w:r>
      <w:r w:rsidR="008E148B" w:rsidRPr="003416F8">
        <w:rPr>
          <w:lang w:val="es-ES"/>
        </w:rPr>
        <w:t>marca denominativa</w:t>
      </w:r>
      <w:r w:rsidR="00EA137E" w:rsidRPr="003416F8">
        <w:rPr>
          <w:szCs w:val="22"/>
          <w:lang w:val="es-ES"/>
        </w:rPr>
        <w:t xml:space="preserve">, </w:t>
      </w:r>
      <w:r w:rsidR="008E148B" w:rsidRPr="003416F8">
        <w:rPr>
          <w:szCs w:val="22"/>
          <w:lang w:val="es-ES"/>
        </w:rPr>
        <w:t>marca figurativa</w:t>
      </w:r>
      <w:r w:rsidR="00EA137E" w:rsidRPr="003416F8">
        <w:rPr>
          <w:szCs w:val="22"/>
          <w:lang w:val="es-ES"/>
        </w:rPr>
        <w:t xml:space="preserve">, </w:t>
      </w:r>
      <w:r w:rsidR="008E148B" w:rsidRPr="003416F8">
        <w:rPr>
          <w:lang w:val="es-ES"/>
        </w:rPr>
        <w:t>marca de forma</w:t>
      </w:r>
      <w:r w:rsidR="00EA137E" w:rsidRPr="003416F8">
        <w:rPr>
          <w:szCs w:val="22"/>
          <w:lang w:val="es-ES"/>
        </w:rPr>
        <w:t xml:space="preserve">, </w:t>
      </w:r>
      <w:r w:rsidR="008E148B" w:rsidRPr="003416F8">
        <w:rPr>
          <w:lang w:val="es-ES"/>
        </w:rPr>
        <w:t>marca de posición</w:t>
      </w:r>
      <w:r w:rsidR="00EA137E" w:rsidRPr="003416F8">
        <w:rPr>
          <w:szCs w:val="22"/>
          <w:lang w:val="es-ES"/>
        </w:rPr>
        <w:t xml:space="preserve">, </w:t>
      </w:r>
      <w:r w:rsidR="008E148B" w:rsidRPr="003416F8">
        <w:rPr>
          <w:lang w:val="es-ES"/>
        </w:rPr>
        <w:t>marca de patrón</w:t>
      </w:r>
      <w:r w:rsidR="00EA137E" w:rsidRPr="003416F8">
        <w:rPr>
          <w:szCs w:val="22"/>
          <w:lang w:val="es-ES"/>
        </w:rPr>
        <w:t xml:space="preserve">, </w:t>
      </w:r>
      <w:r w:rsidR="008E148B" w:rsidRPr="003416F8">
        <w:rPr>
          <w:szCs w:val="22"/>
          <w:lang w:val="es-ES"/>
        </w:rPr>
        <w:t>marca de color</w:t>
      </w:r>
      <w:r w:rsidR="00EA137E" w:rsidRPr="003416F8">
        <w:rPr>
          <w:szCs w:val="22"/>
          <w:lang w:val="es-ES"/>
        </w:rPr>
        <w:t xml:space="preserve">, </w:t>
      </w:r>
      <w:r w:rsidR="008E148B" w:rsidRPr="003416F8">
        <w:rPr>
          <w:szCs w:val="22"/>
          <w:lang w:val="es-ES"/>
        </w:rPr>
        <w:t>marca sonora</w:t>
      </w:r>
      <w:r w:rsidR="00EA137E" w:rsidRPr="003416F8">
        <w:rPr>
          <w:szCs w:val="22"/>
          <w:lang w:val="es-ES"/>
        </w:rPr>
        <w:t xml:space="preserve">, </w:t>
      </w:r>
      <w:r w:rsidR="008E148B" w:rsidRPr="003416F8">
        <w:rPr>
          <w:szCs w:val="22"/>
          <w:lang w:val="es-ES"/>
        </w:rPr>
        <w:t>marca de movimiento</w:t>
      </w:r>
      <w:r w:rsidR="00EA137E" w:rsidRPr="003416F8">
        <w:rPr>
          <w:szCs w:val="22"/>
          <w:lang w:val="es-ES"/>
        </w:rPr>
        <w:t xml:space="preserve">, </w:t>
      </w:r>
      <w:r w:rsidR="008E148B" w:rsidRPr="003416F8">
        <w:rPr>
          <w:szCs w:val="22"/>
          <w:lang w:val="es-ES"/>
        </w:rPr>
        <w:t>marca m</w:t>
      </w:r>
      <w:r w:rsidR="00EA137E" w:rsidRPr="003416F8">
        <w:rPr>
          <w:szCs w:val="22"/>
          <w:lang w:val="es-ES"/>
        </w:rPr>
        <w:t xml:space="preserve">ultimedia, </w:t>
      </w:r>
      <w:r w:rsidR="008E148B" w:rsidRPr="003416F8">
        <w:rPr>
          <w:szCs w:val="22"/>
          <w:lang w:val="es-ES"/>
        </w:rPr>
        <w:t xml:space="preserve">marca de </w:t>
      </w:r>
      <w:r w:rsidR="003416F8" w:rsidRPr="003416F8">
        <w:rPr>
          <w:szCs w:val="22"/>
          <w:lang w:val="es-ES"/>
        </w:rPr>
        <w:t>holograma</w:t>
      </w:r>
      <w:r w:rsidR="008E148B" w:rsidRPr="003416F8">
        <w:rPr>
          <w:szCs w:val="22"/>
          <w:lang w:val="es-ES"/>
        </w:rPr>
        <w:t>, además de otros tipos de marca</w:t>
      </w:r>
      <w:r w:rsidR="00EA137E" w:rsidRPr="003416F8">
        <w:rPr>
          <w:szCs w:val="22"/>
          <w:lang w:val="es-ES"/>
        </w:rPr>
        <w:t xml:space="preserve"> (</w:t>
      </w:r>
      <w:r w:rsidR="008E148B" w:rsidRPr="003416F8">
        <w:rPr>
          <w:bCs/>
          <w:szCs w:val="22"/>
          <w:lang w:val="es-ES"/>
        </w:rPr>
        <w:t>apartados 3 y 4 del a</w:t>
      </w:r>
      <w:r w:rsidR="00EA137E" w:rsidRPr="003416F8">
        <w:rPr>
          <w:bCs/>
          <w:szCs w:val="22"/>
          <w:lang w:val="es-ES"/>
        </w:rPr>
        <w:t>rt</w:t>
      </w:r>
      <w:r w:rsidR="008E148B" w:rsidRPr="003416F8">
        <w:rPr>
          <w:bCs/>
          <w:szCs w:val="22"/>
          <w:lang w:val="es-ES"/>
        </w:rPr>
        <w:t>ículo </w:t>
      </w:r>
      <w:r w:rsidR="00EA137E" w:rsidRPr="003416F8">
        <w:rPr>
          <w:bCs/>
          <w:szCs w:val="22"/>
          <w:lang w:val="es-ES"/>
        </w:rPr>
        <w:t>3</w:t>
      </w:r>
      <w:r w:rsidR="008E148B" w:rsidRPr="003416F8">
        <w:rPr>
          <w:bCs/>
          <w:szCs w:val="22"/>
          <w:lang w:val="es-ES"/>
        </w:rPr>
        <w:t xml:space="preserve"> de dicho Reglamento</w:t>
      </w:r>
      <w:r w:rsidR="00EA137E" w:rsidRPr="003416F8">
        <w:rPr>
          <w:bCs/>
          <w:szCs w:val="22"/>
          <w:lang w:val="es-ES"/>
        </w:rPr>
        <w:t>)</w:t>
      </w:r>
      <w:r w:rsidR="00EA137E" w:rsidRPr="003416F8">
        <w:rPr>
          <w:szCs w:val="22"/>
          <w:lang w:val="es-ES"/>
        </w:rPr>
        <w:t>.</w:t>
      </w:r>
    </w:p>
    <w:p w:rsidR="00001DFB" w:rsidRPr="003416F8" w:rsidRDefault="002665E6" w:rsidP="00001DFB">
      <w:pPr>
        <w:pStyle w:val="ONUME"/>
        <w:rPr>
          <w:bCs/>
          <w:szCs w:val="22"/>
          <w:lang w:val="es-ES"/>
        </w:rPr>
      </w:pPr>
      <w:r>
        <w:rPr>
          <w:bCs/>
          <w:szCs w:val="22"/>
          <w:lang w:val="es-ES"/>
        </w:rPr>
        <w:t>Por otra parte</w:t>
      </w:r>
      <w:r w:rsidR="00EA137E" w:rsidRPr="003416F8">
        <w:rPr>
          <w:bCs/>
          <w:szCs w:val="22"/>
          <w:lang w:val="es-ES"/>
        </w:rPr>
        <w:t xml:space="preserve">, </w:t>
      </w:r>
      <w:r w:rsidR="008E148B" w:rsidRPr="003416F8">
        <w:rPr>
          <w:bCs/>
          <w:szCs w:val="22"/>
          <w:lang w:val="es-ES"/>
        </w:rPr>
        <w:t>“</w:t>
      </w:r>
      <w:r w:rsidR="00EA137E" w:rsidRPr="003416F8">
        <w:rPr>
          <w:bCs/>
          <w:szCs w:val="22"/>
          <w:lang w:val="es-ES"/>
        </w:rPr>
        <w:t>N</w:t>
      </w:r>
      <w:r w:rsidR="008E148B" w:rsidRPr="003416F8">
        <w:rPr>
          <w:bCs/>
          <w:szCs w:val="22"/>
          <w:lang w:val="es-ES"/>
        </w:rPr>
        <w:t>uevos tipos de marcas”</w:t>
      </w:r>
      <w:r w:rsidR="00EA137E" w:rsidRPr="003416F8">
        <w:rPr>
          <w:bCs/>
          <w:szCs w:val="22"/>
          <w:lang w:val="es-ES"/>
        </w:rPr>
        <w:t xml:space="preserve"> </w:t>
      </w:r>
      <w:r w:rsidR="008E148B" w:rsidRPr="003416F8">
        <w:rPr>
          <w:bCs/>
          <w:szCs w:val="22"/>
          <w:lang w:val="es-ES"/>
        </w:rPr>
        <w:t>e</w:t>
      </w:r>
      <w:r w:rsidR="00EA137E" w:rsidRPr="003416F8">
        <w:rPr>
          <w:bCs/>
          <w:szCs w:val="22"/>
          <w:lang w:val="es-ES"/>
        </w:rPr>
        <w:t xml:space="preserve">s </w:t>
      </w:r>
      <w:r w:rsidR="008E148B" w:rsidRPr="003416F8">
        <w:rPr>
          <w:bCs/>
          <w:szCs w:val="22"/>
          <w:lang w:val="es-ES"/>
        </w:rPr>
        <w:t>un punto del orden del día</w:t>
      </w:r>
      <w:r w:rsidR="00EA137E" w:rsidRPr="003416F8">
        <w:rPr>
          <w:rStyle w:val="FootnoteReference"/>
          <w:bCs/>
          <w:szCs w:val="22"/>
          <w:lang w:val="es-ES"/>
        </w:rPr>
        <w:footnoteReference w:id="3"/>
      </w:r>
      <w:r w:rsidR="00EA137E" w:rsidRPr="003416F8">
        <w:rPr>
          <w:bCs/>
          <w:szCs w:val="22"/>
          <w:lang w:val="es-ES"/>
        </w:rPr>
        <w:t xml:space="preserve"> </w:t>
      </w:r>
      <w:r w:rsidR="008E148B" w:rsidRPr="003416F8">
        <w:rPr>
          <w:bCs/>
          <w:szCs w:val="22"/>
          <w:lang w:val="es-ES"/>
        </w:rPr>
        <w:t xml:space="preserve">de la decimosexta reunión del </w:t>
      </w:r>
      <w:r w:rsidR="00001DFB" w:rsidRPr="003416F8">
        <w:rPr>
          <w:bCs/>
          <w:szCs w:val="22"/>
          <w:lang w:val="es-ES"/>
        </w:rPr>
        <w:t>Grupo de Trabajo sobre el Desarrollo Jurídico del Sistema de Madrid para el Registro Internacional de Marcas</w:t>
      </w:r>
      <w:r w:rsidR="008E148B" w:rsidRPr="003416F8">
        <w:rPr>
          <w:bCs/>
          <w:szCs w:val="22"/>
          <w:lang w:val="es-ES"/>
        </w:rPr>
        <w:t>, celebrada en julio de</w:t>
      </w:r>
      <w:r w:rsidR="00EA137E" w:rsidRPr="003416F8">
        <w:rPr>
          <w:bCs/>
          <w:szCs w:val="22"/>
          <w:lang w:val="es-ES"/>
        </w:rPr>
        <w:t xml:space="preserve"> 2018.</w:t>
      </w:r>
    </w:p>
    <w:p w:rsidR="00001DFB" w:rsidRPr="003416F8" w:rsidRDefault="00321B94" w:rsidP="00001DFB">
      <w:pPr>
        <w:pStyle w:val="ONUME"/>
        <w:rPr>
          <w:bCs/>
          <w:szCs w:val="22"/>
          <w:lang w:val="es-ES"/>
        </w:rPr>
      </w:pPr>
      <w:r w:rsidRPr="003416F8">
        <w:rPr>
          <w:bCs/>
          <w:szCs w:val="22"/>
          <w:lang w:val="es-ES"/>
        </w:rPr>
        <w:t>En cuanto usuaria del sistema de códigos INID de la Norma</w:t>
      </w:r>
      <w:r w:rsidR="00EA137E" w:rsidRPr="003416F8">
        <w:rPr>
          <w:bCs/>
          <w:szCs w:val="22"/>
          <w:lang w:val="es-ES"/>
        </w:rPr>
        <w:t xml:space="preserve"> ST.60 </w:t>
      </w:r>
      <w:r w:rsidRPr="003416F8">
        <w:rPr>
          <w:bCs/>
          <w:szCs w:val="22"/>
          <w:lang w:val="es-ES"/>
        </w:rPr>
        <w:t xml:space="preserve">de la OMPI, la </w:t>
      </w:r>
      <w:r w:rsidR="00001DFB" w:rsidRPr="003416F8">
        <w:rPr>
          <w:bCs/>
          <w:szCs w:val="22"/>
          <w:lang w:val="es-ES"/>
        </w:rPr>
        <w:t>Oficina de Propiedad Intelectual de la Unión Europea</w:t>
      </w:r>
      <w:r w:rsidR="00EA137E" w:rsidRPr="003416F8">
        <w:rPr>
          <w:bCs/>
          <w:szCs w:val="22"/>
          <w:lang w:val="es-ES"/>
        </w:rPr>
        <w:t xml:space="preserve"> (</w:t>
      </w:r>
      <w:r w:rsidR="00001DFB" w:rsidRPr="003416F8">
        <w:rPr>
          <w:bCs/>
          <w:szCs w:val="22"/>
          <w:lang w:val="es-ES"/>
        </w:rPr>
        <w:t>EUIPO</w:t>
      </w:r>
      <w:r w:rsidR="00EA137E" w:rsidRPr="003416F8">
        <w:rPr>
          <w:bCs/>
          <w:szCs w:val="22"/>
          <w:lang w:val="es-ES"/>
        </w:rPr>
        <w:t xml:space="preserve">) </w:t>
      </w:r>
      <w:r w:rsidRPr="003416F8">
        <w:rPr>
          <w:bCs/>
          <w:szCs w:val="22"/>
          <w:lang w:val="es-ES"/>
        </w:rPr>
        <w:t xml:space="preserve">desea proponer que se introduzcan varias modificaciones en los códigos </w:t>
      </w:r>
      <w:r w:rsidR="00EA137E" w:rsidRPr="003416F8">
        <w:rPr>
          <w:bCs/>
          <w:szCs w:val="22"/>
          <w:lang w:val="es-ES"/>
        </w:rPr>
        <w:t xml:space="preserve">INID </w:t>
      </w:r>
      <w:r w:rsidRPr="003416F8">
        <w:rPr>
          <w:bCs/>
          <w:szCs w:val="22"/>
          <w:lang w:val="es-ES"/>
        </w:rPr>
        <w:t>de la Norma</w:t>
      </w:r>
      <w:r w:rsidR="00EA137E" w:rsidRPr="003416F8">
        <w:rPr>
          <w:bCs/>
          <w:szCs w:val="22"/>
          <w:lang w:val="es-ES"/>
        </w:rPr>
        <w:t xml:space="preserve"> ST. 60 </w:t>
      </w:r>
      <w:r w:rsidRPr="003416F8">
        <w:rPr>
          <w:bCs/>
          <w:szCs w:val="22"/>
          <w:lang w:val="es-ES"/>
        </w:rPr>
        <w:t>de la OMPI, en</w:t>
      </w:r>
      <w:r w:rsidR="00EA137E" w:rsidRPr="003416F8">
        <w:rPr>
          <w:bCs/>
          <w:szCs w:val="22"/>
          <w:lang w:val="es-ES"/>
        </w:rPr>
        <w:t xml:space="preserve"> </w:t>
      </w:r>
      <w:r w:rsidR="003416F8" w:rsidRPr="003416F8">
        <w:rPr>
          <w:bCs/>
          <w:szCs w:val="22"/>
          <w:lang w:val="es-ES"/>
        </w:rPr>
        <w:t>relación</w:t>
      </w:r>
      <w:r w:rsidR="00EA137E" w:rsidRPr="003416F8">
        <w:rPr>
          <w:bCs/>
          <w:szCs w:val="22"/>
          <w:lang w:val="es-ES"/>
        </w:rPr>
        <w:t xml:space="preserve"> </w:t>
      </w:r>
      <w:r w:rsidRPr="003416F8">
        <w:rPr>
          <w:bCs/>
          <w:szCs w:val="22"/>
          <w:lang w:val="es-ES"/>
        </w:rPr>
        <w:t>con los tipos de marcas</w:t>
      </w:r>
      <w:r w:rsidR="00EA137E" w:rsidRPr="003416F8">
        <w:rPr>
          <w:bCs/>
          <w:szCs w:val="22"/>
          <w:lang w:val="es-ES"/>
        </w:rPr>
        <w:t>.</w:t>
      </w:r>
    </w:p>
    <w:p w:rsidR="00001DFB" w:rsidRPr="003416F8" w:rsidRDefault="00321B94" w:rsidP="00001DFB">
      <w:pPr>
        <w:pStyle w:val="ONUME"/>
        <w:rPr>
          <w:szCs w:val="22"/>
          <w:lang w:val="es-ES"/>
        </w:rPr>
      </w:pPr>
      <w:r w:rsidRPr="003416F8">
        <w:rPr>
          <w:bCs/>
          <w:szCs w:val="22"/>
          <w:lang w:val="es-ES"/>
        </w:rPr>
        <w:t>La EUIPO</w:t>
      </w:r>
      <w:r w:rsidRPr="003416F8">
        <w:rPr>
          <w:szCs w:val="22"/>
          <w:lang w:val="es-ES"/>
        </w:rPr>
        <w:t xml:space="preserve"> sugiere que se introduzca un </w:t>
      </w:r>
      <w:r w:rsidR="008C60DC" w:rsidRPr="003416F8">
        <w:rPr>
          <w:szCs w:val="22"/>
          <w:lang w:val="es-ES"/>
        </w:rPr>
        <w:t>nuevo</w:t>
      </w:r>
      <w:r w:rsidRPr="003416F8">
        <w:rPr>
          <w:szCs w:val="22"/>
          <w:lang w:val="es-ES"/>
        </w:rPr>
        <w:t xml:space="preserve"> código para incluir la indicaci</w:t>
      </w:r>
      <w:r w:rsidR="002665E6">
        <w:rPr>
          <w:szCs w:val="22"/>
          <w:lang w:val="es-ES"/>
        </w:rPr>
        <w:t>ón expresa</w:t>
      </w:r>
      <w:r w:rsidR="00EA137E" w:rsidRPr="003416F8">
        <w:rPr>
          <w:szCs w:val="22"/>
          <w:lang w:val="es-ES"/>
        </w:rPr>
        <w:t xml:space="preserve"> </w:t>
      </w:r>
      <w:r w:rsidRPr="003416F8">
        <w:rPr>
          <w:szCs w:val="22"/>
          <w:lang w:val="es-ES"/>
        </w:rPr>
        <w:t>de “</w:t>
      </w:r>
      <w:r w:rsidR="00EA137E" w:rsidRPr="003416F8">
        <w:rPr>
          <w:szCs w:val="22"/>
          <w:lang w:val="es-ES"/>
        </w:rPr>
        <w:t>Ot</w:t>
      </w:r>
      <w:r w:rsidRPr="003416F8">
        <w:rPr>
          <w:szCs w:val="22"/>
          <w:lang w:val="es-ES"/>
        </w:rPr>
        <w:t>ros” tipos de marcas</w:t>
      </w:r>
      <w:r w:rsidR="00F6364C" w:rsidRPr="003416F8">
        <w:rPr>
          <w:szCs w:val="22"/>
          <w:lang w:val="es-ES"/>
        </w:rPr>
        <w:t xml:space="preserve">. </w:t>
      </w:r>
      <w:r w:rsidRPr="003416F8">
        <w:rPr>
          <w:szCs w:val="22"/>
          <w:lang w:val="es-ES"/>
        </w:rPr>
        <w:t>Dicho código abarcaría tipos de marcas que no están</w:t>
      </w:r>
      <w:r w:rsidR="002665E6">
        <w:rPr>
          <w:szCs w:val="22"/>
          <w:lang w:val="es-ES"/>
        </w:rPr>
        <w:t xml:space="preserve"> indicadas</w:t>
      </w:r>
      <w:r w:rsidRPr="003416F8">
        <w:rPr>
          <w:szCs w:val="22"/>
          <w:lang w:val="es-ES"/>
        </w:rPr>
        <w:t xml:space="preserve"> </w:t>
      </w:r>
      <w:r w:rsidR="003416F8" w:rsidRPr="003416F8">
        <w:rPr>
          <w:szCs w:val="22"/>
          <w:lang w:val="es-ES"/>
        </w:rPr>
        <w:t>expresamente</w:t>
      </w:r>
      <w:r w:rsidRPr="003416F8">
        <w:rPr>
          <w:szCs w:val="22"/>
          <w:lang w:val="es-ES"/>
        </w:rPr>
        <w:t xml:space="preserve"> en la numeración actual de la </w:t>
      </w:r>
      <w:r w:rsidR="003416F8" w:rsidRPr="003416F8">
        <w:rPr>
          <w:szCs w:val="22"/>
          <w:lang w:val="es-ES"/>
        </w:rPr>
        <w:t>Norma</w:t>
      </w:r>
      <w:r w:rsidRPr="003416F8">
        <w:rPr>
          <w:szCs w:val="22"/>
          <w:lang w:val="es-ES"/>
        </w:rPr>
        <w:t xml:space="preserve"> </w:t>
      </w:r>
      <w:r w:rsidR="00EA137E" w:rsidRPr="003416F8">
        <w:rPr>
          <w:szCs w:val="22"/>
          <w:lang w:val="es-ES"/>
        </w:rPr>
        <w:t>ST.60</w:t>
      </w:r>
      <w:r w:rsidRPr="003416F8">
        <w:rPr>
          <w:szCs w:val="22"/>
          <w:lang w:val="es-ES"/>
        </w:rPr>
        <w:t xml:space="preserve"> de la OMPI</w:t>
      </w:r>
      <w:r w:rsidR="00EA137E" w:rsidRPr="003416F8">
        <w:rPr>
          <w:szCs w:val="22"/>
          <w:lang w:val="es-ES"/>
        </w:rPr>
        <w:t>:</w:t>
      </w:r>
    </w:p>
    <w:p w:rsidR="00001DFB" w:rsidRPr="003416F8" w:rsidRDefault="00321B94" w:rsidP="00001DFB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>(</w:t>
      </w:r>
      <w:r w:rsidR="00001DFB" w:rsidRPr="003416F8">
        <w:rPr>
          <w:szCs w:val="22"/>
          <w:lang w:val="es-ES"/>
        </w:rPr>
        <w:t>554</w:t>
      </w:r>
      <w:r w:rsidRPr="003416F8">
        <w:rPr>
          <w:szCs w:val="22"/>
          <w:lang w:val="es-ES"/>
        </w:rPr>
        <w:t>)</w:t>
      </w:r>
      <w:r w:rsidR="00001DFB" w:rsidRPr="003416F8">
        <w:rPr>
          <w:szCs w:val="22"/>
          <w:lang w:val="es-ES"/>
        </w:rPr>
        <w:t xml:space="preserve"> </w:t>
      </w:r>
      <w:r w:rsidR="008C60DC" w:rsidRPr="003416F8">
        <w:rPr>
          <w:szCs w:val="22"/>
          <w:lang w:val="es-ES"/>
        </w:rPr>
        <w:t xml:space="preserve">Marca </w:t>
      </w:r>
      <w:r w:rsidR="00001DFB" w:rsidRPr="003416F8">
        <w:rPr>
          <w:szCs w:val="22"/>
          <w:lang w:val="es-ES"/>
        </w:rPr>
        <w:t>tridimensional</w:t>
      </w:r>
    </w:p>
    <w:p w:rsidR="00001DFB" w:rsidRPr="003416F8" w:rsidRDefault="00321B94" w:rsidP="00001DFB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 xml:space="preserve">(555) </w:t>
      </w:r>
      <w:r w:rsidR="008C60DC" w:rsidRPr="003416F8">
        <w:rPr>
          <w:szCs w:val="22"/>
          <w:lang w:val="es-ES"/>
        </w:rPr>
        <w:t xml:space="preserve">Marca </w:t>
      </w:r>
      <w:r w:rsidRPr="003416F8">
        <w:rPr>
          <w:szCs w:val="22"/>
          <w:lang w:val="es-ES"/>
        </w:rPr>
        <w:t>holograma</w:t>
      </w:r>
    </w:p>
    <w:p w:rsidR="00001DFB" w:rsidRPr="003416F8" w:rsidRDefault="00EA137E" w:rsidP="00EA137E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 xml:space="preserve">(556) </w:t>
      </w:r>
      <w:r w:rsidR="008C60DC" w:rsidRPr="003416F8">
        <w:rPr>
          <w:szCs w:val="22"/>
          <w:lang w:val="es-ES"/>
        </w:rPr>
        <w:t xml:space="preserve">Marca </w:t>
      </w:r>
      <w:r w:rsidR="00321B94" w:rsidRPr="003416F8">
        <w:rPr>
          <w:szCs w:val="22"/>
          <w:lang w:val="es-ES"/>
        </w:rPr>
        <w:t>sonora, inclu</w:t>
      </w:r>
      <w:r w:rsidR="008C60DC" w:rsidRPr="003416F8">
        <w:rPr>
          <w:szCs w:val="22"/>
          <w:lang w:val="es-ES"/>
        </w:rPr>
        <w:t>idas</w:t>
      </w:r>
      <w:r w:rsidR="00321B94" w:rsidRPr="003416F8">
        <w:rPr>
          <w:szCs w:val="22"/>
          <w:lang w:val="es-ES"/>
        </w:rPr>
        <w:t xml:space="preserve"> las características</w:t>
      </w:r>
    </w:p>
    <w:p w:rsidR="00001DFB" w:rsidRPr="003416F8" w:rsidRDefault="00EA137E" w:rsidP="00EA137E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>(557)</w:t>
      </w:r>
      <w:r w:rsidR="00321B94" w:rsidRPr="003416F8">
        <w:rPr>
          <w:szCs w:val="22"/>
          <w:lang w:val="es-ES"/>
        </w:rPr>
        <w:t xml:space="preserve"> </w:t>
      </w:r>
      <w:r w:rsidR="008C60DC" w:rsidRPr="003416F8">
        <w:rPr>
          <w:szCs w:val="22"/>
          <w:lang w:val="es-ES"/>
        </w:rPr>
        <w:t xml:space="preserve">Marca </w:t>
      </w:r>
      <w:r w:rsidR="00321B94" w:rsidRPr="003416F8">
        <w:rPr>
          <w:szCs w:val="22"/>
          <w:lang w:val="es-ES"/>
        </w:rPr>
        <w:t>olfativa</w:t>
      </w:r>
      <w:r w:rsidRPr="003416F8">
        <w:rPr>
          <w:szCs w:val="22"/>
          <w:lang w:val="es-ES"/>
        </w:rPr>
        <w:t xml:space="preserve">, </w:t>
      </w:r>
      <w:r w:rsidR="00321B94" w:rsidRPr="003416F8">
        <w:rPr>
          <w:szCs w:val="22"/>
          <w:lang w:val="es-ES"/>
        </w:rPr>
        <w:t>inclu</w:t>
      </w:r>
      <w:r w:rsidR="008C60DC" w:rsidRPr="003416F8">
        <w:rPr>
          <w:szCs w:val="22"/>
          <w:lang w:val="es-ES"/>
        </w:rPr>
        <w:t>idas</w:t>
      </w:r>
      <w:r w:rsidR="00321B94" w:rsidRPr="003416F8">
        <w:rPr>
          <w:szCs w:val="22"/>
          <w:lang w:val="es-ES"/>
        </w:rPr>
        <w:t xml:space="preserve"> las características</w:t>
      </w:r>
    </w:p>
    <w:p w:rsidR="00001DFB" w:rsidRPr="003416F8" w:rsidRDefault="00321B94" w:rsidP="00001DFB">
      <w:pPr>
        <w:spacing w:after="220"/>
        <w:ind w:left="288"/>
        <w:rPr>
          <w:szCs w:val="22"/>
          <w:lang w:val="es-ES"/>
        </w:rPr>
      </w:pPr>
      <w:r w:rsidRPr="003416F8">
        <w:rPr>
          <w:szCs w:val="22"/>
          <w:lang w:val="es-ES"/>
        </w:rPr>
        <w:t xml:space="preserve">(558) </w:t>
      </w:r>
      <w:r w:rsidR="008C60DC" w:rsidRPr="003416F8">
        <w:rPr>
          <w:szCs w:val="22"/>
          <w:lang w:val="es-ES"/>
        </w:rPr>
        <w:t xml:space="preserve">Marca </w:t>
      </w:r>
      <w:r w:rsidR="00001DFB" w:rsidRPr="003416F8">
        <w:rPr>
          <w:szCs w:val="22"/>
          <w:lang w:val="es-ES"/>
        </w:rPr>
        <w:t>consiste</w:t>
      </w:r>
      <w:r w:rsidR="008C60DC" w:rsidRPr="003416F8">
        <w:rPr>
          <w:szCs w:val="22"/>
          <w:lang w:val="es-ES"/>
        </w:rPr>
        <w:t>nte</w:t>
      </w:r>
      <w:r w:rsidR="00001DFB" w:rsidRPr="003416F8">
        <w:rPr>
          <w:szCs w:val="22"/>
          <w:lang w:val="es-ES"/>
        </w:rPr>
        <w:t xml:space="preserve"> exclusivamente </w:t>
      </w:r>
      <w:r w:rsidRPr="003416F8">
        <w:rPr>
          <w:szCs w:val="22"/>
          <w:lang w:val="es-ES"/>
        </w:rPr>
        <w:t xml:space="preserve">en </w:t>
      </w:r>
      <w:r w:rsidR="00001DFB" w:rsidRPr="003416F8">
        <w:rPr>
          <w:szCs w:val="22"/>
          <w:lang w:val="es-ES"/>
        </w:rPr>
        <w:t>uno o varios colores</w:t>
      </w:r>
      <w:r w:rsidRPr="003416F8">
        <w:rPr>
          <w:szCs w:val="22"/>
          <w:lang w:val="es-ES"/>
        </w:rPr>
        <w:t>.</w:t>
      </w:r>
    </w:p>
    <w:p w:rsidR="00001DFB" w:rsidRPr="003416F8" w:rsidRDefault="00321B94" w:rsidP="00EA137E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t>Se sugiere incluir un nuevo código</w:t>
      </w:r>
      <w:r w:rsidR="00EA137E" w:rsidRPr="003416F8">
        <w:rPr>
          <w:szCs w:val="22"/>
          <w:lang w:val="es-ES"/>
        </w:rPr>
        <w:t xml:space="preserve"> INID, </w:t>
      </w:r>
      <w:r w:rsidRPr="003416F8">
        <w:rPr>
          <w:szCs w:val="22"/>
          <w:lang w:val="es-ES"/>
        </w:rPr>
        <w:t>a saber</w:t>
      </w:r>
      <w:r w:rsidR="00EA137E" w:rsidRPr="003416F8">
        <w:rPr>
          <w:szCs w:val="22"/>
          <w:lang w:val="es-ES"/>
        </w:rPr>
        <w:t>:</w:t>
      </w:r>
    </w:p>
    <w:p w:rsidR="006D1A38" w:rsidRDefault="00321B94" w:rsidP="00001DFB">
      <w:pPr>
        <w:ind w:left="284"/>
        <w:rPr>
          <w:bCs/>
          <w:szCs w:val="22"/>
          <w:lang w:val="es-ES"/>
        </w:rPr>
      </w:pPr>
      <w:r w:rsidRPr="003416F8">
        <w:rPr>
          <w:bCs/>
          <w:szCs w:val="22"/>
          <w:lang w:val="es-ES"/>
        </w:rPr>
        <w:t>(</w:t>
      </w:r>
      <w:r w:rsidR="00001DFB" w:rsidRPr="003416F8">
        <w:rPr>
          <w:bCs/>
          <w:szCs w:val="22"/>
          <w:lang w:val="es-ES"/>
        </w:rPr>
        <w:t>559</w:t>
      </w:r>
      <w:r w:rsidRPr="003416F8">
        <w:rPr>
          <w:bCs/>
          <w:szCs w:val="22"/>
          <w:lang w:val="es-ES"/>
        </w:rPr>
        <w:t>)</w:t>
      </w:r>
      <w:r w:rsidR="00001DFB" w:rsidRPr="003416F8">
        <w:rPr>
          <w:bCs/>
          <w:szCs w:val="22"/>
          <w:lang w:val="es-ES"/>
        </w:rPr>
        <w:t xml:space="preserve">: </w:t>
      </w:r>
      <w:r w:rsidR="008C60DC" w:rsidRPr="003416F8">
        <w:rPr>
          <w:bCs/>
          <w:szCs w:val="22"/>
          <w:lang w:val="es-ES"/>
        </w:rPr>
        <w:t xml:space="preserve">Otro </w:t>
      </w:r>
      <w:r w:rsidRPr="003416F8">
        <w:rPr>
          <w:bCs/>
          <w:szCs w:val="22"/>
          <w:lang w:val="es-ES"/>
        </w:rPr>
        <w:t>tipo de marca</w:t>
      </w:r>
    </w:p>
    <w:p w:rsidR="00E70616" w:rsidRDefault="00E70616" w:rsidP="00001DFB">
      <w:pPr>
        <w:ind w:left="284"/>
        <w:rPr>
          <w:bCs/>
          <w:szCs w:val="22"/>
          <w:lang w:val="es-ES"/>
        </w:rPr>
      </w:pPr>
    </w:p>
    <w:p w:rsidR="00001DFB" w:rsidRPr="003416F8" w:rsidRDefault="00EA137E" w:rsidP="00EA137E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lastRenderedPageBreak/>
        <w:t>A</w:t>
      </w:r>
      <w:r w:rsidR="007132C6" w:rsidRPr="003416F8">
        <w:rPr>
          <w:szCs w:val="22"/>
          <w:lang w:val="es-ES"/>
        </w:rPr>
        <w:t>simismo,</w:t>
      </w:r>
      <w:r w:rsidRPr="003416F8">
        <w:rPr>
          <w:szCs w:val="22"/>
          <w:lang w:val="es-ES"/>
        </w:rPr>
        <w:t xml:space="preserve"> </w:t>
      </w:r>
      <w:r w:rsidR="002665E6">
        <w:rPr>
          <w:szCs w:val="22"/>
          <w:lang w:val="es-ES"/>
        </w:rPr>
        <w:t xml:space="preserve">se sugiere </w:t>
      </w:r>
      <w:r w:rsidR="007132C6" w:rsidRPr="003416F8">
        <w:rPr>
          <w:szCs w:val="22"/>
          <w:lang w:val="es-ES"/>
        </w:rPr>
        <w:t xml:space="preserve">introducir una modificación en “Marca tridimensional” (código </w:t>
      </w:r>
      <w:r w:rsidR="002665E6">
        <w:rPr>
          <w:szCs w:val="22"/>
          <w:lang w:val="es-ES"/>
        </w:rPr>
        <w:t>INID </w:t>
      </w:r>
      <w:r w:rsidR="007132C6" w:rsidRPr="003416F8">
        <w:rPr>
          <w:szCs w:val="22"/>
          <w:lang w:val="es-ES"/>
        </w:rPr>
        <w:t>554) para incluir la “marca de forma”, según se indica a continuación</w:t>
      </w:r>
      <w:r w:rsidRPr="003416F8">
        <w:rPr>
          <w:szCs w:val="22"/>
          <w:lang w:val="es-ES"/>
        </w:rPr>
        <w:t xml:space="preserve"> (</w:t>
      </w:r>
      <w:r w:rsidR="007132C6" w:rsidRPr="003416F8">
        <w:rPr>
          <w:szCs w:val="22"/>
          <w:lang w:val="es-ES"/>
        </w:rPr>
        <w:t>la modificación figura subrayada):</w:t>
      </w:r>
    </w:p>
    <w:p w:rsidR="00001DFB" w:rsidRPr="003416F8" w:rsidRDefault="00EA137E" w:rsidP="00EA137E">
      <w:pPr>
        <w:ind w:left="284"/>
        <w:rPr>
          <w:b/>
          <w:bCs/>
          <w:szCs w:val="22"/>
          <w:lang w:val="es-ES"/>
        </w:rPr>
      </w:pPr>
      <w:r w:rsidRPr="003416F8">
        <w:rPr>
          <w:szCs w:val="22"/>
          <w:lang w:val="es-ES"/>
        </w:rPr>
        <w:t xml:space="preserve">(554) </w:t>
      </w:r>
      <w:r w:rsidR="007132C6" w:rsidRPr="003416F8">
        <w:rPr>
          <w:szCs w:val="22"/>
          <w:lang w:val="es-ES"/>
        </w:rPr>
        <w:t>Marca tri</w:t>
      </w:r>
      <w:r w:rsidRPr="003416F8">
        <w:rPr>
          <w:szCs w:val="22"/>
          <w:lang w:val="es-ES"/>
        </w:rPr>
        <w:t xml:space="preserve">dimensional </w:t>
      </w:r>
      <w:r w:rsidRPr="003416F8">
        <w:rPr>
          <w:bCs/>
          <w:szCs w:val="22"/>
          <w:u w:val="single"/>
          <w:lang w:val="es-ES"/>
        </w:rPr>
        <w:t xml:space="preserve">o </w:t>
      </w:r>
      <w:r w:rsidR="007132C6" w:rsidRPr="003416F8">
        <w:rPr>
          <w:bCs/>
          <w:szCs w:val="22"/>
          <w:u w:val="single"/>
          <w:lang w:val="es-ES"/>
        </w:rPr>
        <w:t>marca de forma</w:t>
      </w:r>
    </w:p>
    <w:p w:rsidR="00001DFB" w:rsidRPr="003416F8" w:rsidRDefault="00001DFB" w:rsidP="00EA137E">
      <w:pPr>
        <w:ind w:left="284"/>
        <w:rPr>
          <w:b/>
          <w:bCs/>
          <w:szCs w:val="22"/>
          <w:lang w:val="es-ES"/>
        </w:rPr>
      </w:pPr>
    </w:p>
    <w:p w:rsidR="00001DFB" w:rsidRPr="003416F8" w:rsidRDefault="007132C6" w:rsidP="00EA137E">
      <w:pPr>
        <w:pStyle w:val="ONUME"/>
        <w:rPr>
          <w:bCs/>
          <w:szCs w:val="22"/>
          <w:lang w:val="es-ES"/>
        </w:rPr>
      </w:pPr>
      <w:r w:rsidRPr="003416F8">
        <w:rPr>
          <w:bCs/>
          <w:szCs w:val="22"/>
          <w:lang w:val="es-ES"/>
        </w:rPr>
        <w:t xml:space="preserve">Tras la </w:t>
      </w:r>
      <w:r w:rsidR="003416F8" w:rsidRPr="003416F8">
        <w:rPr>
          <w:bCs/>
          <w:szCs w:val="22"/>
          <w:lang w:val="es-ES"/>
        </w:rPr>
        <w:t>aceptación</w:t>
      </w:r>
      <w:r w:rsidRPr="003416F8">
        <w:rPr>
          <w:bCs/>
          <w:szCs w:val="22"/>
          <w:lang w:val="es-ES"/>
        </w:rPr>
        <w:t xml:space="preserve"> de estas propuestas</w:t>
      </w:r>
      <w:r w:rsidR="00EA137E" w:rsidRPr="003416F8">
        <w:rPr>
          <w:bCs/>
          <w:szCs w:val="22"/>
          <w:lang w:val="es-ES"/>
        </w:rPr>
        <w:t xml:space="preserve">, </w:t>
      </w:r>
      <w:r w:rsidRPr="003416F8">
        <w:rPr>
          <w:bCs/>
          <w:szCs w:val="22"/>
          <w:lang w:val="es-ES"/>
        </w:rPr>
        <w:t>el</w:t>
      </w:r>
      <w:r w:rsidR="00EA137E" w:rsidRPr="003416F8">
        <w:rPr>
          <w:bCs/>
          <w:szCs w:val="22"/>
          <w:lang w:val="es-ES"/>
        </w:rPr>
        <w:t xml:space="preserve"> </w:t>
      </w:r>
      <w:r w:rsidR="003416F8" w:rsidRPr="003416F8">
        <w:rPr>
          <w:bCs/>
          <w:szCs w:val="22"/>
          <w:lang w:val="es-ES"/>
        </w:rPr>
        <w:t>texto</w:t>
      </w:r>
      <w:r w:rsidR="00EA137E" w:rsidRPr="003416F8">
        <w:rPr>
          <w:bCs/>
          <w:szCs w:val="22"/>
          <w:lang w:val="es-ES"/>
        </w:rPr>
        <w:t xml:space="preserve"> </w:t>
      </w:r>
      <w:r w:rsidRPr="003416F8">
        <w:rPr>
          <w:bCs/>
          <w:szCs w:val="22"/>
          <w:lang w:val="es-ES"/>
        </w:rPr>
        <w:t>de los códigos</w:t>
      </w:r>
      <w:r w:rsidR="00EA137E" w:rsidRPr="003416F8">
        <w:rPr>
          <w:bCs/>
          <w:szCs w:val="22"/>
          <w:lang w:val="es-ES"/>
        </w:rPr>
        <w:t xml:space="preserve"> INID 554 </w:t>
      </w:r>
      <w:r w:rsidRPr="003416F8">
        <w:rPr>
          <w:bCs/>
          <w:szCs w:val="22"/>
          <w:lang w:val="es-ES"/>
        </w:rPr>
        <w:t xml:space="preserve">a </w:t>
      </w:r>
      <w:r w:rsidR="00EA137E" w:rsidRPr="003416F8">
        <w:rPr>
          <w:bCs/>
          <w:szCs w:val="22"/>
          <w:lang w:val="es-ES"/>
        </w:rPr>
        <w:t xml:space="preserve">559 </w:t>
      </w:r>
      <w:r w:rsidRPr="003416F8">
        <w:rPr>
          <w:bCs/>
          <w:szCs w:val="22"/>
          <w:lang w:val="es-ES"/>
        </w:rPr>
        <w:t>sería el siguiente</w:t>
      </w:r>
      <w:r w:rsidR="00EA137E" w:rsidRPr="003416F8">
        <w:rPr>
          <w:bCs/>
          <w:szCs w:val="22"/>
          <w:lang w:val="es-ES"/>
        </w:rPr>
        <w:t xml:space="preserve"> (</w:t>
      </w:r>
      <w:r w:rsidRPr="003416F8">
        <w:rPr>
          <w:bCs/>
          <w:szCs w:val="22"/>
          <w:lang w:val="es-ES"/>
        </w:rPr>
        <w:t>la modificación figura subrayada</w:t>
      </w:r>
      <w:r w:rsidR="00EA137E" w:rsidRPr="003416F8">
        <w:rPr>
          <w:bCs/>
          <w:szCs w:val="22"/>
          <w:lang w:val="es-ES"/>
        </w:rPr>
        <w:t>)</w:t>
      </w:r>
    </w:p>
    <w:p w:rsidR="007132C6" w:rsidRPr="003416F8" w:rsidRDefault="007132C6" w:rsidP="007132C6">
      <w:pPr>
        <w:ind w:left="284"/>
        <w:rPr>
          <w:szCs w:val="22"/>
          <w:u w:val="single"/>
          <w:lang w:val="es-ES"/>
        </w:rPr>
      </w:pPr>
      <w:r w:rsidRPr="003416F8">
        <w:rPr>
          <w:szCs w:val="22"/>
          <w:lang w:val="es-ES"/>
        </w:rPr>
        <w:t xml:space="preserve">(554) Marca tridimensional </w:t>
      </w:r>
      <w:r w:rsidRPr="003416F8">
        <w:rPr>
          <w:szCs w:val="22"/>
          <w:u w:val="single"/>
          <w:lang w:val="es-ES"/>
        </w:rPr>
        <w:t>o marca de forma</w:t>
      </w:r>
    </w:p>
    <w:p w:rsidR="007132C6" w:rsidRPr="003416F8" w:rsidRDefault="007132C6" w:rsidP="007132C6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>(555) Marca holograma</w:t>
      </w:r>
    </w:p>
    <w:p w:rsidR="007132C6" w:rsidRPr="003416F8" w:rsidRDefault="007132C6" w:rsidP="007132C6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>(556) Marca sonora, incluidas las características</w:t>
      </w:r>
    </w:p>
    <w:p w:rsidR="007132C6" w:rsidRPr="003416F8" w:rsidRDefault="007132C6" w:rsidP="007132C6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>(557) Marca olfativa, incluidas las características</w:t>
      </w:r>
    </w:p>
    <w:p w:rsidR="00001DFB" w:rsidRPr="003416F8" w:rsidRDefault="007132C6" w:rsidP="007132C6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>(558) Marca consistente exclusivamente en uno o varios colores</w:t>
      </w:r>
    </w:p>
    <w:p w:rsidR="007132C6" w:rsidRPr="003416F8" w:rsidRDefault="007132C6" w:rsidP="007132C6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 xml:space="preserve">(559) </w:t>
      </w:r>
      <w:r w:rsidRPr="003416F8">
        <w:rPr>
          <w:szCs w:val="22"/>
          <w:u w:val="single"/>
          <w:lang w:val="es-ES"/>
        </w:rPr>
        <w:t>Otro tipo de marca</w:t>
      </w:r>
      <w:r w:rsidRPr="003416F8">
        <w:rPr>
          <w:szCs w:val="22"/>
          <w:lang w:val="es-ES"/>
        </w:rPr>
        <w:t>.</w:t>
      </w:r>
    </w:p>
    <w:p w:rsidR="00001DFB" w:rsidRPr="003416F8" w:rsidRDefault="00001DFB" w:rsidP="00F47B4D">
      <w:pPr>
        <w:pStyle w:val="Heading3"/>
        <w:rPr>
          <w:b/>
          <w:szCs w:val="22"/>
          <w:u w:val="none"/>
          <w:lang w:val="es-ES"/>
        </w:rPr>
      </w:pPr>
      <w:r w:rsidRPr="003416F8">
        <w:rPr>
          <w:b/>
          <w:u w:val="none"/>
          <w:lang w:val="es-ES"/>
        </w:rPr>
        <w:t>Propuesta óptima</w:t>
      </w:r>
    </w:p>
    <w:p w:rsidR="00001DFB" w:rsidRPr="003416F8" w:rsidRDefault="007132C6" w:rsidP="00001DFB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t>Además de lo antedicho</w:t>
      </w:r>
      <w:r w:rsidR="00EA137E" w:rsidRPr="003416F8">
        <w:rPr>
          <w:szCs w:val="22"/>
          <w:lang w:val="es-ES"/>
        </w:rPr>
        <w:t xml:space="preserve">, </w:t>
      </w:r>
      <w:r w:rsidRPr="003416F8">
        <w:rPr>
          <w:szCs w:val="22"/>
          <w:lang w:val="es-ES"/>
        </w:rPr>
        <w:t xml:space="preserve">la EUIPO </w:t>
      </w:r>
      <w:r w:rsidR="002665E6">
        <w:rPr>
          <w:szCs w:val="22"/>
          <w:lang w:val="es-ES"/>
        </w:rPr>
        <w:t>formula</w:t>
      </w:r>
      <w:r w:rsidRPr="003416F8">
        <w:rPr>
          <w:szCs w:val="22"/>
          <w:lang w:val="es-ES"/>
        </w:rPr>
        <w:t xml:space="preserve"> una propuesta m</w:t>
      </w:r>
      <w:r w:rsidR="00CD322D" w:rsidRPr="003416F8">
        <w:rPr>
          <w:szCs w:val="22"/>
          <w:lang w:val="es-ES"/>
        </w:rPr>
        <w:t>ás</w:t>
      </w:r>
      <w:r w:rsidRPr="003416F8">
        <w:rPr>
          <w:szCs w:val="22"/>
          <w:lang w:val="es-ES"/>
        </w:rPr>
        <w:t xml:space="preserve"> detallada</w:t>
      </w:r>
      <w:r w:rsidR="00EA137E" w:rsidRPr="003416F8">
        <w:rPr>
          <w:szCs w:val="22"/>
          <w:lang w:val="es-ES"/>
        </w:rPr>
        <w:t xml:space="preserve"> </w:t>
      </w:r>
      <w:r w:rsidR="00CD322D" w:rsidRPr="003416F8">
        <w:rPr>
          <w:szCs w:val="22"/>
          <w:lang w:val="es-ES"/>
        </w:rPr>
        <w:t>y avanzada</w:t>
      </w:r>
      <w:r w:rsidR="00EA137E" w:rsidRPr="003416F8">
        <w:rPr>
          <w:szCs w:val="22"/>
          <w:lang w:val="es-ES"/>
        </w:rPr>
        <w:t xml:space="preserve">, </w:t>
      </w:r>
      <w:r w:rsidR="00CD322D" w:rsidRPr="003416F8">
        <w:rPr>
          <w:szCs w:val="22"/>
          <w:lang w:val="es-ES"/>
        </w:rPr>
        <w:t>que no incidiría en los códigos existentes</w:t>
      </w:r>
      <w:r w:rsidR="00EA137E" w:rsidRPr="003416F8">
        <w:rPr>
          <w:szCs w:val="22"/>
          <w:lang w:val="es-ES"/>
        </w:rPr>
        <w:t xml:space="preserve">, </w:t>
      </w:r>
      <w:r w:rsidR="00CD322D" w:rsidRPr="003416F8">
        <w:rPr>
          <w:szCs w:val="22"/>
          <w:lang w:val="es-ES"/>
        </w:rPr>
        <w:t>sino que se añadiría a ellos.</w:t>
      </w:r>
    </w:p>
    <w:p w:rsidR="00001DFB" w:rsidRPr="003416F8" w:rsidRDefault="00CD322D" w:rsidP="00EA137E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t>En el marco de la propuesta de la EUIPO</w:t>
      </w:r>
      <w:r w:rsidR="00EA137E" w:rsidRPr="003416F8">
        <w:rPr>
          <w:szCs w:val="22"/>
          <w:lang w:val="es-ES"/>
        </w:rPr>
        <w:t xml:space="preserve"> </w:t>
      </w:r>
      <w:r w:rsidRPr="003416F8">
        <w:rPr>
          <w:szCs w:val="22"/>
          <w:lang w:val="es-ES"/>
        </w:rPr>
        <w:t>simplificada</w:t>
      </w:r>
      <w:r w:rsidR="00EA137E" w:rsidRPr="003416F8">
        <w:rPr>
          <w:szCs w:val="22"/>
          <w:lang w:val="es-ES"/>
        </w:rPr>
        <w:t xml:space="preserve">, </w:t>
      </w:r>
      <w:r w:rsidRPr="003416F8">
        <w:rPr>
          <w:szCs w:val="22"/>
          <w:lang w:val="es-ES"/>
        </w:rPr>
        <w:t xml:space="preserve">también se sugiere incluir una mención específica </w:t>
      </w:r>
      <w:r w:rsidR="00EA137E" w:rsidRPr="003416F8">
        <w:rPr>
          <w:szCs w:val="22"/>
          <w:lang w:val="es-ES"/>
        </w:rPr>
        <w:t>(e</w:t>
      </w:r>
      <w:r w:rsidRPr="003416F8">
        <w:rPr>
          <w:szCs w:val="22"/>
          <w:lang w:val="es-ES"/>
        </w:rPr>
        <w:t>s decir, un código</w:t>
      </w:r>
      <w:r w:rsidR="00EA137E" w:rsidRPr="003416F8">
        <w:rPr>
          <w:szCs w:val="22"/>
          <w:lang w:val="es-ES"/>
        </w:rPr>
        <w:t xml:space="preserve"> INID</w:t>
      </w:r>
      <w:r w:rsidRPr="003416F8">
        <w:rPr>
          <w:szCs w:val="22"/>
          <w:lang w:val="es-ES"/>
        </w:rPr>
        <w:t xml:space="preserve"> propio</w:t>
      </w:r>
      <w:r w:rsidR="00EA137E" w:rsidRPr="003416F8">
        <w:rPr>
          <w:szCs w:val="22"/>
          <w:lang w:val="es-ES"/>
        </w:rPr>
        <w:t xml:space="preserve">) </w:t>
      </w:r>
      <w:r w:rsidRPr="003416F8">
        <w:rPr>
          <w:szCs w:val="22"/>
          <w:lang w:val="es-ES"/>
        </w:rPr>
        <w:t>para todos los tipos de marcas.</w:t>
      </w:r>
    </w:p>
    <w:p w:rsidR="00001DFB" w:rsidRPr="003416F8" w:rsidRDefault="00CD322D" w:rsidP="00EA137E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t>E</w:t>
      </w:r>
      <w:r w:rsidR="00EA137E" w:rsidRPr="003416F8">
        <w:rPr>
          <w:szCs w:val="22"/>
          <w:lang w:val="es-ES"/>
        </w:rPr>
        <w:t xml:space="preserve">n </w:t>
      </w:r>
      <w:r w:rsidRPr="003416F8">
        <w:rPr>
          <w:szCs w:val="22"/>
          <w:lang w:val="es-ES"/>
        </w:rPr>
        <w:t>algunos</w:t>
      </w:r>
      <w:r w:rsidR="00EA137E" w:rsidRPr="003416F8">
        <w:rPr>
          <w:szCs w:val="22"/>
          <w:lang w:val="es-ES"/>
        </w:rPr>
        <w:t xml:space="preserve"> </w:t>
      </w:r>
      <w:r w:rsidRPr="003416F8">
        <w:rPr>
          <w:szCs w:val="22"/>
          <w:lang w:val="es-ES"/>
        </w:rPr>
        <w:t>caso</w:t>
      </w:r>
      <w:r w:rsidR="00EA137E" w:rsidRPr="003416F8">
        <w:rPr>
          <w:szCs w:val="22"/>
          <w:lang w:val="es-ES"/>
        </w:rPr>
        <w:t xml:space="preserve">s, </w:t>
      </w:r>
      <w:r w:rsidR="00742055" w:rsidRPr="003416F8">
        <w:rPr>
          <w:szCs w:val="22"/>
          <w:lang w:val="es-ES"/>
        </w:rPr>
        <w:t>en la propuesta se fusionan tipos de marcas</w:t>
      </w:r>
      <w:r w:rsidR="00EA137E" w:rsidRPr="003416F8">
        <w:rPr>
          <w:szCs w:val="22"/>
          <w:lang w:val="es-ES"/>
        </w:rPr>
        <w:t xml:space="preserve">, </w:t>
      </w:r>
      <w:r w:rsidR="00742055" w:rsidRPr="003416F8">
        <w:rPr>
          <w:szCs w:val="22"/>
          <w:lang w:val="es-ES"/>
        </w:rPr>
        <w:t>principalmente debido a la disponibilidad limitada</w:t>
      </w:r>
      <w:r w:rsidR="002665E6">
        <w:rPr>
          <w:szCs w:val="22"/>
          <w:lang w:val="es-ES"/>
        </w:rPr>
        <w:t>,</w:t>
      </w:r>
      <w:r w:rsidR="00742055" w:rsidRPr="003416F8">
        <w:rPr>
          <w:szCs w:val="22"/>
          <w:lang w:val="es-ES"/>
        </w:rPr>
        <w:t xml:space="preserve"> </w:t>
      </w:r>
      <w:r w:rsidR="002665E6" w:rsidRPr="003416F8">
        <w:rPr>
          <w:szCs w:val="22"/>
          <w:lang w:val="es-ES"/>
        </w:rPr>
        <w:t>en la sección en cuestión</w:t>
      </w:r>
      <w:r w:rsidR="002665E6">
        <w:rPr>
          <w:szCs w:val="22"/>
          <w:lang w:val="es-ES"/>
        </w:rPr>
        <w:t>,</w:t>
      </w:r>
      <w:r w:rsidR="002665E6" w:rsidRPr="003416F8">
        <w:rPr>
          <w:szCs w:val="22"/>
          <w:lang w:val="es-ES"/>
        </w:rPr>
        <w:t xml:space="preserve"> </w:t>
      </w:r>
      <w:r w:rsidR="00742055" w:rsidRPr="003416F8">
        <w:rPr>
          <w:szCs w:val="22"/>
          <w:lang w:val="es-ES"/>
        </w:rPr>
        <w:t>de números de códigos</w:t>
      </w:r>
      <w:r w:rsidR="00EA137E" w:rsidRPr="003416F8">
        <w:rPr>
          <w:szCs w:val="22"/>
          <w:lang w:val="es-ES"/>
        </w:rPr>
        <w:t xml:space="preserve"> INID </w:t>
      </w:r>
      <w:r w:rsidR="002665E6">
        <w:rPr>
          <w:szCs w:val="22"/>
          <w:lang w:val="es-ES"/>
        </w:rPr>
        <w:t>sin utilizar</w:t>
      </w:r>
      <w:r w:rsidR="00EA137E" w:rsidRPr="003416F8">
        <w:rPr>
          <w:szCs w:val="22"/>
          <w:lang w:val="es-ES"/>
        </w:rPr>
        <w:t xml:space="preserve">. </w:t>
      </w:r>
      <w:r w:rsidR="00742055" w:rsidRPr="003416F8">
        <w:rPr>
          <w:szCs w:val="22"/>
          <w:lang w:val="es-ES"/>
        </w:rPr>
        <w:t>La sugerencia es la siguiente</w:t>
      </w:r>
      <w:r w:rsidR="00EA137E" w:rsidRPr="003416F8">
        <w:rPr>
          <w:szCs w:val="22"/>
          <w:lang w:val="es-ES"/>
        </w:rPr>
        <w:t xml:space="preserve"> (</w:t>
      </w:r>
      <w:r w:rsidR="00742055" w:rsidRPr="003416F8">
        <w:rPr>
          <w:szCs w:val="22"/>
          <w:lang w:val="es-ES"/>
        </w:rPr>
        <w:t>la modificación adicional sugerida figura e</w:t>
      </w:r>
      <w:r w:rsidR="002665E6">
        <w:rPr>
          <w:szCs w:val="22"/>
          <w:lang w:val="es-ES"/>
        </w:rPr>
        <w:t>n</w:t>
      </w:r>
      <w:r w:rsidR="00742055" w:rsidRPr="003416F8">
        <w:rPr>
          <w:szCs w:val="22"/>
          <w:lang w:val="es-ES"/>
        </w:rPr>
        <w:t xml:space="preserve"> letra cursiva y subrayada</w:t>
      </w:r>
      <w:r w:rsidR="00EA137E" w:rsidRPr="003416F8">
        <w:rPr>
          <w:szCs w:val="22"/>
          <w:lang w:val="es-ES"/>
        </w:rPr>
        <w:t>):</w:t>
      </w:r>
    </w:p>
    <w:p w:rsidR="00001DFB" w:rsidRPr="003416F8" w:rsidRDefault="00EA137E" w:rsidP="00EA137E">
      <w:pPr>
        <w:ind w:left="284"/>
        <w:rPr>
          <w:bCs/>
          <w:i/>
          <w:szCs w:val="22"/>
          <w:u w:val="single"/>
          <w:lang w:val="es-ES"/>
        </w:rPr>
      </w:pPr>
      <w:r w:rsidRPr="003416F8">
        <w:rPr>
          <w:szCs w:val="22"/>
          <w:u w:val="single"/>
          <w:lang w:val="es-ES"/>
        </w:rPr>
        <w:t>(547)</w:t>
      </w:r>
      <w:r w:rsidRPr="003416F8">
        <w:rPr>
          <w:bCs/>
          <w:i/>
          <w:szCs w:val="22"/>
          <w:u w:val="single"/>
          <w:lang w:val="es-ES"/>
        </w:rPr>
        <w:t xml:space="preserve"> </w:t>
      </w:r>
      <w:r w:rsidR="00492577" w:rsidRPr="003416F8">
        <w:rPr>
          <w:bCs/>
          <w:i/>
          <w:szCs w:val="22"/>
          <w:u w:val="single"/>
          <w:lang w:val="es-ES"/>
        </w:rPr>
        <w:t>Marca denominativa</w:t>
      </w:r>
    </w:p>
    <w:p w:rsidR="00001DFB" w:rsidRPr="003416F8" w:rsidRDefault="00EA137E" w:rsidP="00EA137E">
      <w:pPr>
        <w:ind w:left="284"/>
        <w:rPr>
          <w:bCs/>
          <w:i/>
          <w:szCs w:val="22"/>
          <w:u w:val="single"/>
          <w:lang w:val="es-ES"/>
        </w:rPr>
      </w:pPr>
      <w:r w:rsidRPr="003416F8">
        <w:rPr>
          <w:szCs w:val="22"/>
          <w:u w:val="single"/>
          <w:lang w:val="es-ES"/>
        </w:rPr>
        <w:t>(548)</w:t>
      </w:r>
      <w:r w:rsidRPr="003416F8">
        <w:rPr>
          <w:bCs/>
          <w:i/>
          <w:szCs w:val="22"/>
          <w:u w:val="single"/>
          <w:lang w:val="es-ES"/>
        </w:rPr>
        <w:t xml:space="preserve"> </w:t>
      </w:r>
      <w:r w:rsidR="00492577" w:rsidRPr="003416F8">
        <w:rPr>
          <w:bCs/>
          <w:i/>
          <w:szCs w:val="22"/>
          <w:u w:val="single"/>
          <w:lang w:val="es-ES"/>
        </w:rPr>
        <w:t>Marca figurativa</w:t>
      </w:r>
    </w:p>
    <w:p w:rsidR="00001DFB" w:rsidRPr="003416F8" w:rsidRDefault="00EA137E" w:rsidP="00EA137E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>…</w:t>
      </w:r>
    </w:p>
    <w:p w:rsidR="00001DFB" w:rsidRPr="003416F8" w:rsidRDefault="00EA137E" w:rsidP="00EA137E">
      <w:pPr>
        <w:ind w:left="284"/>
        <w:rPr>
          <w:bCs/>
          <w:i/>
          <w:szCs w:val="22"/>
          <w:u w:val="single"/>
          <w:lang w:val="es-ES"/>
        </w:rPr>
      </w:pPr>
      <w:r w:rsidRPr="003416F8">
        <w:rPr>
          <w:szCs w:val="22"/>
          <w:u w:val="single"/>
          <w:lang w:val="es-ES"/>
        </w:rPr>
        <w:t>(</w:t>
      </w:r>
      <w:r w:rsidRPr="003416F8">
        <w:rPr>
          <w:i/>
          <w:szCs w:val="22"/>
          <w:u w:val="single"/>
          <w:lang w:val="es-ES"/>
        </w:rPr>
        <w:t xml:space="preserve">552) </w:t>
      </w:r>
      <w:r w:rsidR="00492577" w:rsidRPr="003416F8">
        <w:rPr>
          <w:bCs/>
          <w:i/>
          <w:szCs w:val="22"/>
          <w:u w:val="single"/>
          <w:lang w:val="es-ES"/>
        </w:rPr>
        <w:t>Marca de posición o marca de patrón</w:t>
      </w:r>
    </w:p>
    <w:p w:rsidR="00001DFB" w:rsidRPr="003416F8" w:rsidRDefault="00EA137E" w:rsidP="00EA137E">
      <w:pPr>
        <w:ind w:left="284"/>
        <w:rPr>
          <w:bCs/>
          <w:i/>
          <w:szCs w:val="22"/>
          <w:u w:val="single"/>
          <w:lang w:val="es-ES"/>
        </w:rPr>
      </w:pPr>
      <w:r w:rsidRPr="003416F8">
        <w:rPr>
          <w:szCs w:val="22"/>
          <w:u w:val="single"/>
          <w:lang w:val="es-ES"/>
        </w:rPr>
        <w:t>(553)</w:t>
      </w:r>
      <w:r w:rsidRPr="003416F8">
        <w:rPr>
          <w:i/>
          <w:szCs w:val="22"/>
          <w:u w:val="single"/>
          <w:lang w:val="es-ES"/>
        </w:rPr>
        <w:t xml:space="preserve"> </w:t>
      </w:r>
      <w:r w:rsidRPr="003416F8">
        <w:rPr>
          <w:bCs/>
          <w:i/>
          <w:szCs w:val="22"/>
          <w:u w:val="single"/>
          <w:lang w:val="es-ES"/>
        </w:rPr>
        <w:t>M</w:t>
      </w:r>
      <w:r w:rsidR="00492577" w:rsidRPr="003416F8">
        <w:rPr>
          <w:bCs/>
          <w:i/>
          <w:szCs w:val="22"/>
          <w:u w:val="single"/>
          <w:lang w:val="es-ES"/>
        </w:rPr>
        <w:t>arca de movimiento o marca multimedia</w:t>
      </w:r>
    </w:p>
    <w:p w:rsidR="00001DFB" w:rsidRPr="003416F8" w:rsidRDefault="00EA137E" w:rsidP="00EA137E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 xml:space="preserve">(554) </w:t>
      </w:r>
      <w:r w:rsidR="00492577" w:rsidRPr="003416F8">
        <w:rPr>
          <w:szCs w:val="22"/>
          <w:lang w:val="es-ES"/>
        </w:rPr>
        <w:t xml:space="preserve">Marca </w:t>
      </w:r>
      <w:r w:rsidR="002665E6">
        <w:rPr>
          <w:szCs w:val="22"/>
          <w:lang w:val="es-ES"/>
        </w:rPr>
        <w:t>tri</w:t>
      </w:r>
      <w:r w:rsidRPr="003416F8">
        <w:rPr>
          <w:szCs w:val="22"/>
          <w:lang w:val="es-ES"/>
        </w:rPr>
        <w:t xml:space="preserve">dimensional </w:t>
      </w:r>
      <w:r w:rsidRPr="003416F8">
        <w:rPr>
          <w:bCs/>
          <w:szCs w:val="22"/>
          <w:u w:val="single"/>
          <w:lang w:val="es-ES"/>
        </w:rPr>
        <w:t xml:space="preserve">o </w:t>
      </w:r>
      <w:r w:rsidR="00492577" w:rsidRPr="003416F8">
        <w:rPr>
          <w:u w:val="single"/>
          <w:lang w:val="es-ES"/>
        </w:rPr>
        <w:t>marca de forma</w:t>
      </w:r>
    </w:p>
    <w:p w:rsidR="00001DFB" w:rsidRPr="003416F8" w:rsidRDefault="00492577" w:rsidP="00001DFB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>(</w:t>
      </w:r>
      <w:r w:rsidR="00001DFB" w:rsidRPr="003416F8">
        <w:rPr>
          <w:szCs w:val="22"/>
          <w:lang w:val="es-ES"/>
        </w:rPr>
        <w:t>555</w:t>
      </w:r>
      <w:r w:rsidRPr="003416F8">
        <w:rPr>
          <w:szCs w:val="22"/>
          <w:lang w:val="es-ES"/>
        </w:rPr>
        <w:t>)</w:t>
      </w:r>
      <w:r w:rsidR="00001DFB" w:rsidRPr="003416F8">
        <w:rPr>
          <w:szCs w:val="22"/>
          <w:lang w:val="es-ES"/>
        </w:rPr>
        <w:t xml:space="preserve"> </w:t>
      </w:r>
      <w:r w:rsidRPr="003416F8">
        <w:rPr>
          <w:szCs w:val="22"/>
          <w:lang w:val="es-ES"/>
        </w:rPr>
        <w:t>Marca de holograma</w:t>
      </w:r>
    </w:p>
    <w:p w:rsidR="00001DFB" w:rsidRPr="003416F8" w:rsidRDefault="00EA137E" w:rsidP="00EA137E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 xml:space="preserve">(556) </w:t>
      </w:r>
      <w:r w:rsidR="00492577" w:rsidRPr="003416F8">
        <w:rPr>
          <w:szCs w:val="22"/>
          <w:lang w:val="es-ES"/>
        </w:rPr>
        <w:t>Maca sonora, incluidas las características</w:t>
      </w:r>
    </w:p>
    <w:p w:rsidR="00001DFB" w:rsidRPr="003416F8" w:rsidRDefault="00EA137E" w:rsidP="00EA137E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 xml:space="preserve">(557) </w:t>
      </w:r>
      <w:r w:rsidR="00492577" w:rsidRPr="003416F8">
        <w:rPr>
          <w:szCs w:val="22"/>
          <w:lang w:val="es-ES"/>
        </w:rPr>
        <w:t>Marca olfativa, incluidas las características</w:t>
      </w:r>
    </w:p>
    <w:p w:rsidR="00001DFB" w:rsidRPr="003416F8" w:rsidRDefault="00492577" w:rsidP="00001DFB">
      <w:pPr>
        <w:ind w:left="284"/>
        <w:rPr>
          <w:szCs w:val="22"/>
          <w:lang w:val="es-ES"/>
        </w:rPr>
      </w:pPr>
      <w:r w:rsidRPr="003416F8">
        <w:rPr>
          <w:szCs w:val="22"/>
          <w:lang w:val="es-ES"/>
        </w:rPr>
        <w:t>(558) Ma</w:t>
      </w:r>
      <w:r w:rsidR="00001DFB" w:rsidRPr="003416F8">
        <w:rPr>
          <w:szCs w:val="22"/>
          <w:lang w:val="es-ES"/>
        </w:rPr>
        <w:t xml:space="preserve">rca </w:t>
      </w:r>
      <w:r w:rsidRPr="003416F8">
        <w:rPr>
          <w:szCs w:val="22"/>
          <w:lang w:val="es-ES"/>
        </w:rPr>
        <w:t>consistente exclusivamente en uno o varios colores</w:t>
      </w:r>
    </w:p>
    <w:p w:rsidR="00001DFB" w:rsidRPr="003416F8" w:rsidRDefault="00492577" w:rsidP="00001DFB">
      <w:pPr>
        <w:ind w:left="284"/>
        <w:rPr>
          <w:szCs w:val="22"/>
          <w:u w:val="single"/>
          <w:lang w:val="es-ES"/>
        </w:rPr>
      </w:pPr>
      <w:r w:rsidRPr="003416F8">
        <w:rPr>
          <w:bCs/>
          <w:szCs w:val="22"/>
          <w:u w:val="single"/>
          <w:lang w:val="es-ES"/>
        </w:rPr>
        <w:t>(</w:t>
      </w:r>
      <w:r w:rsidR="00001DFB" w:rsidRPr="003416F8">
        <w:rPr>
          <w:bCs/>
          <w:szCs w:val="22"/>
          <w:u w:val="single"/>
          <w:lang w:val="es-ES"/>
        </w:rPr>
        <w:t>559</w:t>
      </w:r>
      <w:r w:rsidRPr="003416F8">
        <w:rPr>
          <w:bCs/>
          <w:szCs w:val="22"/>
          <w:u w:val="single"/>
          <w:lang w:val="es-ES"/>
        </w:rPr>
        <w:t>)</w:t>
      </w:r>
      <w:r w:rsidR="00001DFB" w:rsidRPr="003416F8">
        <w:rPr>
          <w:bCs/>
          <w:szCs w:val="22"/>
          <w:u w:val="single"/>
          <w:lang w:val="es-ES"/>
        </w:rPr>
        <w:t xml:space="preserve"> </w:t>
      </w:r>
      <w:r w:rsidRPr="003416F8">
        <w:rPr>
          <w:bCs/>
          <w:szCs w:val="22"/>
          <w:u w:val="single"/>
          <w:lang w:val="es-ES"/>
        </w:rPr>
        <w:t>Otro tipo de marca</w:t>
      </w:r>
    </w:p>
    <w:p w:rsidR="00001DFB" w:rsidRPr="003416F8" w:rsidRDefault="00001DFB" w:rsidP="00EA137E">
      <w:pPr>
        <w:rPr>
          <w:szCs w:val="22"/>
          <w:lang w:val="es-ES"/>
        </w:rPr>
      </w:pPr>
    </w:p>
    <w:p w:rsidR="00001DFB" w:rsidRPr="003416F8" w:rsidRDefault="00492577" w:rsidP="004937CF">
      <w:pPr>
        <w:pStyle w:val="ONUME"/>
        <w:rPr>
          <w:bCs/>
          <w:szCs w:val="22"/>
          <w:lang w:val="es-ES"/>
        </w:rPr>
      </w:pPr>
      <w:r w:rsidRPr="003416F8">
        <w:rPr>
          <w:szCs w:val="22"/>
          <w:lang w:val="es-ES"/>
        </w:rPr>
        <w:t xml:space="preserve">La propuesta se basa en los tipos de marca que </w:t>
      </w:r>
      <w:r w:rsidR="002665E6">
        <w:rPr>
          <w:szCs w:val="22"/>
          <w:lang w:val="es-ES"/>
        </w:rPr>
        <w:t>figuran</w:t>
      </w:r>
      <w:r w:rsidRPr="003416F8">
        <w:rPr>
          <w:szCs w:val="22"/>
          <w:lang w:val="es-ES"/>
        </w:rPr>
        <w:t xml:space="preserve"> en el Reglamento de Ejecución </w:t>
      </w:r>
      <w:r w:rsidRPr="003416F8">
        <w:rPr>
          <w:bCs/>
          <w:szCs w:val="22"/>
          <w:lang w:val="es-ES"/>
        </w:rPr>
        <w:t>relativo a la marca de la Unión Europea</w:t>
      </w:r>
      <w:r w:rsidRPr="003416F8">
        <w:rPr>
          <w:szCs w:val="22"/>
          <w:lang w:val="es-ES"/>
        </w:rPr>
        <w:t xml:space="preserve"> </w:t>
      </w:r>
      <w:r w:rsidR="00EA137E" w:rsidRPr="003416F8">
        <w:rPr>
          <w:szCs w:val="22"/>
          <w:lang w:val="es-ES"/>
        </w:rPr>
        <w:t>(</w:t>
      </w:r>
      <w:r w:rsidRPr="003416F8">
        <w:rPr>
          <w:szCs w:val="22"/>
          <w:lang w:val="es-ES"/>
        </w:rPr>
        <w:t>mencionado anteriormente</w:t>
      </w:r>
      <w:r w:rsidR="00EA137E" w:rsidRPr="003416F8">
        <w:rPr>
          <w:szCs w:val="22"/>
          <w:lang w:val="es-ES"/>
        </w:rPr>
        <w:t>)</w:t>
      </w:r>
      <w:r w:rsidRPr="003416F8">
        <w:rPr>
          <w:szCs w:val="22"/>
          <w:lang w:val="es-ES"/>
        </w:rPr>
        <w:t>, aunque podrían también incluirse o tomarse en consideración otros tipos de marcas.</w:t>
      </w:r>
    </w:p>
    <w:p w:rsidR="00492577" w:rsidRPr="003416F8" w:rsidRDefault="00492577" w:rsidP="00152C98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t>La aceptación de los nuevos códigos que figuran más arriba</w:t>
      </w:r>
      <w:r w:rsidR="00EA137E" w:rsidRPr="003416F8">
        <w:rPr>
          <w:szCs w:val="22"/>
          <w:lang w:val="es-ES"/>
        </w:rPr>
        <w:t xml:space="preserve"> </w:t>
      </w:r>
      <w:r w:rsidRPr="003416F8">
        <w:rPr>
          <w:szCs w:val="22"/>
          <w:lang w:val="es-ES"/>
        </w:rPr>
        <w:t>no afectaría a las oficinas que utilizan actualmente el código</w:t>
      </w:r>
      <w:r w:rsidR="00EA137E" w:rsidRPr="003416F8">
        <w:rPr>
          <w:szCs w:val="22"/>
          <w:lang w:val="es-ES"/>
        </w:rPr>
        <w:t xml:space="preserve"> INID (550) </w:t>
      </w:r>
      <w:r w:rsidRPr="003416F8">
        <w:rPr>
          <w:szCs w:val="22"/>
          <w:lang w:val="es-ES"/>
        </w:rPr>
        <w:t>para indicar con palabras la naturaleza del tipo de marca</w:t>
      </w:r>
      <w:r w:rsidR="00F6364C" w:rsidRPr="003416F8">
        <w:rPr>
          <w:szCs w:val="22"/>
          <w:lang w:val="es-ES"/>
        </w:rPr>
        <w:t xml:space="preserve">. </w:t>
      </w:r>
      <w:r w:rsidRPr="003416F8">
        <w:rPr>
          <w:szCs w:val="22"/>
          <w:lang w:val="es-ES"/>
        </w:rPr>
        <w:t>Para las oficinas que utilizan los códigos INID existentes</w:t>
      </w:r>
      <w:r w:rsidR="00EA137E" w:rsidRPr="003416F8">
        <w:rPr>
          <w:szCs w:val="22"/>
          <w:lang w:val="es-ES"/>
        </w:rPr>
        <w:t xml:space="preserve"> (554) </w:t>
      </w:r>
      <w:r w:rsidRPr="003416F8">
        <w:rPr>
          <w:szCs w:val="22"/>
          <w:lang w:val="es-ES"/>
        </w:rPr>
        <w:t xml:space="preserve">a </w:t>
      </w:r>
      <w:r w:rsidR="00EA137E" w:rsidRPr="003416F8">
        <w:rPr>
          <w:szCs w:val="22"/>
          <w:lang w:val="es-ES"/>
        </w:rPr>
        <w:t xml:space="preserve">(558) </w:t>
      </w:r>
      <w:r w:rsidRPr="003416F8">
        <w:rPr>
          <w:szCs w:val="22"/>
          <w:lang w:val="es-ES"/>
        </w:rPr>
        <w:t>con una indicación</w:t>
      </w:r>
      <w:r w:rsidRPr="003416F8">
        <w:rPr>
          <w:bCs/>
          <w:szCs w:val="22"/>
          <w:lang w:val="es-ES"/>
        </w:rPr>
        <w:t xml:space="preserve"> “sí – no” o</w:t>
      </w:r>
      <w:r w:rsidR="00EA137E" w:rsidRPr="003416F8">
        <w:rPr>
          <w:bCs/>
          <w:szCs w:val="22"/>
          <w:lang w:val="es-ES"/>
        </w:rPr>
        <w:t xml:space="preserve">, </w:t>
      </w:r>
      <w:r w:rsidRPr="003416F8">
        <w:rPr>
          <w:bCs/>
          <w:szCs w:val="22"/>
          <w:lang w:val="es-ES"/>
        </w:rPr>
        <w:t>p</w:t>
      </w:r>
      <w:r w:rsidR="00EA137E" w:rsidRPr="003416F8">
        <w:rPr>
          <w:bCs/>
          <w:szCs w:val="22"/>
          <w:lang w:val="es-ES"/>
        </w:rPr>
        <w:t>or e</w:t>
      </w:r>
      <w:r w:rsidRPr="003416F8">
        <w:rPr>
          <w:bCs/>
          <w:szCs w:val="22"/>
          <w:lang w:val="es-ES"/>
        </w:rPr>
        <w:t>jemplo, un indicador</w:t>
      </w:r>
      <w:r w:rsidR="00EA137E" w:rsidRPr="003416F8">
        <w:rPr>
          <w:bCs/>
          <w:szCs w:val="22"/>
          <w:lang w:val="es-ES"/>
        </w:rPr>
        <w:t xml:space="preserve"> Boolean</w:t>
      </w:r>
      <w:r w:rsidRPr="003416F8">
        <w:rPr>
          <w:bCs/>
          <w:szCs w:val="22"/>
          <w:lang w:val="es-ES"/>
        </w:rPr>
        <w:t>o</w:t>
      </w:r>
      <w:r w:rsidR="00EA137E" w:rsidRPr="003416F8">
        <w:rPr>
          <w:bCs/>
          <w:szCs w:val="22"/>
          <w:lang w:val="es-ES"/>
        </w:rPr>
        <w:t xml:space="preserve"> </w:t>
      </w:r>
      <w:r w:rsidRPr="003416F8">
        <w:rPr>
          <w:bCs/>
          <w:szCs w:val="22"/>
          <w:lang w:val="es-ES"/>
        </w:rPr>
        <w:t>“verdadero</w:t>
      </w:r>
      <w:r w:rsidR="00EA137E" w:rsidRPr="003416F8">
        <w:rPr>
          <w:bCs/>
          <w:szCs w:val="22"/>
          <w:lang w:val="es-ES"/>
        </w:rPr>
        <w:t>/fals</w:t>
      </w:r>
      <w:r w:rsidRPr="003416F8">
        <w:rPr>
          <w:bCs/>
          <w:szCs w:val="22"/>
          <w:lang w:val="es-ES"/>
        </w:rPr>
        <w:t>o”</w:t>
      </w:r>
      <w:r w:rsidR="00EA137E" w:rsidRPr="003416F8">
        <w:rPr>
          <w:bCs/>
          <w:szCs w:val="22"/>
          <w:lang w:val="es-ES"/>
        </w:rPr>
        <w:t xml:space="preserve"> (</w:t>
      </w:r>
      <w:r w:rsidRPr="003416F8">
        <w:rPr>
          <w:bCs/>
          <w:szCs w:val="22"/>
          <w:lang w:val="es-ES"/>
        </w:rPr>
        <w:t>por ejemplo, un valor</w:t>
      </w:r>
      <w:r w:rsidR="00EA137E" w:rsidRPr="003416F8">
        <w:rPr>
          <w:bCs/>
          <w:szCs w:val="22"/>
          <w:lang w:val="es-ES"/>
        </w:rPr>
        <w:t xml:space="preserve"> 0 - 1), </w:t>
      </w:r>
      <w:r w:rsidRPr="003416F8">
        <w:rPr>
          <w:bCs/>
          <w:szCs w:val="22"/>
          <w:lang w:val="es-ES"/>
        </w:rPr>
        <w:t xml:space="preserve">esos códigos detallados incrementarán la visibilidad de todos los tipos de marca y </w:t>
      </w:r>
      <w:r w:rsidR="002665E6">
        <w:rPr>
          <w:bCs/>
          <w:szCs w:val="22"/>
          <w:lang w:val="es-ES"/>
        </w:rPr>
        <w:t xml:space="preserve">permitirán </w:t>
      </w:r>
      <w:r w:rsidRPr="003416F8">
        <w:rPr>
          <w:bCs/>
          <w:szCs w:val="22"/>
          <w:lang w:val="es-ES"/>
        </w:rPr>
        <w:t>m</w:t>
      </w:r>
      <w:r w:rsidR="002665E6">
        <w:rPr>
          <w:bCs/>
          <w:szCs w:val="22"/>
          <w:lang w:val="es-ES"/>
        </w:rPr>
        <w:t>ayor</w:t>
      </w:r>
      <w:r w:rsidRPr="003416F8">
        <w:rPr>
          <w:bCs/>
          <w:szCs w:val="22"/>
          <w:lang w:val="es-ES"/>
        </w:rPr>
        <w:t xml:space="preserve"> flexibilidad y claridad en las </w:t>
      </w:r>
      <w:r w:rsidR="003416F8" w:rsidRPr="003416F8">
        <w:rPr>
          <w:bCs/>
          <w:szCs w:val="22"/>
          <w:lang w:val="es-ES"/>
        </w:rPr>
        <w:t>publicaciones</w:t>
      </w:r>
      <w:r w:rsidR="004A476F" w:rsidRPr="003416F8">
        <w:rPr>
          <w:bCs/>
          <w:szCs w:val="22"/>
          <w:lang w:val="es-ES"/>
        </w:rPr>
        <w:t xml:space="preserve"> </w:t>
      </w:r>
      <w:r w:rsidRPr="003416F8">
        <w:rPr>
          <w:bCs/>
          <w:szCs w:val="22"/>
          <w:lang w:val="es-ES"/>
        </w:rPr>
        <w:t>y en los ámbitos en los que se utilizan.</w:t>
      </w:r>
    </w:p>
    <w:p w:rsidR="00001DFB" w:rsidRPr="003416F8" w:rsidRDefault="00492577" w:rsidP="00152C98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t>La presente propuesta incluye un nuevo código INID específico para las</w:t>
      </w:r>
      <w:r w:rsidR="00EA137E" w:rsidRPr="003416F8">
        <w:rPr>
          <w:szCs w:val="22"/>
          <w:lang w:val="es-ES"/>
        </w:rPr>
        <w:t xml:space="preserve"> “</w:t>
      </w:r>
      <w:r w:rsidRPr="003416F8">
        <w:rPr>
          <w:szCs w:val="22"/>
          <w:lang w:val="es-ES"/>
        </w:rPr>
        <w:t>Marcas denominativas</w:t>
      </w:r>
      <w:r w:rsidR="00EA137E" w:rsidRPr="003416F8">
        <w:rPr>
          <w:szCs w:val="22"/>
          <w:lang w:val="es-ES"/>
        </w:rPr>
        <w:t xml:space="preserve">” </w:t>
      </w:r>
      <w:r w:rsidRPr="003416F8">
        <w:rPr>
          <w:szCs w:val="22"/>
          <w:lang w:val="es-ES"/>
        </w:rPr>
        <w:t>y las</w:t>
      </w:r>
      <w:r w:rsidR="00EA137E" w:rsidRPr="003416F8">
        <w:rPr>
          <w:szCs w:val="22"/>
          <w:lang w:val="es-ES"/>
        </w:rPr>
        <w:t xml:space="preserve"> “</w:t>
      </w:r>
      <w:r w:rsidRPr="003416F8">
        <w:rPr>
          <w:szCs w:val="22"/>
          <w:lang w:val="es-ES"/>
        </w:rPr>
        <w:t>Marcas figurativ</w:t>
      </w:r>
      <w:r w:rsidR="00EA137E" w:rsidRPr="003416F8">
        <w:rPr>
          <w:szCs w:val="22"/>
          <w:lang w:val="es-ES"/>
        </w:rPr>
        <w:t xml:space="preserve">as”, </w:t>
      </w:r>
      <w:r w:rsidRPr="003416F8">
        <w:rPr>
          <w:szCs w:val="22"/>
          <w:lang w:val="es-ES"/>
        </w:rPr>
        <w:t xml:space="preserve">pues son las de utilización más común entre los </w:t>
      </w:r>
      <w:r w:rsidR="002665E6">
        <w:rPr>
          <w:szCs w:val="22"/>
          <w:lang w:val="es-ES"/>
        </w:rPr>
        <w:t xml:space="preserve">distintos </w:t>
      </w:r>
      <w:r w:rsidRPr="003416F8">
        <w:rPr>
          <w:szCs w:val="22"/>
          <w:lang w:val="es-ES"/>
        </w:rPr>
        <w:t>tipos de marca</w:t>
      </w:r>
      <w:r w:rsidR="00EA137E" w:rsidRPr="003416F8">
        <w:rPr>
          <w:szCs w:val="22"/>
          <w:lang w:val="es-ES"/>
        </w:rPr>
        <w:t>.</w:t>
      </w:r>
    </w:p>
    <w:p w:rsidR="00001DFB" w:rsidRPr="003416F8" w:rsidRDefault="00492577" w:rsidP="00001DFB">
      <w:pPr>
        <w:pStyle w:val="ONUME"/>
        <w:rPr>
          <w:szCs w:val="22"/>
          <w:lang w:val="es-ES"/>
        </w:rPr>
      </w:pPr>
      <w:r w:rsidRPr="003416F8">
        <w:rPr>
          <w:szCs w:val="22"/>
          <w:lang w:val="es-ES"/>
        </w:rPr>
        <w:lastRenderedPageBreak/>
        <w:t xml:space="preserve">La EUIPO solicita al Comité que tenga a bien </w:t>
      </w:r>
      <w:r w:rsidR="003416F8" w:rsidRPr="003416F8">
        <w:rPr>
          <w:szCs w:val="22"/>
          <w:lang w:val="es-ES"/>
        </w:rPr>
        <w:t>considerar</w:t>
      </w:r>
      <w:r w:rsidRPr="003416F8">
        <w:rPr>
          <w:szCs w:val="22"/>
          <w:lang w:val="es-ES"/>
        </w:rPr>
        <w:t xml:space="preserve">, en su </w:t>
      </w:r>
      <w:r w:rsidR="00001DFB" w:rsidRPr="003416F8">
        <w:rPr>
          <w:szCs w:val="22"/>
          <w:lang w:val="es-ES"/>
        </w:rPr>
        <w:t>sexta sesión</w:t>
      </w:r>
      <w:r w:rsidR="00EA137E" w:rsidRPr="003416F8">
        <w:rPr>
          <w:szCs w:val="22"/>
          <w:lang w:val="es-ES"/>
        </w:rPr>
        <w:t xml:space="preserve">, </w:t>
      </w:r>
      <w:r w:rsidRPr="003416F8">
        <w:rPr>
          <w:szCs w:val="22"/>
          <w:lang w:val="es-ES"/>
        </w:rPr>
        <w:t xml:space="preserve">las propuestas que figuran más arriba respecto de la modificación de la Norma </w:t>
      </w:r>
      <w:r w:rsidR="00EA137E" w:rsidRPr="003416F8">
        <w:rPr>
          <w:szCs w:val="22"/>
          <w:lang w:val="es-ES"/>
        </w:rPr>
        <w:t>ST.60</w:t>
      </w:r>
      <w:r w:rsidRPr="003416F8">
        <w:rPr>
          <w:szCs w:val="22"/>
          <w:lang w:val="es-ES"/>
        </w:rPr>
        <w:t xml:space="preserve"> de la OMPI</w:t>
      </w:r>
      <w:r w:rsidR="00EA137E" w:rsidRPr="003416F8">
        <w:rPr>
          <w:szCs w:val="22"/>
          <w:lang w:val="es-ES"/>
        </w:rPr>
        <w:t>.</w:t>
      </w:r>
    </w:p>
    <w:p w:rsidR="00001DFB" w:rsidRPr="003416F8" w:rsidRDefault="00001DFB" w:rsidP="00EA137E">
      <w:pPr>
        <w:pStyle w:val="Endofdocument-Annex"/>
        <w:rPr>
          <w:lang w:val="es-ES"/>
        </w:rPr>
      </w:pPr>
    </w:p>
    <w:p w:rsidR="00001DFB" w:rsidRPr="00492577" w:rsidRDefault="00EA137E" w:rsidP="00EA137E">
      <w:pPr>
        <w:pStyle w:val="Endofdocument-Annex"/>
        <w:rPr>
          <w:lang w:val="es-ES"/>
        </w:rPr>
      </w:pPr>
      <w:r w:rsidRPr="003416F8">
        <w:rPr>
          <w:lang w:val="es-ES"/>
        </w:rPr>
        <w:t>[</w:t>
      </w:r>
      <w:r w:rsidR="00001DFB" w:rsidRPr="003416F8">
        <w:rPr>
          <w:lang w:val="es-ES"/>
        </w:rPr>
        <w:t xml:space="preserve">Fin del </w:t>
      </w:r>
      <w:r w:rsidR="003416F8" w:rsidRPr="003416F8">
        <w:rPr>
          <w:lang w:val="es-ES"/>
        </w:rPr>
        <w:t>Anexo</w:t>
      </w:r>
      <w:r w:rsidRPr="003416F8">
        <w:rPr>
          <w:lang w:val="es-ES"/>
        </w:rPr>
        <w:t xml:space="preserve"> </w:t>
      </w:r>
      <w:r w:rsidR="00001DFB" w:rsidRPr="003416F8">
        <w:rPr>
          <w:lang w:val="es-ES"/>
        </w:rPr>
        <w:t>y del</w:t>
      </w:r>
      <w:r w:rsidRPr="003416F8">
        <w:rPr>
          <w:lang w:val="es-ES"/>
        </w:rPr>
        <w:t xml:space="preserve"> </w:t>
      </w:r>
      <w:r w:rsidR="003416F8" w:rsidRPr="003416F8">
        <w:rPr>
          <w:lang w:val="es-ES"/>
        </w:rPr>
        <w:t>documento</w:t>
      </w:r>
      <w:r w:rsidRPr="003416F8">
        <w:rPr>
          <w:lang w:val="es-ES"/>
        </w:rPr>
        <w:t>]</w:t>
      </w:r>
    </w:p>
    <w:sectPr w:rsidR="00001DFB" w:rsidRPr="00492577" w:rsidSect="00477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1C" w:rsidRDefault="00D70F1C">
      <w:r>
        <w:separator/>
      </w:r>
    </w:p>
  </w:endnote>
  <w:endnote w:type="continuationSeparator" w:id="0">
    <w:p w:rsidR="00D70F1C" w:rsidRDefault="00D70F1C" w:rsidP="003B38C1">
      <w:r>
        <w:separator/>
      </w:r>
    </w:p>
    <w:p w:rsidR="00D70F1C" w:rsidRPr="003B38C1" w:rsidRDefault="00D70F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0F1C" w:rsidRPr="003B38C1" w:rsidRDefault="00D70F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D1" w:rsidRDefault="005E6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D1" w:rsidRDefault="005E66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D1" w:rsidRDefault="005E6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1C" w:rsidRDefault="00D70F1C">
      <w:r>
        <w:separator/>
      </w:r>
    </w:p>
  </w:footnote>
  <w:footnote w:type="continuationSeparator" w:id="0">
    <w:p w:rsidR="00D70F1C" w:rsidRDefault="00D70F1C" w:rsidP="008B60B2">
      <w:r>
        <w:separator/>
      </w:r>
    </w:p>
    <w:p w:rsidR="00D70F1C" w:rsidRPr="00ED77FB" w:rsidRDefault="00D70F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0F1C" w:rsidRPr="00ED77FB" w:rsidRDefault="00D70F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A137E" w:rsidRPr="002665E6" w:rsidRDefault="00EA137E" w:rsidP="00E154CE">
      <w:pPr>
        <w:pStyle w:val="FootnoteText"/>
        <w:rPr>
          <w:bCs/>
          <w:sz w:val="16"/>
          <w:szCs w:val="16"/>
          <w:shd w:val="clear" w:color="auto" w:fill="FFFFFF"/>
          <w:lang w:val="es-ES"/>
        </w:rPr>
      </w:pPr>
      <w:r w:rsidRPr="007C4552">
        <w:rPr>
          <w:rStyle w:val="FootnoteReference"/>
          <w:sz w:val="16"/>
          <w:szCs w:val="16"/>
        </w:rPr>
        <w:footnoteRef/>
      </w:r>
      <w:r w:rsidRPr="00E154CE">
        <w:rPr>
          <w:sz w:val="16"/>
          <w:szCs w:val="16"/>
          <w:lang w:val="es-ES"/>
        </w:rPr>
        <w:t xml:space="preserve"> </w:t>
      </w:r>
      <w:r w:rsidR="00E154CE" w:rsidRPr="00E154CE">
        <w:rPr>
          <w:sz w:val="16"/>
          <w:szCs w:val="16"/>
          <w:lang w:val="es-ES"/>
        </w:rPr>
        <w:t>REGLAMENTO DE EJECUCIÓN (UE) 2018/626 DE LA COMISIÓN, de 5 de marzo de </w:t>
      </w:r>
      <w:r w:rsidRPr="00E154CE">
        <w:rPr>
          <w:bCs/>
          <w:sz w:val="16"/>
          <w:szCs w:val="16"/>
          <w:shd w:val="clear" w:color="auto" w:fill="FFFFFF"/>
          <w:lang w:val="es-ES"/>
        </w:rPr>
        <w:t xml:space="preserve">2018 </w:t>
      </w:r>
      <w:r w:rsidR="00E154CE" w:rsidRPr="00E154CE">
        <w:rPr>
          <w:bCs/>
          <w:sz w:val="16"/>
          <w:szCs w:val="16"/>
          <w:shd w:val="clear" w:color="auto" w:fill="FFFFFF"/>
          <w:lang w:val="es-ES"/>
        </w:rPr>
        <w:t xml:space="preserve">por el que se establecen normas de desarrollo </w:t>
      </w:r>
      <w:r w:rsidR="00E154CE" w:rsidRPr="002665E6">
        <w:rPr>
          <w:bCs/>
          <w:sz w:val="16"/>
          <w:szCs w:val="16"/>
          <w:shd w:val="clear" w:color="auto" w:fill="FFFFFF"/>
          <w:lang w:val="es-ES"/>
        </w:rPr>
        <w:t>de determinadas disposiciones del Reglamento (UE) 2017/1001 del Parlamento Europeo y del Consejo sobre la marca de la Unión Europea, y se deroga el Reglamento de Ejecución (UE) 2017/1431.</w:t>
      </w:r>
    </w:p>
    <w:p w:rsidR="00EA137E" w:rsidRPr="002665E6" w:rsidRDefault="00E154CE" w:rsidP="00EA137E">
      <w:pPr>
        <w:pStyle w:val="FootnoteText"/>
        <w:rPr>
          <w:sz w:val="16"/>
          <w:szCs w:val="16"/>
          <w:lang w:val="fr-FR"/>
        </w:rPr>
      </w:pPr>
      <w:r w:rsidRPr="002665E6">
        <w:rPr>
          <w:bCs/>
          <w:sz w:val="16"/>
          <w:szCs w:val="16"/>
          <w:shd w:val="clear" w:color="auto" w:fill="FFFFFF"/>
          <w:lang w:val="fr-FR"/>
        </w:rPr>
        <w:t>Enlace</w:t>
      </w:r>
      <w:r w:rsidR="00EA137E" w:rsidRPr="002665E6">
        <w:rPr>
          <w:bCs/>
          <w:sz w:val="16"/>
          <w:szCs w:val="16"/>
          <w:shd w:val="clear" w:color="auto" w:fill="FFFFFF"/>
          <w:lang w:val="fr-FR"/>
        </w:rPr>
        <w:t xml:space="preserve">: </w:t>
      </w:r>
      <w:hyperlink r:id="rId1" w:history="1">
        <w:r w:rsidRPr="002665E6">
          <w:rPr>
            <w:rStyle w:val="Hyperlink"/>
            <w:bCs/>
            <w:sz w:val="16"/>
            <w:szCs w:val="16"/>
            <w:shd w:val="clear" w:color="auto" w:fill="FFFFFF"/>
            <w:lang w:val="fr-FR"/>
          </w:rPr>
          <w:t>https://eur-lex.europa.eu/legal-content/ES/TXT/HTML/?uri=CELEX:32018R0626&amp;from=ES</w:t>
        </w:r>
      </w:hyperlink>
    </w:p>
  </w:footnote>
  <w:footnote w:id="3">
    <w:p w:rsidR="00EA137E" w:rsidRPr="00477631" w:rsidRDefault="00EA137E" w:rsidP="00EA137E">
      <w:pPr>
        <w:pStyle w:val="FootnoteText"/>
        <w:rPr>
          <w:sz w:val="16"/>
          <w:szCs w:val="16"/>
          <w:lang w:val="fr-CH"/>
        </w:rPr>
      </w:pPr>
      <w:r w:rsidRPr="002665E6">
        <w:rPr>
          <w:rStyle w:val="FootnoteReference"/>
          <w:sz w:val="16"/>
          <w:szCs w:val="16"/>
        </w:rPr>
        <w:footnoteRef/>
      </w:r>
      <w:r w:rsidRPr="002665E6">
        <w:rPr>
          <w:sz w:val="16"/>
          <w:szCs w:val="16"/>
          <w:lang w:val="fr-FR"/>
        </w:rPr>
        <w:t xml:space="preserve"> </w:t>
      </w:r>
      <w:r w:rsidR="00C4150B" w:rsidRPr="002665E6">
        <w:rPr>
          <w:sz w:val="16"/>
          <w:szCs w:val="16"/>
          <w:lang w:val="fr-FR"/>
        </w:rPr>
        <w:t>Enlace</w:t>
      </w:r>
      <w:r w:rsidRPr="002665E6">
        <w:rPr>
          <w:sz w:val="16"/>
          <w:szCs w:val="16"/>
          <w:lang w:val="fr-FR"/>
        </w:rPr>
        <w:t xml:space="preserve">: </w:t>
      </w:r>
      <w:hyperlink r:id="rId2" w:history="1">
        <w:r w:rsidR="00C4150B" w:rsidRPr="002665E6">
          <w:rPr>
            <w:rStyle w:val="Hyperlink"/>
            <w:sz w:val="16"/>
            <w:szCs w:val="16"/>
            <w:lang w:val="fr-FR"/>
          </w:rPr>
          <w:t>http://www.wipo.int/edocs/mdocs/madrid/es/mm_ld_wg_16/mm_ld_wg_16_1_prov.pdf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D1" w:rsidRDefault="005E6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3C" w:rsidRDefault="00F23626" w:rsidP="004A476F">
    <w:pPr>
      <w:jc w:val="right"/>
    </w:pPr>
    <w:r>
      <w:t>CWS/6/20</w:t>
    </w:r>
  </w:p>
  <w:p w:rsidR="0084453C" w:rsidRDefault="00D33424" w:rsidP="004A476F">
    <w:pPr>
      <w:jc w:val="right"/>
    </w:pPr>
    <w:r w:rsidRPr="002665E6">
      <w:rPr>
        <w:lang w:val="es-ES"/>
      </w:rPr>
      <w:t>Anex</w:t>
    </w:r>
    <w:r w:rsidR="003416F8" w:rsidRPr="002665E6">
      <w:rPr>
        <w:lang w:val="es-ES"/>
      </w:rPr>
      <w:t>o</w:t>
    </w:r>
    <w:r w:rsidR="0084453C" w:rsidRPr="002665E6">
      <w:rPr>
        <w:lang w:val="es-ES"/>
      </w:rPr>
      <w:t>, p</w:t>
    </w:r>
    <w:r w:rsidR="003416F8" w:rsidRPr="002665E6">
      <w:rPr>
        <w:lang w:val="es-ES"/>
      </w:rPr>
      <w:t>ágina</w:t>
    </w:r>
    <w:r w:rsidR="0084453C">
      <w:t xml:space="preserve"> </w:t>
    </w:r>
    <w:r w:rsidR="003416F8">
      <w:fldChar w:fldCharType="begin"/>
    </w:r>
    <w:r w:rsidR="003416F8">
      <w:instrText xml:space="preserve"> PAGE   \* MERGEFORMAT </w:instrText>
    </w:r>
    <w:r w:rsidR="003416F8">
      <w:fldChar w:fldCharType="separate"/>
    </w:r>
    <w:r w:rsidR="00DA4251">
      <w:rPr>
        <w:noProof/>
      </w:rPr>
      <w:t>2</w:t>
    </w:r>
    <w:r w:rsidR="003416F8">
      <w:rPr>
        <w:noProof/>
      </w:rPr>
      <w:fldChar w:fldCharType="end"/>
    </w:r>
  </w:p>
  <w:p w:rsidR="00C32249" w:rsidRDefault="00C32249" w:rsidP="004A476F">
    <w:pPr>
      <w:jc w:val="right"/>
    </w:pPr>
  </w:p>
  <w:p w:rsidR="005E66D1" w:rsidRDefault="005E66D1" w:rsidP="004A476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31" w:rsidRDefault="00477631" w:rsidP="00477631">
    <w:pPr>
      <w:pStyle w:val="Header"/>
      <w:jc w:val="right"/>
    </w:pPr>
    <w:r>
      <w:t>CWS/6/20</w:t>
    </w:r>
  </w:p>
  <w:p w:rsidR="00477631" w:rsidRDefault="00477631" w:rsidP="00477631">
    <w:pPr>
      <w:pStyle w:val="Header"/>
      <w:jc w:val="right"/>
    </w:pPr>
    <w:r>
      <w:t>ANEXO</w:t>
    </w:r>
  </w:p>
  <w:p w:rsidR="00477631" w:rsidRDefault="00477631" w:rsidP="00477631">
    <w:pPr>
      <w:pStyle w:val="Header"/>
      <w:jc w:val="right"/>
    </w:pPr>
  </w:p>
  <w:p w:rsidR="005E66D1" w:rsidRDefault="005E66D1" w:rsidP="004776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2C41B4"/>
    <w:rsid w:val="00001DFB"/>
    <w:rsid w:val="000062AC"/>
    <w:rsid w:val="00030198"/>
    <w:rsid w:val="00043CAA"/>
    <w:rsid w:val="00056248"/>
    <w:rsid w:val="00061ACE"/>
    <w:rsid w:val="00075432"/>
    <w:rsid w:val="000852CC"/>
    <w:rsid w:val="0008638A"/>
    <w:rsid w:val="000968ED"/>
    <w:rsid w:val="000E39FE"/>
    <w:rsid w:val="000F5E56"/>
    <w:rsid w:val="001362EE"/>
    <w:rsid w:val="00152C98"/>
    <w:rsid w:val="001647D5"/>
    <w:rsid w:val="001753D4"/>
    <w:rsid w:val="001832A6"/>
    <w:rsid w:val="001971BB"/>
    <w:rsid w:val="001B3A19"/>
    <w:rsid w:val="001C0313"/>
    <w:rsid w:val="001C7FF7"/>
    <w:rsid w:val="001F7A6B"/>
    <w:rsid w:val="0021217E"/>
    <w:rsid w:val="002531D4"/>
    <w:rsid w:val="002634C4"/>
    <w:rsid w:val="002665E6"/>
    <w:rsid w:val="002928D3"/>
    <w:rsid w:val="002C41B4"/>
    <w:rsid w:val="002D6521"/>
    <w:rsid w:val="002E249E"/>
    <w:rsid w:val="002F1FE6"/>
    <w:rsid w:val="002F4E68"/>
    <w:rsid w:val="00312F7F"/>
    <w:rsid w:val="00321079"/>
    <w:rsid w:val="00321B94"/>
    <w:rsid w:val="003416F8"/>
    <w:rsid w:val="00356D8D"/>
    <w:rsid w:val="00361450"/>
    <w:rsid w:val="003673CF"/>
    <w:rsid w:val="003824EA"/>
    <w:rsid w:val="003845C1"/>
    <w:rsid w:val="003A33DB"/>
    <w:rsid w:val="003A6F89"/>
    <w:rsid w:val="003B38C1"/>
    <w:rsid w:val="00423E3E"/>
    <w:rsid w:val="00427AF4"/>
    <w:rsid w:val="004647DA"/>
    <w:rsid w:val="00474062"/>
    <w:rsid w:val="00476A35"/>
    <w:rsid w:val="00477631"/>
    <w:rsid w:val="00477D6B"/>
    <w:rsid w:val="00492577"/>
    <w:rsid w:val="004937CF"/>
    <w:rsid w:val="004976F3"/>
    <w:rsid w:val="004A0B4E"/>
    <w:rsid w:val="004A476F"/>
    <w:rsid w:val="004B0E67"/>
    <w:rsid w:val="005019FF"/>
    <w:rsid w:val="0053057A"/>
    <w:rsid w:val="00532EBD"/>
    <w:rsid w:val="00560A29"/>
    <w:rsid w:val="0056254B"/>
    <w:rsid w:val="00564811"/>
    <w:rsid w:val="00590E83"/>
    <w:rsid w:val="00596EE4"/>
    <w:rsid w:val="005B2F3A"/>
    <w:rsid w:val="005C6649"/>
    <w:rsid w:val="005E66D1"/>
    <w:rsid w:val="005F44B9"/>
    <w:rsid w:val="00605827"/>
    <w:rsid w:val="00640D93"/>
    <w:rsid w:val="00642D44"/>
    <w:rsid w:val="00646050"/>
    <w:rsid w:val="006466A5"/>
    <w:rsid w:val="00650215"/>
    <w:rsid w:val="006713CA"/>
    <w:rsid w:val="00676C5C"/>
    <w:rsid w:val="006A4B4F"/>
    <w:rsid w:val="006B768F"/>
    <w:rsid w:val="006C0300"/>
    <w:rsid w:val="006D1A38"/>
    <w:rsid w:val="006D6DF6"/>
    <w:rsid w:val="006E692A"/>
    <w:rsid w:val="007132C6"/>
    <w:rsid w:val="00742055"/>
    <w:rsid w:val="00762E57"/>
    <w:rsid w:val="0079469E"/>
    <w:rsid w:val="007B0D23"/>
    <w:rsid w:val="007B3BE7"/>
    <w:rsid w:val="007D1613"/>
    <w:rsid w:val="007E4C0E"/>
    <w:rsid w:val="0080292F"/>
    <w:rsid w:val="00831F5C"/>
    <w:rsid w:val="00843781"/>
    <w:rsid w:val="0084453C"/>
    <w:rsid w:val="0084496E"/>
    <w:rsid w:val="00864F25"/>
    <w:rsid w:val="008B2CC1"/>
    <w:rsid w:val="008B60B2"/>
    <w:rsid w:val="008B66FE"/>
    <w:rsid w:val="008C5201"/>
    <w:rsid w:val="008C60DC"/>
    <w:rsid w:val="008E148B"/>
    <w:rsid w:val="0090731E"/>
    <w:rsid w:val="00916EE2"/>
    <w:rsid w:val="00952D4B"/>
    <w:rsid w:val="00963082"/>
    <w:rsid w:val="00966A22"/>
    <w:rsid w:val="0096722F"/>
    <w:rsid w:val="00980843"/>
    <w:rsid w:val="009A045E"/>
    <w:rsid w:val="009E2791"/>
    <w:rsid w:val="009E3F6F"/>
    <w:rsid w:val="009F499F"/>
    <w:rsid w:val="00A16D02"/>
    <w:rsid w:val="00A42DAF"/>
    <w:rsid w:val="00A45BD8"/>
    <w:rsid w:val="00A869B7"/>
    <w:rsid w:val="00AC205C"/>
    <w:rsid w:val="00AE0E7A"/>
    <w:rsid w:val="00AF0A6B"/>
    <w:rsid w:val="00B05A69"/>
    <w:rsid w:val="00B45495"/>
    <w:rsid w:val="00B6308A"/>
    <w:rsid w:val="00B9734B"/>
    <w:rsid w:val="00B97350"/>
    <w:rsid w:val="00BA30E2"/>
    <w:rsid w:val="00BB6482"/>
    <w:rsid w:val="00BD2C74"/>
    <w:rsid w:val="00BF1AEE"/>
    <w:rsid w:val="00C018D6"/>
    <w:rsid w:val="00C11BFE"/>
    <w:rsid w:val="00C17C4C"/>
    <w:rsid w:val="00C32249"/>
    <w:rsid w:val="00C4150B"/>
    <w:rsid w:val="00C5068F"/>
    <w:rsid w:val="00C66B38"/>
    <w:rsid w:val="00C71271"/>
    <w:rsid w:val="00C8405E"/>
    <w:rsid w:val="00C86D74"/>
    <w:rsid w:val="00C97369"/>
    <w:rsid w:val="00CA26C5"/>
    <w:rsid w:val="00CD04F1"/>
    <w:rsid w:val="00CD322D"/>
    <w:rsid w:val="00D04957"/>
    <w:rsid w:val="00D33424"/>
    <w:rsid w:val="00D45252"/>
    <w:rsid w:val="00D70F1C"/>
    <w:rsid w:val="00D71B4D"/>
    <w:rsid w:val="00D830F1"/>
    <w:rsid w:val="00D93D55"/>
    <w:rsid w:val="00DA4251"/>
    <w:rsid w:val="00DB0850"/>
    <w:rsid w:val="00DC1C42"/>
    <w:rsid w:val="00DC7314"/>
    <w:rsid w:val="00DE7F0A"/>
    <w:rsid w:val="00E1308E"/>
    <w:rsid w:val="00E15015"/>
    <w:rsid w:val="00E154CE"/>
    <w:rsid w:val="00E335FE"/>
    <w:rsid w:val="00E5578A"/>
    <w:rsid w:val="00E62C4F"/>
    <w:rsid w:val="00E70616"/>
    <w:rsid w:val="00EA137E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97563"/>
    <w:rsid w:val="00FB5124"/>
    <w:rsid w:val="00FC37D2"/>
    <w:rsid w:val="00FC5538"/>
    <w:rsid w:val="00FD2015"/>
    <w:rsid w:val="00FE5E79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5:docId w15:val="{A3C96435-5295-4EFA-8AE3-2C2811F9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648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xport/sites/www/standards/es/pdf/03-60-01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edocs/mdocs/madrid/es/mm_ld_wg_16/mm_ld_wg_16_1_prov.pdf" TargetMode="External"/><Relationship Id="rId1" Type="http://schemas.openxmlformats.org/officeDocument/2006/relationships/hyperlink" Target="https://eur-lex.europa.eu/legal-content/ES/TXT/HTML/?uri=CELEX:32018R0626&amp;from=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8659-7D43-4000-9E7E-86D33C7A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194</TotalTime>
  <Pages>3</Pages>
  <Words>844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Spanish)</vt:lpstr>
    </vt:vector>
  </TitlesOfParts>
  <Company>WIPO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Spanish)</dc:title>
  <dc:subject>Revision of WIPO Standard ST.60</dc:subject>
  <dc:creator>WIPO</dc:creator>
  <cp:keywords>CWS in Spanish</cp:keywords>
  <dc:description/>
  <cp:lastModifiedBy>SCHLESSINGER Caroline</cp:lastModifiedBy>
  <cp:revision>11</cp:revision>
  <cp:lastPrinted>2018-08-02T09:54:00Z</cp:lastPrinted>
  <dcterms:created xsi:type="dcterms:W3CDTF">2018-08-09T07:40:00Z</dcterms:created>
  <dcterms:modified xsi:type="dcterms:W3CDTF">2018-09-11T12:49:00Z</dcterms:modified>
  <cp:category>CWS</cp:category>
</cp:coreProperties>
</file>