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56664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5666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6664" w:rsidRDefault="002C2E2F" w:rsidP="00AB613D">
            <w:r w:rsidRPr="00856664">
              <w:rPr>
                <w:noProof/>
                <w:lang w:val="en-US" w:eastAsia="en-US"/>
              </w:rPr>
              <w:drawing>
                <wp:inline distT="0" distB="0" distL="0" distR="0" wp14:anchorId="232BB521" wp14:editId="5ED06C75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56664" w:rsidRDefault="00E504E5" w:rsidP="00AB613D">
            <w:pPr>
              <w:jc w:val="right"/>
            </w:pPr>
            <w:r w:rsidRPr="00856664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56664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56664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6664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4C3686" w:rsidRPr="00856664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85666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56664" w:rsidRDefault="008B2CC1" w:rsidP="000838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6664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85666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C3686" w:rsidRPr="00856664">
              <w:rPr>
                <w:rFonts w:ascii="Arial Black" w:hAnsi="Arial Black"/>
                <w:caps/>
                <w:sz w:val="15"/>
              </w:rPr>
              <w:t>Inglés</w:t>
            </w:r>
            <w:r w:rsidRPr="0085666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5666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56664" w:rsidRDefault="00675021" w:rsidP="000838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5666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56664">
              <w:rPr>
                <w:rFonts w:ascii="Arial Black" w:hAnsi="Arial Black"/>
                <w:caps/>
                <w:sz w:val="15"/>
              </w:rPr>
              <w:t>:</w:t>
            </w:r>
            <w:r w:rsidR="009A20CD" w:rsidRPr="0085666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C3686" w:rsidRPr="00856664">
              <w:rPr>
                <w:rFonts w:ascii="Arial Black" w:hAnsi="Arial Black"/>
                <w:caps/>
                <w:sz w:val="15"/>
              </w:rPr>
              <w:t>12 de septiembre de 2018</w:t>
            </w:r>
            <w:r w:rsidR="008B2CC1" w:rsidRPr="0085666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56664" w:rsidRDefault="008B2CC1" w:rsidP="008B2CC1"/>
    <w:p w:rsidR="008B2CC1" w:rsidRPr="00856664" w:rsidRDefault="008B2CC1" w:rsidP="008B2CC1"/>
    <w:p w:rsidR="008B2CC1" w:rsidRPr="00856664" w:rsidRDefault="008B2CC1" w:rsidP="008B2CC1"/>
    <w:p w:rsidR="008B2CC1" w:rsidRPr="00856664" w:rsidRDefault="008B2CC1" w:rsidP="008B2CC1"/>
    <w:p w:rsidR="008B2CC1" w:rsidRPr="00856664" w:rsidRDefault="008B2CC1" w:rsidP="008B2CC1"/>
    <w:p w:rsidR="00B67CDC" w:rsidRPr="00856664" w:rsidRDefault="00B8095C" w:rsidP="00B67CDC">
      <w:pPr>
        <w:rPr>
          <w:b/>
          <w:sz w:val="28"/>
          <w:szCs w:val="28"/>
        </w:rPr>
      </w:pPr>
      <w:r w:rsidRPr="00856664">
        <w:rPr>
          <w:b/>
          <w:sz w:val="28"/>
          <w:szCs w:val="28"/>
        </w:rPr>
        <w:t>Comité de Normas Técnicas de la OMPI (CWS)</w:t>
      </w:r>
    </w:p>
    <w:p w:rsidR="003845C1" w:rsidRPr="00856664" w:rsidRDefault="003845C1" w:rsidP="003845C1"/>
    <w:p w:rsidR="003845C1" w:rsidRPr="00856664" w:rsidRDefault="003845C1" w:rsidP="003845C1"/>
    <w:p w:rsidR="00B8095C" w:rsidRPr="00856664" w:rsidRDefault="00B8095C" w:rsidP="00B8095C">
      <w:pPr>
        <w:rPr>
          <w:b/>
          <w:sz w:val="24"/>
          <w:szCs w:val="24"/>
        </w:rPr>
      </w:pPr>
      <w:r w:rsidRPr="00856664">
        <w:rPr>
          <w:b/>
          <w:sz w:val="24"/>
          <w:szCs w:val="24"/>
        </w:rPr>
        <w:t>Sexta sesión</w:t>
      </w:r>
    </w:p>
    <w:p w:rsidR="00B67CDC" w:rsidRPr="00856664" w:rsidRDefault="00B8095C" w:rsidP="00B8095C">
      <w:pPr>
        <w:rPr>
          <w:b/>
          <w:sz w:val="24"/>
          <w:szCs w:val="24"/>
        </w:rPr>
      </w:pPr>
      <w:r w:rsidRPr="00856664">
        <w:rPr>
          <w:b/>
          <w:sz w:val="24"/>
          <w:szCs w:val="24"/>
        </w:rPr>
        <w:t>Ginebra, 15 a 19 de octubre de 2018</w:t>
      </w:r>
    </w:p>
    <w:p w:rsidR="008B2CC1" w:rsidRPr="00856664" w:rsidRDefault="008B2CC1" w:rsidP="008B2CC1"/>
    <w:p w:rsidR="008B2CC1" w:rsidRPr="00856664" w:rsidRDefault="008B2CC1" w:rsidP="008B2CC1"/>
    <w:p w:rsidR="008B2CC1" w:rsidRPr="00856664" w:rsidRDefault="008B2CC1" w:rsidP="008B2CC1"/>
    <w:p w:rsidR="008B2CC1" w:rsidRPr="00856664" w:rsidRDefault="004C3686" w:rsidP="008B2CC1">
      <w:pPr>
        <w:rPr>
          <w:caps/>
          <w:sz w:val="24"/>
        </w:rPr>
      </w:pPr>
      <w:bookmarkStart w:id="3" w:name="TitleOfDoc"/>
      <w:bookmarkStart w:id="4" w:name="_GoBack"/>
      <w:bookmarkEnd w:id="3"/>
      <w:r w:rsidRPr="00856664">
        <w:rPr>
          <w:caps/>
          <w:sz w:val="24"/>
        </w:rPr>
        <w:t>Plan de aplicación de la Norma ST.27 de la OMPI por las Oficinas de propiedad intelectual</w:t>
      </w:r>
    </w:p>
    <w:bookmarkEnd w:id="4"/>
    <w:p w:rsidR="008B2CC1" w:rsidRPr="00856664" w:rsidRDefault="008B2CC1" w:rsidP="008B2CC1"/>
    <w:p w:rsidR="008B2CC1" w:rsidRPr="00856664" w:rsidRDefault="0004193A" w:rsidP="008B2CC1">
      <w:pPr>
        <w:rPr>
          <w:i/>
        </w:rPr>
      </w:pPr>
      <w:bookmarkStart w:id="5" w:name="Prepared"/>
      <w:bookmarkEnd w:id="5"/>
      <w:r w:rsidRPr="00856664">
        <w:rPr>
          <w:i/>
        </w:rPr>
        <w:t>Documento</w:t>
      </w:r>
      <w:r w:rsidR="004C3686" w:rsidRPr="00856664">
        <w:rPr>
          <w:i/>
        </w:rPr>
        <w:t xml:space="preserve"> preparado por la Oficina Internacional</w:t>
      </w:r>
    </w:p>
    <w:p w:rsidR="008B2CC1" w:rsidRPr="00856664" w:rsidRDefault="008B2CC1" w:rsidP="003845C1"/>
    <w:p w:rsidR="000F5E56" w:rsidRPr="00856664" w:rsidRDefault="000F5E56"/>
    <w:p w:rsidR="00F84474" w:rsidRPr="00856664" w:rsidRDefault="00F84474"/>
    <w:p w:rsidR="00F84474" w:rsidRPr="00856664" w:rsidRDefault="00F84474"/>
    <w:p w:rsidR="004C3686" w:rsidRPr="00856664" w:rsidRDefault="004C3686" w:rsidP="004C3686">
      <w:pPr>
        <w:rPr>
          <w:szCs w:val="22"/>
        </w:rPr>
      </w:pPr>
    </w:p>
    <w:p w:rsidR="004C3686" w:rsidRPr="00856664" w:rsidRDefault="004C3686" w:rsidP="004C3686">
      <w:pPr>
        <w:keepNext/>
        <w:spacing w:before="240" w:after="60"/>
        <w:outlineLvl w:val="1"/>
        <w:rPr>
          <w:bCs/>
          <w:iCs/>
          <w:caps/>
          <w:szCs w:val="28"/>
          <w:lang w:eastAsia="ko-KR"/>
        </w:rPr>
      </w:pPr>
      <w:r w:rsidRPr="00856664">
        <w:rPr>
          <w:bCs/>
          <w:iCs/>
          <w:szCs w:val="28"/>
          <w:lang w:eastAsia="ko-KR"/>
        </w:rPr>
        <w:t>INTRODUC</w:t>
      </w:r>
      <w:r w:rsidR="000838EC" w:rsidRPr="00856664">
        <w:rPr>
          <w:bCs/>
          <w:iCs/>
          <w:szCs w:val="28"/>
          <w:lang w:eastAsia="ko-KR"/>
        </w:rPr>
        <w:t>CIÓ</w:t>
      </w:r>
      <w:r w:rsidRPr="00856664">
        <w:rPr>
          <w:bCs/>
          <w:iCs/>
          <w:szCs w:val="28"/>
          <w:lang w:eastAsia="ko-KR"/>
        </w:rPr>
        <w:t>N</w:t>
      </w:r>
    </w:p>
    <w:p w:rsidR="004C3686" w:rsidRPr="00856664" w:rsidRDefault="000838EC" w:rsidP="009678E9">
      <w:pPr>
        <w:numPr>
          <w:ilvl w:val="0"/>
          <w:numId w:val="7"/>
        </w:numPr>
        <w:spacing w:after="220"/>
      </w:pPr>
      <w:r w:rsidRPr="00856664">
        <w:t>En su quinta se</w:t>
      </w:r>
      <w:r w:rsidR="009678E9" w:rsidRPr="00856664">
        <w:t>sión, celebrada del</w:t>
      </w:r>
      <w:r w:rsidR="004C3686" w:rsidRPr="00856664">
        <w:t xml:space="preserve"> 29 </w:t>
      </w:r>
      <w:r w:rsidR="009678E9" w:rsidRPr="00856664">
        <w:t>de mayo al</w:t>
      </w:r>
      <w:r w:rsidR="004C3686" w:rsidRPr="00856664">
        <w:t xml:space="preserve"> 2</w:t>
      </w:r>
      <w:r w:rsidR="009678E9" w:rsidRPr="00856664">
        <w:t xml:space="preserve"> de junio de</w:t>
      </w:r>
      <w:r w:rsidR="004C3686" w:rsidRPr="00856664">
        <w:t xml:space="preserve"> 2017, </w:t>
      </w:r>
      <w:r w:rsidR="009678E9" w:rsidRPr="00856664">
        <w:t xml:space="preserve">el </w:t>
      </w:r>
      <w:r w:rsidR="0004193A" w:rsidRPr="00856664">
        <w:t>Comité</w:t>
      </w:r>
      <w:r w:rsidR="004C3686" w:rsidRPr="00856664">
        <w:t xml:space="preserve"> </w:t>
      </w:r>
      <w:r w:rsidR="009678E9" w:rsidRPr="00856664">
        <w:t xml:space="preserve">de Normas Técnicas de la OMPI </w:t>
      </w:r>
      <w:r w:rsidR="004C3686" w:rsidRPr="00856664">
        <w:t>(CWS) adopt</w:t>
      </w:r>
      <w:r w:rsidR="009678E9" w:rsidRPr="00856664">
        <w:t xml:space="preserve">ó la Norma </w:t>
      </w:r>
      <w:r w:rsidR="004C3686" w:rsidRPr="00856664">
        <w:t xml:space="preserve">ST.27 </w:t>
      </w:r>
      <w:r w:rsidR="009678E9" w:rsidRPr="00856664">
        <w:t xml:space="preserve">de la OMPI, </w:t>
      </w:r>
      <w:r w:rsidR="004C3686" w:rsidRPr="00856664">
        <w:t>“</w:t>
      </w:r>
      <w:r w:rsidR="009678E9" w:rsidRPr="00856664">
        <w:t>Recomendación para el intercambio de datos sobre la situación jurídica de las patentes</w:t>
      </w:r>
      <w:r w:rsidR="004C3686" w:rsidRPr="00856664">
        <w:t>” (</w:t>
      </w:r>
      <w:r w:rsidR="009678E9" w:rsidRPr="00856664">
        <w:t>véase el párrafo </w:t>
      </w:r>
      <w:r w:rsidR="004C3686" w:rsidRPr="00856664">
        <w:t xml:space="preserve">50 </w:t>
      </w:r>
      <w:r w:rsidR="009678E9" w:rsidRPr="00856664">
        <w:t>del</w:t>
      </w:r>
      <w:r w:rsidR="004C3686" w:rsidRPr="00856664">
        <w:t xml:space="preserve"> </w:t>
      </w:r>
      <w:r w:rsidR="0004193A" w:rsidRPr="00856664">
        <w:t>documento</w:t>
      </w:r>
      <w:r w:rsidR="004C3686" w:rsidRPr="00856664">
        <w:t xml:space="preserve"> CWS/5/22).</w:t>
      </w:r>
    </w:p>
    <w:p w:rsidR="004C3686" w:rsidRPr="00856664" w:rsidRDefault="009678E9" w:rsidP="009678E9">
      <w:pPr>
        <w:numPr>
          <w:ilvl w:val="0"/>
          <w:numId w:val="7"/>
        </w:numPr>
        <w:spacing w:after="220"/>
      </w:pPr>
      <w:r w:rsidRPr="00856664">
        <w:t>El</w:t>
      </w:r>
      <w:r w:rsidR="004C3686" w:rsidRPr="00856664">
        <w:t xml:space="preserve"> CWS </w:t>
      </w:r>
      <w:r w:rsidRPr="00856664">
        <w:t xml:space="preserve">pidió a la </w:t>
      </w:r>
      <w:r w:rsidR="0004193A" w:rsidRPr="00856664">
        <w:t>Secretaría</w:t>
      </w:r>
      <w:r w:rsidR="004C3686" w:rsidRPr="00856664">
        <w:t xml:space="preserve"> </w:t>
      </w:r>
      <w:r w:rsidRPr="00856664">
        <w:t xml:space="preserve">que emita una circular con el fin de invitar a las oficinas de propiedad intelectual (OPI) a analizar sus prácticas operacionales y sus sistemas de </w:t>
      </w:r>
      <w:r w:rsidR="00DD3C0A" w:rsidRPr="00856664">
        <w:t>TI</w:t>
      </w:r>
      <w:r w:rsidRPr="00856664">
        <w:t xml:space="preserve"> y a revisar las incidencias detalladas provisionales incluidas en la nueva Norma ST. 27 de la OMPI </w:t>
      </w:r>
      <w:r w:rsidR="004C3686" w:rsidRPr="00856664">
        <w:t>(</w:t>
      </w:r>
      <w:r w:rsidR="00DD3C0A" w:rsidRPr="00856664">
        <w:t>véase el párrafo</w:t>
      </w:r>
      <w:r w:rsidR="004C3686" w:rsidRPr="00856664">
        <w:t xml:space="preserve"> 52 </w:t>
      </w:r>
      <w:r w:rsidR="00DD3C0A" w:rsidRPr="00856664">
        <w:t xml:space="preserve">del </w:t>
      </w:r>
      <w:r w:rsidR="0004193A" w:rsidRPr="00856664">
        <w:t>documento</w:t>
      </w:r>
      <w:r w:rsidR="004C3686" w:rsidRPr="00856664">
        <w:t xml:space="preserve"> CWS/5/22).</w:t>
      </w:r>
    </w:p>
    <w:p w:rsidR="00A569B0" w:rsidRPr="00856664" w:rsidRDefault="00A569B0" w:rsidP="00A569B0">
      <w:pPr>
        <w:numPr>
          <w:ilvl w:val="0"/>
          <w:numId w:val="7"/>
        </w:numPr>
        <w:spacing w:after="220"/>
      </w:pPr>
      <w:r w:rsidRPr="00856664">
        <w:t>El 25 de enero de 2018, la Secretaría publicó la Circular C. CWS 92 en la que se invitó a las OPI a presentar los resultados de:</w:t>
      </w:r>
    </w:p>
    <w:p w:rsidR="00A569B0" w:rsidRPr="00856664" w:rsidRDefault="00C95DD1" w:rsidP="00A569B0">
      <w:pPr>
        <w:spacing w:after="220"/>
        <w:ind w:firstLine="567"/>
      </w:pPr>
      <w:r w:rsidRPr="00856664">
        <w:t>a)</w:t>
      </w:r>
      <w:r w:rsidRPr="00856664">
        <w:tab/>
      </w:r>
      <w:r w:rsidR="00A569B0" w:rsidRPr="00856664">
        <w:t>el análisis de sus prácticas operacionales y sus sistemas de TI, incluido el calendario provisional para la aplicación de la Norma ST.27 de la OMPI; y</w:t>
      </w:r>
    </w:p>
    <w:p w:rsidR="004C3686" w:rsidRPr="00856664" w:rsidRDefault="00C95DD1" w:rsidP="00A569B0">
      <w:pPr>
        <w:spacing w:after="220"/>
        <w:ind w:firstLine="567"/>
        <w:rPr>
          <w:szCs w:val="22"/>
        </w:rPr>
      </w:pPr>
      <w:r w:rsidRPr="00856664">
        <w:t>b)</w:t>
      </w:r>
      <w:r w:rsidRPr="00856664">
        <w:tab/>
      </w:r>
      <w:r w:rsidR="00A569B0" w:rsidRPr="00856664">
        <w:t>la revisión de las incidencias detalladas provisionales, de conformidad con sus respectivas legislaciones y prácticas.</w:t>
      </w:r>
    </w:p>
    <w:p w:rsidR="004C3686" w:rsidRPr="00856664" w:rsidRDefault="00A569B0" w:rsidP="00850FE1">
      <w:pPr>
        <w:numPr>
          <w:ilvl w:val="0"/>
          <w:numId w:val="7"/>
        </w:numPr>
        <w:spacing w:after="220"/>
      </w:pPr>
      <w:r w:rsidRPr="00856664">
        <w:t>La Norma</w:t>
      </w:r>
      <w:r w:rsidR="004C3686" w:rsidRPr="00856664">
        <w:t xml:space="preserve"> ST.27 </w:t>
      </w:r>
      <w:r w:rsidRPr="00856664">
        <w:t xml:space="preserve">de la OMPI </w:t>
      </w:r>
      <w:r w:rsidR="0004193A" w:rsidRPr="00856664">
        <w:t>recomienda</w:t>
      </w:r>
      <w:r w:rsidRPr="00856664">
        <w:t xml:space="preserve"> que </w:t>
      </w:r>
      <w:r w:rsidR="00C66188" w:rsidRPr="00856664">
        <w:t xml:space="preserve">se anuncie el inicio de la aplicación de la Norma y </w:t>
      </w:r>
      <w:r w:rsidRPr="00856664">
        <w:t xml:space="preserve">se informe </w:t>
      </w:r>
      <w:r w:rsidR="00C66188" w:rsidRPr="00856664">
        <w:t xml:space="preserve">de ello </w:t>
      </w:r>
      <w:r w:rsidRPr="00856664">
        <w:t>a la Of</w:t>
      </w:r>
      <w:r w:rsidR="00C66188" w:rsidRPr="00856664">
        <w:t xml:space="preserve">icina Internacional de la OMPI mediante la presentación de </w:t>
      </w:r>
      <w:r w:rsidRPr="00856664">
        <w:t xml:space="preserve">una tabla de correspondencias entre </w:t>
      </w:r>
      <w:r w:rsidR="00C66188" w:rsidRPr="00856664">
        <w:t xml:space="preserve">las </w:t>
      </w:r>
      <w:r w:rsidRPr="00856664">
        <w:t xml:space="preserve">incidencias nacionales/regionales </w:t>
      </w:r>
      <w:r w:rsidR="00C66188" w:rsidRPr="00856664">
        <w:t>y las</w:t>
      </w:r>
      <w:r w:rsidRPr="00856664">
        <w:t xml:space="preserve"> incidencias </w:t>
      </w:r>
      <w:r w:rsidR="00C66188" w:rsidRPr="00856664">
        <w:t>enumeradas en</w:t>
      </w:r>
      <w:r w:rsidRPr="00856664">
        <w:t xml:space="preserve"> la Norma</w:t>
      </w:r>
      <w:r w:rsidR="00C66188" w:rsidRPr="00856664">
        <w:t>,</w:t>
      </w:r>
      <w:r w:rsidRPr="00856664">
        <w:t xml:space="preserve"> utilizando la plantilla d</w:t>
      </w:r>
      <w:r w:rsidR="00850FE1" w:rsidRPr="00856664">
        <w:t xml:space="preserve">isponible en </w:t>
      </w:r>
      <w:r w:rsidRPr="00856664">
        <w:t xml:space="preserve">el Anexo IV </w:t>
      </w:r>
      <w:r w:rsidR="00850FE1" w:rsidRPr="00856664">
        <w:t xml:space="preserve">de la Norma </w:t>
      </w:r>
      <w:r w:rsidR="004C3686" w:rsidRPr="00856664">
        <w:t xml:space="preserve">ST.27. </w:t>
      </w:r>
      <w:r w:rsidR="00850FE1" w:rsidRPr="00856664">
        <w:lastRenderedPageBreak/>
        <w:t>En la Norma ST. 27 se sugiere que la frecuencia del intercambio de datos sobre la situación jurídica sea como mínimo mensual y que, preferentemente, tenga carácter semanal</w:t>
      </w:r>
      <w:r w:rsidR="004C3686" w:rsidRPr="00856664">
        <w:t>. (</w:t>
      </w:r>
      <w:r w:rsidR="00850FE1" w:rsidRPr="00856664">
        <w:t>Véanse los párrafos</w:t>
      </w:r>
      <w:r w:rsidR="004C3686" w:rsidRPr="00856664">
        <w:t xml:space="preserve"> 51 </w:t>
      </w:r>
      <w:r w:rsidR="00850FE1" w:rsidRPr="00856664">
        <w:t>y </w:t>
      </w:r>
      <w:r w:rsidR="004C3686" w:rsidRPr="00856664">
        <w:t xml:space="preserve">53 </w:t>
      </w:r>
      <w:r w:rsidR="00850FE1" w:rsidRPr="00856664">
        <w:t>de la Norma </w:t>
      </w:r>
      <w:r w:rsidR="004C3686" w:rsidRPr="00856664">
        <w:t>ST.27.)</w:t>
      </w:r>
    </w:p>
    <w:p w:rsidR="004C3686" w:rsidRPr="00856664" w:rsidRDefault="00850FE1" w:rsidP="004C3686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856664">
        <w:rPr>
          <w:bCs/>
          <w:iCs/>
          <w:szCs w:val="28"/>
        </w:rPr>
        <w:t xml:space="preserve">PLAN DE APLICACIÓN DE LA NORMA ST.27 DE LA OMPI POR LAS </w:t>
      </w:r>
      <w:r w:rsidR="004C3686" w:rsidRPr="00856664">
        <w:rPr>
          <w:bCs/>
          <w:iCs/>
          <w:szCs w:val="28"/>
        </w:rPr>
        <w:t>O</w:t>
      </w:r>
      <w:r w:rsidRPr="00856664">
        <w:rPr>
          <w:bCs/>
          <w:iCs/>
          <w:szCs w:val="28"/>
        </w:rPr>
        <w:t>PI</w:t>
      </w:r>
    </w:p>
    <w:p w:rsidR="004C3686" w:rsidRPr="00856664" w:rsidRDefault="00850FE1" w:rsidP="004C3686">
      <w:pPr>
        <w:numPr>
          <w:ilvl w:val="0"/>
          <w:numId w:val="7"/>
        </w:numPr>
        <w:spacing w:after="220"/>
      </w:pPr>
      <w:r w:rsidRPr="00856664">
        <w:t>E</w:t>
      </w:r>
      <w:r w:rsidR="004C3686" w:rsidRPr="00856664">
        <w:t>n resp</w:t>
      </w:r>
      <w:r w:rsidRPr="00856664">
        <w:t xml:space="preserve">uesta a la </w:t>
      </w:r>
      <w:r w:rsidR="004C3686" w:rsidRPr="00856664">
        <w:t xml:space="preserve">Circular C. CWS 92, </w:t>
      </w:r>
      <w:r w:rsidRPr="00856664">
        <w:t>las</w:t>
      </w:r>
      <w:r w:rsidR="004C3686" w:rsidRPr="00856664">
        <w:t xml:space="preserve"> 11 </w:t>
      </w:r>
      <w:r w:rsidRPr="00856664">
        <w:t>OPI siguientes presentaron su plan de aplicación de la Norma</w:t>
      </w:r>
      <w:r w:rsidR="004C3686" w:rsidRPr="00856664">
        <w:t xml:space="preserve"> ST.27</w:t>
      </w:r>
      <w:r w:rsidRPr="00856664">
        <w:t xml:space="preserve"> de la OMPI</w:t>
      </w:r>
      <w:r w:rsidR="004C3686" w:rsidRPr="00856664">
        <w:t>:</w:t>
      </w:r>
    </w:p>
    <w:p w:rsidR="004C3686" w:rsidRPr="00856664" w:rsidRDefault="00850FE1" w:rsidP="004C3686">
      <w:pPr>
        <w:numPr>
          <w:ilvl w:val="0"/>
          <w:numId w:val="8"/>
        </w:numPr>
        <w:spacing w:after="220"/>
      </w:pPr>
      <w:r w:rsidRPr="00856664">
        <w:t>Alemania (DE)</w:t>
      </w:r>
    </w:p>
    <w:p w:rsidR="004C3686" w:rsidRPr="00856664" w:rsidRDefault="00850FE1" w:rsidP="004C3686">
      <w:pPr>
        <w:numPr>
          <w:ilvl w:val="0"/>
          <w:numId w:val="8"/>
        </w:numPr>
        <w:spacing w:after="220"/>
      </w:pPr>
      <w:r w:rsidRPr="00856664">
        <w:t>Australia (AU)</w:t>
      </w:r>
    </w:p>
    <w:p w:rsidR="00850FE1" w:rsidRPr="00856664" w:rsidRDefault="004C3686" w:rsidP="00850FE1">
      <w:pPr>
        <w:numPr>
          <w:ilvl w:val="0"/>
          <w:numId w:val="8"/>
        </w:numPr>
        <w:spacing w:after="220"/>
      </w:pPr>
      <w:r w:rsidRPr="00856664">
        <w:t>C</w:t>
      </w:r>
      <w:r w:rsidR="00850FE1" w:rsidRPr="00856664">
        <w:t>hequia</w:t>
      </w:r>
      <w:r w:rsidRPr="00856664">
        <w:t xml:space="preserve"> (CZ)</w:t>
      </w:r>
    </w:p>
    <w:p w:rsidR="00850FE1" w:rsidRPr="00856664" w:rsidRDefault="00850FE1" w:rsidP="00850FE1">
      <w:pPr>
        <w:numPr>
          <w:ilvl w:val="0"/>
          <w:numId w:val="8"/>
        </w:numPr>
        <w:spacing w:after="220"/>
      </w:pPr>
      <w:r w:rsidRPr="00856664">
        <w:t>China (CN)</w:t>
      </w:r>
    </w:p>
    <w:p w:rsidR="00850FE1" w:rsidRPr="00856664" w:rsidRDefault="00850FE1" w:rsidP="00850FE1">
      <w:pPr>
        <w:numPr>
          <w:ilvl w:val="0"/>
          <w:numId w:val="8"/>
        </w:numPr>
        <w:spacing w:after="220"/>
      </w:pPr>
      <w:r w:rsidRPr="00856664">
        <w:t>Colombia (CO)</w:t>
      </w:r>
    </w:p>
    <w:p w:rsidR="00891A7A" w:rsidRPr="00856664" w:rsidRDefault="00891A7A" w:rsidP="00891A7A">
      <w:pPr>
        <w:numPr>
          <w:ilvl w:val="0"/>
          <w:numId w:val="8"/>
        </w:numPr>
        <w:spacing w:after="220"/>
      </w:pPr>
      <w:r w:rsidRPr="00856664">
        <w:t>Estados Unidos de América (US)</w:t>
      </w:r>
    </w:p>
    <w:p w:rsidR="00891A7A" w:rsidRPr="00856664" w:rsidRDefault="00891A7A" w:rsidP="00891A7A">
      <w:pPr>
        <w:numPr>
          <w:ilvl w:val="0"/>
          <w:numId w:val="8"/>
        </w:numPr>
        <w:spacing w:after="220"/>
      </w:pPr>
      <w:r w:rsidRPr="00856664">
        <w:t>Federación de Rusia (RU)</w:t>
      </w:r>
    </w:p>
    <w:p w:rsidR="004C3686" w:rsidRPr="00856664" w:rsidRDefault="00850FE1" w:rsidP="004C3686">
      <w:pPr>
        <w:numPr>
          <w:ilvl w:val="0"/>
          <w:numId w:val="8"/>
        </w:numPr>
        <w:spacing w:after="220"/>
      </w:pPr>
      <w:r w:rsidRPr="00856664">
        <w:t>Organización de la Patente Eurasiática</w:t>
      </w:r>
      <w:r w:rsidR="004C3686" w:rsidRPr="00856664">
        <w:t xml:space="preserve"> (EA)</w:t>
      </w:r>
    </w:p>
    <w:p w:rsidR="00891A7A" w:rsidRPr="00856664" w:rsidRDefault="00891A7A" w:rsidP="00891A7A">
      <w:pPr>
        <w:numPr>
          <w:ilvl w:val="0"/>
          <w:numId w:val="8"/>
        </w:numPr>
        <w:spacing w:after="220"/>
      </w:pPr>
      <w:r w:rsidRPr="00856664">
        <w:t>Reino Unido (GB)</w:t>
      </w:r>
    </w:p>
    <w:p w:rsidR="004C3686" w:rsidRPr="00856664" w:rsidRDefault="00850FE1" w:rsidP="004C3686">
      <w:pPr>
        <w:numPr>
          <w:ilvl w:val="0"/>
          <w:numId w:val="8"/>
        </w:numPr>
        <w:spacing w:after="220"/>
      </w:pPr>
      <w:r w:rsidRPr="00856664">
        <w:t>República de Corea</w:t>
      </w:r>
      <w:r w:rsidR="004C3686" w:rsidRPr="00856664">
        <w:t xml:space="preserve"> (KR)</w:t>
      </w:r>
    </w:p>
    <w:p w:rsidR="004C3686" w:rsidRPr="00856664" w:rsidRDefault="00850FE1" w:rsidP="004C3686">
      <w:pPr>
        <w:numPr>
          <w:ilvl w:val="0"/>
          <w:numId w:val="8"/>
        </w:numPr>
        <w:spacing w:after="220"/>
      </w:pPr>
      <w:r w:rsidRPr="00856664">
        <w:t>Ucrania</w:t>
      </w:r>
      <w:r w:rsidR="004C3686" w:rsidRPr="00856664">
        <w:t xml:space="preserve"> (UA)</w:t>
      </w:r>
    </w:p>
    <w:p w:rsidR="004C3686" w:rsidRPr="00856664" w:rsidRDefault="009207A2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Con respec</w:t>
      </w:r>
      <w:r w:rsidR="004C3686" w:rsidRPr="00856664">
        <w:rPr>
          <w:rFonts w:eastAsia="Batang"/>
          <w:lang w:eastAsia="ko-KR"/>
        </w:rPr>
        <w:t xml:space="preserve">to </w:t>
      </w:r>
      <w:r w:rsidRPr="00856664">
        <w:rPr>
          <w:rFonts w:eastAsia="Batang"/>
          <w:lang w:eastAsia="ko-KR"/>
        </w:rPr>
        <w:t xml:space="preserve">al análisis de las </w:t>
      </w:r>
      <w:r w:rsidRPr="00856664">
        <w:t>prácticas operacionales y los sistemas de TI</w:t>
      </w:r>
      <w:r w:rsidR="00C66188" w:rsidRPr="00856664">
        <w:t xml:space="preserve"> de las OPI</w:t>
      </w:r>
      <w:r w:rsidRPr="00856664">
        <w:t xml:space="preserve">, así como </w:t>
      </w:r>
      <w:r w:rsidR="00C66188" w:rsidRPr="00856664">
        <w:t xml:space="preserve">a su </w:t>
      </w:r>
      <w:r w:rsidRPr="00856664">
        <w:t>calendario provisional para la aplicación de la Norma ST.27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 xml:space="preserve">en las respuestas de la mayoría de las OPI se indicó </w:t>
      </w:r>
      <w:r w:rsidR="00C66188" w:rsidRPr="00856664">
        <w:rPr>
          <w:rFonts w:eastAsia="Batang"/>
          <w:lang w:eastAsia="ko-KR"/>
        </w:rPr>
        <w:t>la necesidad de</w:t>
      </w:r>
      <w:r w:rsidRPr="00856664">
        <w:rPr>
          <w:rFonts w:eastAsia="Batang"/>
          <w:lang w:eastAsia="ko-KR"/>
        </w:rPr>
        <w:t xml:space="preserve"> llevar a cabo un análisis interno más </w:t>
      </w:r>
      <w:r w:rsidR="007B50C2" w:rsidRPr="00856664">
        <w:rPr>
          <w:rFonts w:eastAsia="Batang"/>
          <w:lang w:eastAsia="ko-KR"/>
        </w:rPr>
        <w:t>profundo</w:t>
      </w:r>
      <w:r w:rsidRPr="00856664">
        <w:rPr>
          <w:rFonts w:eastAsia="Batang"/>
          <w:lang w:eastAsia="ko-KR"/>
        </w:rPr>
        <w:t xml:space="preserve"> </w:t>
      </w:r>
      <w:r w:rsidR="00C66188" w:rsidRPr="00856664">
        <w:rPr>
          <w:rFonts w:eastAsia="Batang"/>
          <w:lang w:eastAsia="ko-KR"/>
        </w:rPr>
        <w:t>para</w:t>
      </w:r>
      <w:r w:rsidRPr="00856664">
        <w:rPr>
          <w:rFonts w:eastAsia="Batang"/>
          <w:lang w:eastAsia="ko-KR"/>
        </w:rPr>
        <w:t xml:space="preserve"> </w:t>
      </w:r>
      <w:r w:rsidR="007B50C2" w:rsidRPr="00856664">
        <w:rPr>
          <w:rFonts w:eastAsia="Batang"/>
          <w:lang w:eastAsia="ko-KR"/>
        </w:rPr>
        <w:t>estar en condiciones de</w:t>
      </w:r>
      <w:r w:rsidRPr="00856664">
        <w:rPr>
          <w:rFonts w:eastAsia="Batang"/>
          <w:lang w:eastAsia="ko-KR"/>
        </w:rPr>
        <w:t xml:space="preserve"> comunicar un calendario de aplicación. Las OPI siguientes han indicado que necesitan llevar a cabo </w:t>
      </w:r>
      <w:r w:rsidR="007B50C2" w:rsidRPr="00856664">
        <w:rPr>
          <w:rFonts w:eastAsia="Batang"/>
          <w:lang w:eastAsia="ko-KR"/>
        </w:rPr>
        <w:t xml:space="preserve">un análisis interno más profundo </w:t>
      </w:r>
      <w:r w:rsidR="00C66188" w:rsidRPr="00856664">
        <w:rPr>
          <w:rFonts w:eastAsia="Batang"/>
          <w:lang w:eastAsia="ko-KR"/>
        </w:rPr>
        <w:t>para</w:t>
      </w:r>
      <w:r w:rsidR="007B50C2" w:rsidRPr="00856664">
        <w:rPr>
          <w:rFonts w:eastAsia="Batang"/>
          <w:lang w:eastAsia="ko-KR"/>
        </w:rPr>
        <w:t xml:space="preserve"> estar en condiciones de finalizar un calendario de aplicación</w:t>
      </w:r>
      <w:r w:rsidR="004C3686" w:rsidRPr="00856664">
        <w:rPr>
          <w:rFonts w:eastAsia="Batang"/>
          <w:lang w:eastAsia="ko-KR"/>
        </w:rPr>
        <w:t>: AU, CN, CZ, DE, RU, UA</w:t>
      </w:r>
      <w:r w:rsidR="007B50C2" w:rsidRPr="00856664">
        <w:rPr>
          <w:rFonts w:eastAsia="Batang"/>
          <w:lang w:eastAsia="ko-KR"/>
        </w:rPr>
        <w:t xml:space="preserve"> y</w:t>
      </w:r>
      <w:r w:rsidR="004C3686" w:rsidRPr="00856664">
        <w:rPr>
          <w:rFonts w:eastAsia="Batang"/>
          <w:lang w:eastAsia="ko-KR"/>
        </w:rPr>
        <w:t xml:space="preserve"> US.</w:t>
      </w:r>
    </w:p>
    <w:p w:rsidR="004C3686" w:rsidRPr="00856664" w:rsidRDefault="007B50C2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Si bien necesitan más tiempo para analizar </w:t>
      </w:r>
      <w:r w:rsidR="00426CA4" w:rsidRPr="00856664">
        <w:rPr>
          <w:rFonts w:eastAsia="Batang"/>
          <w:lang w:eastAsia="ko-KR"/>
        </w:rPr>
        <w:t>el impacto</w:t>
      </w:r>
      <w:r w:rsidRPr="00856664">
        <w:rPr>
          <w:rFonts w:eastAsia="Batang"/>
          <w:lang w:eastAsia="ko-KR"/>
        </w:rPr>
        <w:t xml:space="preserve"> que la aplicaci</w:t>
      </w:r>
      <w:r w:rsidR="00426CA4" w:rsidRPr="00856664">
        <w:rPr>
          <w:rFonts w:eastAsia="Batang"/>
          <w:lang w:eastAsia="ko-KR"/>
        </w:rPr>
        <w:t>ón de la Norma </w:t>
      </w:r>
      <w:r w:rsidR="004C3686" w:rsidRPr="00856664">
        <w:rPr>
          <w:rFonts w:eastAsia="Batang"/>
          <w:lang w:eastAsia="ko-KR"/>
        </w:rPr>
        <w:t xml:space="preserve">ST.27 </w:t>
      </w:r>
      <w:r w:rsidR="00426CA4" w:rsidRPr="00856664">
        <w:rPr>
          <w:rFonts w:eastAsia="Batang"/>
          <w:lang w:eastAsia="ko-KR"/>
        </w:rPr>
        <w:t xml:space="preserve">producirá </w:t>
      </w:r>
      <w:r w:rsidRPr="00856664">
        <w:rPr>
          <w:rFonts w:eastAsia="Batang"/>
          <w:lang w:eastAsia="ko-KR"/>
        </w:rPr>
        <w:t>en su funcionamiento y sus sistemas de TI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>varias OPI presentaron estimaciones preliminar</w:t>
      </w:r>
      <w:r w:rsidR="00C66188" w:rsidRPr="00856664">
        <w:rPr>
          <w:rFonts w:eastAsia="Batang"/>
          <w:lang w:eastAsia="ko-KR"/>
        </w:rPr>
        <w:t>es</w:t>
      </w:r>
      <w:r w:rsidRPr="00856664">
        <w:rPr>
          <w:rFonts w:eastAsia="Batang"/>
          <w:lang w:eastAsia="ko-KR"/>
        </w:rPr>
        <w:t xml:space="preserve"> del calendario de aplicación, que oscilan entre uno y cinco años:</w:t>
      </w:r>
    </w:p>
    <w:p w:rsidR="004C3686" w:rsidRPr="00856664" w:rsidRDefault="004C3686" w:rsidP="004C3686">
      <w:pPr>
        <w:numPr>
          <w:ilvl w:val="0"/>
          <w:numId w:val="9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CO </w:t>
      </w:r>
      <w:r w:rsidR="001E143D" w:rsidRPr="00856664">
        <w:rPr>
          <w:rFonts w:eastAsia="Batang"/>
          <w:lang w:eastAsia="ko-KR"/>
        </w:rPr>
        <w:t>–</w:t>
      </w:r>
      <w:r w:rsidRPr="00856664">
        <w:rPr>
          <w:rFonts w:eastAsia="Batang"/>
          <w:lang w:eastAsia="ko-KR"/>
        </w:rPr>
        <w:t xml:space="preserve"> </w:t>
      </w:r>
      <w:r w:rsidR="001E143D" w:rsidRPr="00856664">
        <w:rPr>
          <w:rFonts w:eastAsia="Batang"/>
          <w:lang w:eastAsia="ko-KR"/>
        </w:rPr>
        <w:t>prevé aplicar la Norma</w:t>
      </w:r>
      <w:r w:rsidRPr="00856664">
        <w:rPr>
          <w:rFonts w:eastAsia="Batang"/>
          <w:lang w:eastAsia="ko-KR"/>
        </w:rPr>
        <w:t xml:space="preserve"> ST.27 </w:t>
      </w:r>
      <w:r w:rsidR="001E143D" w:rsidRPr="00856664">
        <w:rPr>
          <w:rFonts w:eastAsia="Batang"/>
          <w:lang w:eastAsia="ko-KR"/>
        </w:rPr>
        <w:t>e</w:t>
      </w:r>
      <w:r w:rsidRPr="00856664">
        <w:rPr>
          <w:rFonts w:eastAsia="Batang"/>
          <w:lang w:eastAsia="ko-KR"/>
        </w:rPr>
        <w:t>n 2018;</w:t>
      </w:r>
    </w:p>
    <w:p w:rsidR="004C3686" w:rsidRPr="00856664" w:rsidRDefault="004C3686" w:rsidP="004C3686">
      <w:pPr>
        <w:numPr>
          <w:ilvl w:val="0"/>
          <w:numId w:val="9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EA </w:t>
      </w:r>
      <w:r w:rsidR="001E143D" w:rsidRPr="00856664">
        <w:rPr>
          <w:rFonts w:eastAsia="Batang"/>
          <w:lang w:eastAsia="ko-KR"/>
        </w:rPr>
        <w:t>–</w:t>
      </w:r>
      <w:r w:rsidRPr="00856664">
        <w:rPr>
          <w:rFonts w:eastAsia="Batang"/>
          <w:lang w:eastAsia="ko-KR"/>
        </w:rPr>
        <w:t xml:space="preserve"> </w:t>
      </w:r>
      <w:r w:rsidR="001E143D" w:rsidRPr="00856664">
        <w:rPr>
          <w:rFonts w:eastAsia="Batang"/>
          <w:lang w:eastAsia="ko-KR"/>
        </w:rPr>
        <w:t>prevé empezar a aplicar la Norma</w:t>
      </w:r>
      <w:r w:rsidRPr="00856664">
        <w:rPr>
          <w:rFonts w:eastAsia="Batang"/>
          <w:lang w:eastAsia="ko-KR"/>
        </w:rPr>
        <w:t xml:space="preserve"> ST.27 </w:t>
      </w:r>
      <w:r w:rsidR="001E143D" w:rsidRPr="00856664">
        <w:rPr>
          <w:rFonts w:eastAsia="Batang"/>
          <w:lang w:eastAsia="ko-KR"/>
        </w:rPr>
        <w:t>e</w:t>
      </w:r>
      <w:r w:rsidRPr="00856664">
        <w:rPr>
          <w:rFonts w:eastAsia="Batang"/>
          <w:lang w:eastAsia="ko-KR"/>
        </w:rPr>
        <w:t xml:space="preserve">n 2019 </w:t>
      </w:r>
      <w:r w:rsidR="001E143D" w:rsidRPr="00856664">
        <w:rPr>
          <w:rFonts w:eastAsia="Batang"/>
          <w:lang w:eastAsia="ko-KR"/>
        </w:rPr>
        <w:t>y ponerla en funcionamiento en</w:t>
      </w:r>
      <w:r w:rsidR="006A4371" w:rsidRPr="00856664">
        <w:rPr>
          <w:rFonts w:eastAsia="Batang"/>
          <w:lang w:eastAsia="ko-KR"/>
        </w:rPr>
        <w:t> </w:t>
      </w:r>
      <w:r w:rsidR="001E143D" w:rsidRPr="00856664">
        <w:rPr>
          <w:rFonts w:eastAsia="Batang"/>
          <w:lang w:eastAsia="ko-KR"/>
        </w:rPr>
        <w:t>2020;</w:t>
      </w:r>
    </w:p>
    <w:p w:rsidR="004C3686" w:rsidRPr="00856664" w:rsidRDefault="004C3686" w:rsidP="004C3686">
      <w:pPr>
        <w:numPr>
          <w:ilvl w:val="0"/>
          <w:numId w:val="9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GB </w:t>
      </w:r>
      <w:r w:rsidR="006A4371" w:rsidRPr="00856664">
        <w:rPr>
          <w:rFonts w:eastAsia="Batang"/>
          <w:lang w:eastAsia="ko-KR"/>
        </w:rPr>
        <w:t>–</w:t>
      </w:r>
      <w:r w:rsidR="00426CA4" w:rsidRPr="00856664">
        <w:rPr>
          <w:rFonts w:eastAsia="Batang"/>
          <w:lang w:eastAsia="ko-KR"/>
        </w:rPr>
        <w:t xml:space="preserve"> planea </w:t>
      </w:r>
      <w:r w:rsidR="006A4371" w:rsidRPr="00856664">
        <w:rPr>
          <w:rFonts w:eastAsia="Batang"/>
          <w:lang w:eastAsia="ko-KR"/>
        </w:rPr>
        <w:t xml:space="preserve">incorporar las incidencias </w:t>
      </w:r>
      <w:r w:rsidR="0090525A" w:rsidRPr="00856664">
        <w:rPr>
          <w:rFonts w:eastAsia="Batang"/>
          <w:lang w:eastAsia="ko-KR"/>
        </w:rPr>
        <w:t>que determinan</w:t>
      </w:r>
      <w:r w:rsidR="006A4371" w:rsidRPr="00856664">
        <w:rPr>
          <w:rFonts w:eastAsia="Batang"/>
          <w:lang w:eastAsia="ko-KR"/>
        </w:rPr>
        <w:t xml:space="preserve"> la situación jurídica</w:t>
      </w:r>
      <w:r w:rsidRPr="00856664">
        <w:rPr>
          <w:rFonts w:eastAsia="Batang"/>
          <w:lang w:eastAsia="ko-KR"/>
        </w:rPr>
        <w:t xml:space="preserve"> </w:t>
      </w:r>
      <w:r w:rsidR="0090525A" w:rsidRPr="00856664">
        <w:rPr>
          <w:rFonts w:eastAsia="Batang"/>
          <w:lang w:eastAsia="ko-KR"/>
        </w:rPr>
        <w:t>y que figuran en la Norma</w:t>
      </w:r>
      <w:r w:rsidRPr="00856664">
        <w:rPr>
          <w:rFonts w:eastAsia="Batang"/>
          <w:lang w:eastAsia="ko-KR"/>
        </w:rPr>
        <w:t xml:space="preserve"> ST.27 </w:t>
      </w:r>
      <w:r w:rsidR="0090525A" w:rsidRPr="00856664">
        <w:rPr>
          <w:rFonts w:eastAsia="Batang"/>
          <w:lang w:eastAsia="ko-KR"/>
        </w:rPr>
        <w:t xml:space="preserve">en el marco de una transformación operacional que se </w:t>
      </w:r>
      <w:r w:rsidR="00426CA4" w:rsidRPr="00856664">
        <w:rPr>
          <w:rFonts w:eastAsia="Batang"/>
          <w:lang w:eastAsia="ko-KR"/>
        </w:rPr>
        <w:t xml:space="preserve">prevé </w:t>
      </w:r>
      <w:r w:rsidR="0090525A" w:rsidRPr="00856664">
        <w:rPr>
          <w:rFonts w:eastAsia="Batang"/>
          <w:lang w:eastAsia="ko-KR"/>
        </w:rPr>
        <w:t>realizar en los próximos</w:t>
      </w:r>
      <w:r w:rsidRPr="00856664">
        <w:rPr>
          <w:rFonts w:eastAsia="Batang"/>
          <w:lang w:eastAsia="ko-KR"/>
        </w:rPr>
        <w:t xml:space="preserve"> </w:t>
      </w:r>
      <w:r w:rsidR="0090525A" w:rsidRPr="00856664">
        <w:rPr>
          <w:rFonts w:eastAsia="Batang"/>
          <w:lang w:eastAsia="ko-KR"/>
        </w:rPr>
        <w:t>tres</w:t>
      </w:r>
      <w:r w:rsidRPr="00856664">
        <w:rPr>
          <w:rFonts w:eastAsia="Batang"/>
          <w:lang w:eastAsia="ko-KR"/>
        </w:rPr>
        <w:t xml:space="preserve"> </w:t>
      </w:r>
      <w:r w:rsidR="0090525A" w:rsidRPr="00856664">
        <w:rPr>
          <w:rFonts w:eastAsia="Batang"/>
          <w:lang w:eastAsia="ko-KR"/>
        </w:rPr>
        <w:t>a cinco años</w:t>
      </w:r>
      <w:r w:rsidRPr="00856664">
        <w:rPr>
          <w:rFonts w:eastAsia="Batang"/>
          <w:lang w:eastAsia="ko-KR"/>
        </w:rPr>
        <w:t xml:space="preserve">; </w:t>
      </w:r>
      <w:r w:rsidR="0090525A" w:rsidRPr="00856664">
        <w:rPr>
          <w:rFonts w:eastAsia="Batang"/>
          <w:lang w:eastAsia="ko-KR"/>
        </w:rPr>
        <w:t>y</w:t>
      </w:r>
    </w:p>
    <w:p w:rsidR="00796455" w:rsidRDefault="004C3686" w:rsidP="004C3686">
      <w:pPr>
        <w:numPr>
          <w:ilvl w:val="0"/>
          <w:numId w:val="9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KR - </w:t>
      </w:r>
      <w:r w:rsidR="00426CA4" w:rsidRPr="00856664">
        <w:rPr>
          <w:rFonts w:eastAsia="Batang"/>
          <w:lang w:eastAsia="ko-KR"/>
        </w:rPr>
        <w:t>no</w:t>
      </w:r>
      <w:r w:rsidRPr="00856664">
        <w:rPr>
          <w:rFonts w:eastAsia="Batang"/>
          <w:lang w:eastAsia="ko-KR"/>
        </w:rPr>
        <w:t xml:space="preserve"> </w:t>
      </w:r>
      <w:r w:rsidR="00426CA4" w:rsidRPr="00856664">
        <w:rPr>
          <w:rFonts w:eastAsia="Batang"/>
          <w:lang w:eastAsia="ko-KR"/>
        </w:rPr>
        <w:t xml:space="preserve">considera estar en condiciones de presentar datos sobre la </w:t>
      </w:r>
      <w:r w:rsidR="0004193A" w:rsidRPr="00856664">
        <w:rPr>
          <w:rFonts w:eastAsia="Batang"/>
          <w:lang w:eastAsia="ko-KR"/>
        </w:rPr>
        <w:t>situación</w:t>
      </w:r>
      <w:r w:rsidR="00426CA4" w:rsidRPr="00856664">
        <w:rPr>
          <w:rFonts w:eastAsia="Batang"/>
          <w:lang w:eastAsia="ko-KR"/>
        </w:rPr>
        <w:t xml:space="preserve"> jurídica de conformidad con la Norma</w:t>
      </w:r>
      <w:r w:rsidRPr="00856664">
        <w:rPr>
          <w:rFonts w:eastAsia="Batang"/>
          <w:lang w:eastAsia="ko-KR"/>
        </w:rPr>
        <w:t xml:space="preserve"> ST.27 </w:t>
      </w:r>
      <w:r w:rsidR="00426CA4" w:rsidRPr="00856664">
        <w:rPr>
          <w:rFonts w:eastAsia="Batang"/>
          <w:lang w:eastAsia="ko-KR"/>
        </w:rPr>
        <w:t>hasta finales de</w:t>
      </w:r>
      <w:r w:rsidRPr="00856664">
        <w:rPr>
          <w:rFonts w:eastAsia="Batang"/>
          <w:lang w:eastAsia="ko-KR"/>
        </w:rPr>
        <w:t xml:space="preserve"> 2019</w:t>
      </w:r>
      <w:r w:rsidR="00426CA4" w:rsidRPr="00856664">
        <w:rPr>
          <w:rFonts w:eastAsia="Batang"/>
          <w:lang w:eastAsia="ko-KR"/>
        </w:rPr>
        <w:t>, como mínimo</w:t>
      </w:r>
      <w:r w:rsidRPr="00856664">
        <w:rPr>
          <w:rFonts w:eastAsia="Batang"/>
          <w:lang w:eastAsia="ko-KR"/>
        </w:rPr>
        <w:t>.</w:t>
      </w:r>
      <w:r w:rsidR="00796455">
        <w:rPr>
          <w:rFonts w:eastAsia="Batang"/>
          <w:lang w:eastAsia="ko-KR"/>
        </w:rPr>
        <w:br w:type="page"/>
      </w:r>
    </w:p>
    <w:p w:rsidR="004C3686" w:rsidRPr="00856664" w:rsidRDefault="00426CA4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Además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 xml:space="preserve">algunas OPI indicaron que la aplicación depende de la finalización de los </w:t>
      </w:r>
      <w:r w:rsidR="0004193A" w:rsidRPr="00856664">
        <w:rPr>
          <w:rFonts w:eastAsia="Batang"/>
          <w:lang w:eastAsia="ko-KR"/>
        </w:rPr>
        <w:t>componentes</w:t>
      </w:r>
      <w:r w:rsidRPr="00856664">
        <w:rPr>
          <w:rFonts w:eastAsia="Batang"/>
          <w:lang w:eastAsia="ko-KR"/>
        </w:rPr>
        <w:t xml:space="preserve"> del esquema</w:t>
      </w:r>
      <w:r w:rsidR="004C3686" w:rsidRPr="00856664">
        <w:rPr>
          <w:rFonts w:eastAsia="Batang"/>
          <w:lang w:eastAsia="ko-KR"/>
        </w:rPr>
        <w:t xml:space="preserve"> XML </w:t>
      </w:r>
      <w:r w:rsidR="00175563" w:rsidRPr="00856664">
        <w:rPr>
          <w:rFonts w:eastAsia="Batang"/>
          <w:lang w:eastAsia="ko-KR"/>
        </w:rPr>
        <w:t>para la situación jurídica de las</w:t>
      </w:r>
      <w:r w:rsidR="004C3686" w:rsidRPr="00856664">
        <w:rPr>
          <w:rFonts w:eastAsia="Batang"/>
          <w:lang w:eastAsia="ko-KR"/>
        </w:rPr>
        <w:t xml:space="preserve"> </w:t>
      </w:r>
      <w:r w:rsidR="0004193A" w:rsidRPr="00856664">
        <w:rPr>
          <w:rFonts w:eastAsia="Batang"/>
          <w:lang w:eastAsia="ko-KR"/>
        </w:rPr>
        <w:t>patentes</w:t>
      </w:r>
      <w:r w:rsidR="00175563" w:rsidRPr="00856664">
        <w:rPr>
          <w:rFonts w:eastAsia="Batang"/>
          <w:lang w:eastAsia="ko-KR"/>
        </w:rPr>
        <w:t xml:space="preserve"> </w:t>
      </w:r>
      <w:r w:rsidR="007C765A" w:rsidRPr="00856664">
        <w:rPr>
          <w:rFonts w:eastAsia="Batang"/>
          <w:lang w:eastAsia="ko-KR"/>
        </w:rPr>
        <w:t>basado en</w:t>
      </w:r>
      <w:r w:rsidR="00175563" w:rsidRPr="00856664">
        <w:rPr>
          <w:rFonts w:eastAsia="Batang"/>
          <w:lang w:eastAsia="ko-KR"/>
        </w:rPr>
        <w:t xml:space="preserve"> las Normas </w:t>
      </w:r>
      <w:r w:rsidR="004C3686" w:rsidRPr="00856664">
        <w:rPr>
          <w:rFonts w:eastAsia="Batang"/>
          <w:lang w:eastAsia="ko-KR"/>
        </w:rPr>
        <w:t xml:space="preserve">ST.27 </w:t>
      </w:r>
      <w:r w:rsidR="00175563" w:rsidRPr="00856664">
        <w:rPr>
          <w:rFonts w:eastAsia="Batang"/>
          <w:lang w:eastAsia="ko-KR"/>
        </w:rPr>
        <w:t xml:space="preserve">y </w:t>
      </w:r>
      <w:r w:rsidR="004C3686" w:rsidRPr="00856664">
        <w:rPr>
          <w:rFonts w:eastAsia="Batang"/>
          <w:lang w:eastAsia="ko-KR"/>
        </w:rPr>
        <w:t xml:space="preserve">ST.96 </w:t>
      </w:r>
      <w:r w:rsidR="00175563" w:rsidRPr="00856664">
        <w:rPr>
          <w:rFonts w:eastAsia="Batang"/>
          <w:lang w:eastAsia="ko-KR"/>
        </w:rPr>
        <w:t xml:space="preserve">de la OMPI, </w:t>
      </w:r>
      <w:r w:rsidR="00031277" w:rsidRPr="00856664">
        <w:rPr>
          <w:rFonts w:eastAsia="Batang"/>
          <w:lang w:eastAsia="ko-KR"/>
        </w:rPr>
        <w:t xml:space="preserve">elemento necesario para </w:t>
      </w:r>
      <w:r w:rsidR="00175563" w:rsidRPr="00856664">
        <w:rPr>
          <w:rFonts w:eastAsia="Batang"/>
          <w:lang w:eastAsia="ko-KR"/>
        </w:rPr>
        <w:t xml:space="preserve">que pueda llevarse adelante la aplicación. Otro obstáculo a la aplicación, reconocido por algunas OPI, está dado por la </w:t>
      </w:r>
      <w:r w:rsidR="00175563" w:rsidRPr="00856664">
        <w:rPr>
          <w:rFonts w:eastAsia="Batang"/>
          <w:lang w:eastAsia="ko-KR"/>
        </w:rPr>
        <w:lastRenderedPageBreak/>
        <w:t xml:space="preserve">existencia de prioridades internas </w:t>
      </w:r>
      <w:r w:rsidR="00031277" w:rsidRPr="00856664">
        <w:rPr>
          <w:rFonts w:eastAsia="Batang"/>
          <w:lang w:eastAsia="ko-KR"/>
        </w:rPr>
        <w:t xml:space="preserve">que están </w:t>
      </w:r>
      <w:r w:rsidR="00175563" w:rsidRPr="00856664">
        <w:rPr>
          <w:rFonts w:eastAsia="Batang"/>
          <w:lang w:eastAsia="ko-KR"/>
        </w:rPr>
        <w:t xml:space="preserve">en competencia y/o </w:t>
      </w:r>
      <w:r w:rsidR="00031277" w:rsidRPr="00856664">
        <w:rPr>
          <w:rFonts w:eastAsia="Batang"/>
          <w:lang w:eastAsia="ko-KR"/>
        </w:rPr>
        <w:t xml:space="preserve">por </w:t>
      </w:r>
      <w:r w:rsidR="00175563" w:rsidRPr="00856664">
        <w:rPr>
          <w:rFonts w:eastAsia="Batang"/>
          <w:lang w:eastAsia="ko-KR"/>
        </w:rPr>
        <w:t xml:space="preserve">la introducción </w:t>
      </w:r>
      <w:r w:rsidR="00031277" w:rsidRPr="00856664">
        <w:rPr>
          <w:rFonts w:eastAsia="Batang"/>
          <w:lang w:eastAsia="ko-KR"/>
        </w:rPr>
        <w:t xml:space="preserve">inminente </w:t>
      </w:r>
      <w:r w:rsidR="00175563" w:rsidRPr="00856664">
        <w:rPr>
          <w:rFonts w:eastAsia="Batang"/>
          <w:lang w:eastAsia="ko-KR"/>
        </w:rPr>
        <w:t xml:space="preserve">de modificaciones en los ámbitos operacional y de </w:t>
      </w:r>
      <w:r w:rsidR="00031277" w:rsidRPr="00856664">
        <w:rPr>
          <w:rFonts w:eastAsia="Batang"/>
          <w:lang w:eastAsia="ko-KR"/>
        </w:rPr>
        <w:t xml:space="preserve">las </w:t>
      </w:r>
      <w:r w:rsidR="00175563" w:rsidRPr="00856664">
        <w:rPr>
          <w:rFonts w:eastAsia="Batang"/>
          <w:lang w:eastAsia="ko-KR"/>
        </w:rPr>
        <w:t>TI</w:t>
      </w:r>
      <w:r w:rsidR="004C3686" w:rsidRPr="00856664">
        <w:rPr>
          <w:rFonts w:eastAsia="Batang"/>
          <w:lang w:eastAsia="ko-KR"/>
        </w:rPr>
        <w:t>.</w:t>
      </w:r>
    </w:p>
    <w:p w:rsidR="004C3686" w:rsidRPr="00856664" w:rsidRDefault="008C508E" w:rsidP="004C3686">
      <w:pPr>
        <w:keepNext/>
        <w:spacing w:before="240" w:after="60"/>
        <w:outlineLvl w:val="1"/>
        <w:rPr>
          <w:bCs/>
          <w:iCs/>
          <w:caps/>
          <w:szCs w:val="28"/>
          <w:lang w:eastAsia="ko-KR"/>
        </w:rPr>
      </w:pPr>
      <w:r w:rsidRPr="00856664">
        <w:rPr>
          <w:bCs/>
          <w:iCs/>
          <w:szCs w:val="28"/>
          <w:lang w:eastAsia="ko-KR"/>
        </w:rPr>
        <w:t xml:space="preserve">CORRESPONDENCIA DE LAS INCIDENCIAS </w:t>
      </w:r>
      <w:r w:rsidR="0004193A" w:rsidRPr="00856664">
        <w:rPr>
          <w:bCs/>
          <w:iCs/>
          <w:szCs w:val="28"/>
          <w:lang w:eastAsia="ko-KR"/>
        </w:rPr>
        <w:t>NACIONALES</w:t>
      </w:r>
      <w:r w:rsidR="004C3686" w:rsidRPr="00856664">
        <w:rPr>
          <w:bCs/>
          <w:iCs/>
          <w:szCs w:val="28"/>
          <w:lang w:eastAsia="ko-KR"/>
        </w:rPr>
        <w:t>/</w:t>
      </w:r>
      <w:r w:rsidR="0004193A" w:rsidRPr="00856664">
        <w:rPr>
          <w:bCs/>
          <w:iCs/>
          <w:szCs w:val="28"/>
          <w:lang w:eastAsia="ko-KR"/>
        </w:rPr>
        <w:t>REGIONALES</w:t>
      </w:r>
      <w:r w:rsidRPr="00856664">
        <w:rPr>
          <w:bCs/>
          <w:iCs/>
          <w:szCs w:val="28"/>
          <w:lang w:eastAsia="ko-KR"/>
        </w:rPr>
        <w:t xml:space="preserve"> CON LA NORMA </w:t>
      </w:r>
      <w:r w:rsidR="004C3686" w:rsidRPr="00856664">
        <w:rPr>
          <w:bCs/>
          <w:iCs/>
          <w:szCs w:val="28"/>
          <w:lang w:eastAsia="ko-KR"/>
        </w:rPr>
        <w:t>ST.27</w:t>
      </w:r>
    </w:p>
    <w:p w:rsidR="004C3686" w:rsidRPr="00856664" w:rsidRDefault="0004193A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Según lo</w:t>
      </w:r>
      <w:r w:rsidR="008C508E" w:rsidRPr="00856664">
        <w:rPr>
          <w:rFonts w:eastAsia="Batang"/>
          <w:lang w:eastAsia="ko-KR"/>
        </w:rPr>
        <w:t xml:space="preserve"> recomendado en la Norma </w:t>
      </w:r>
      <w:r w:rsidR="004C3686" w:rsidRPr="00856664">
        <w:rPr>
          <w:rFonts w:eastAsia="Batang"/>
          <w:lang w:eastAsia="ko-KR"/>
        </w:rPr>
        <w:t>ST.27</w:t>
      </w:r>
      <w:r w:rsidR="008C508E" w:rsidRPr="00856664">
        <w:rPr>
          <w:rFonts w:eastAsia="Batang"/>
          <w:lang w:eastAsia="ko-KR"/>
        </w:rPr>
        <w:t xml:space="preserve"> de la OMPI</w:t>
      </w:r>
      <w:r w:rsidR="004C3686" w:rsidRPr="00856664">
        <w:rPr>
          <w:rFonts w:eastAsia="Batang"/>
          <w:lang w:eastAsia="ko-KR"/>
        </w:rPr>
        <w:t xml:space="preserve">, </w:t>
      </w:r>
      <w:r w:rsidR="00031277" w:rsidRPr="00856664">
        <w:rPr>
          <w:rFonts w:eastAsia="Batang"/>
          <w:lang w:eastAsia="ko-KR"/>
        </w:rPr>
        <w:t>para aplicar</w:t>
      </w:r>
      <w:r w:rsidR="008C508E" w:rsidRPr="00856664">
        <w:rPr>
          <w:rFonts w:eastAsia="Batang"/>
          <w:lang w:eastAsia="ko-KR"/>
        </w:rPr>
        <w:t xml:space="preserve"> dicha Norma las OPI </w:t>
      </w:r>
      <w:r w:rsidR="00031277" w:rsidRPr="00856664">
        <w:rPr>
          <w:rFonts w:eastAsia="Batang"/>
          <w:lang w:eastAsia="ko-KR"/>
        </w:rPr>
        <w:t>han de establecer</w:t>
      </w:r>
      <w:r w:rsidR="008C508E" w:rsidRPr="00856664">
        <w:rPr>
          <w:rFonts w:eastAsia="Batang"/>
          <w:lang w:eastAsia="ko-KR"/>
        </w:rPr>
        <w:t xml:space="preserve"> una correspondencia </w:t>
      </w:r>
      <w:r w:rsidR="00031277" w:rsidRPr="00856664">
        <w:rPr>
          <w:rFonts w:eastAsia="Batang"/>
          <w:lang w:eastAsia="ko-KR"/>
        </w:rPr>
        <w:t>entre</w:t>
      </w:r>
      <w:r w:rsidR="008C508E" w:rsidRPr="00856664">
        <w:rPr>
          <w:rFonts w:eastAsia="Batang"/>
          <w:lang w:eastAsia="ko-KR"/>
        </w:rPr>
        <w:t xml:space="preserve"> sus incidencias </w:t>
      </w:r>
      <w:r w:rsidRPr="00856664">
        <w:rPr>
          <w:rFonts w:eastAsia="Batang"/>
          <w:lang w:eastAsia="ko-KR"/>
        </w:rPr>
        <w:t>nacionales</w:t>
      </w:r>
      <w:r w:rsidR="004C3686" w:rsidRPr="00856664">
        <w:rPr>
          <w:rFonts w:eastAsia="Batang"/>
          <w:lang w:eastAsia="ko-KR"/>
        </w:rPr>
        <w:t>/</w:t>
      </w:r>
      <w:r w:rsidRPr="00856664">
        <w:rPr>
          <w:rFonts w:eastAsia="Batang"/>
          <w:lang w:eastAsia="ko-KR"/>
        </w:rPr>
        <w:t>regionales</w:t>
      </w:r>
      <w:r w:rsidR="008C508E" w:rsidRPr="00856664">
        <w:rPr>
          <w:rFonts w:eastAsia="Batang"/>
          <w:lang w:eastAsia="ko-KR"/>
        </w:rPr>
        <w:t xml:space="preserve"> </w:t>
      </w:r>
      <w:r w:rsidR="00031277" w:rsidRPr="00856664">
        <w:rPr>
          <w:rFonts w:eastAsia="Batang"/>
          <w:lang w:eastAsia="ko-KR"/>
        </w:rPr>
        <w:t>y</w:t>
      </w:r>
      <w:r w:rsidR="008C508E" w:rsidRPr="00856664">
        <w:rPr>
          <w:rFonts w:eastAsia="Batang"/>
          <w:lang w:eastAsia="ko-KR"/>
        </w:rPr>
        <w:t xml:space="preserve"> las incidencias </w:t>
      </w:r>
      <w:r w:rsidR="00031277" w:rsidRPr="00856664">
        <w:rPr>
          <w:rFonts w:eastAsia="Batang"/>
          <w:lang w:eastAsia="ko-KR"/>
        </w:rPr>
        <w:t>enumeradas en</w:t>
      </w:r>
      <w:r w:rsidR="008C508E" w:rsidRPr="00856664">
        <w:rPr>
          <w:rFonts w:eastAsia="Batang"/>
          <w:lang w:eastAsia="ko-KR"/>
        </w:rPr>
        <w:t xml:space="preserve"> la Norma</w:t>
      </w:r>
      <w:r w:rsidR="004C3686" w:rsidRPr="00856664">
        <w:rPr>
          <w:rFonts w:eastAsia="Batang"/>
          <w:lang w:eastAsia="ko-KR"/>
        </w:rPr>
        <w:t xml:space="preserve"> o</w:t>
      </w:r>
      <w:r w:rsidR="008C508E" w:rsidRPr="00856664">
        <w:rPr>
          <w:rFonts w:eastAsia="Batang"/>
          <w:lang w:eastAsia="ko-KR"/>
        </w:rPr>
        <w:t>,</w:t>
      </w:r>
      <w:r w:rsidR="004C3686" w:rsidRPr="00856664">
        <w:rPr>
          <w:rFonts w:eastAsia="Batang"/>
          <w:lang w:eastAsia="ko-KR"/>
        </w:rPr>
        <w:t xml:space="preserve"> </w:t>
      </w:r>
      <w:r w:rsidR="008C508E" w:rsidRPr="00856664">
        <w:rPr>
          <w:rFonts w:eastAsia="Batang"/>
          <w:lang w:eastAsia="ko-KR"/>
        </w:rPr>
        <w:t xml:space="preserve">como mínimo, con las categorías </w:t>
      </w:r>
      <w:r w:rsidR="00031277" w:rsidRPr="00856664">
        <w:rPr>
          <w:rFonts w:eastAsia="Batang"/>
          <w:lang w:eastAsia="ko-KR"/>
        </w:rPr>
        <w:t>indicadas en ella</w:t>
      </w:r>
      <w:r w:rsidR="004C3686" w:rsidRPr="00856664">
        <w:rPr>
          <w:rFonts w:eastAsia="Batang"/>
          <w:lang w:eastAsia="ko-KR"/>
        </w:rPr>
        <w:t xml:space="preserve">. </w:t>
      </w:r>
      <w:r w:rsidR="008C508E" w:rsidRPr="00856664">
        <w:rPr>
          <w:rFonts w:eastAsia="Batang"/>
          <w:lang w:eastAsia="ko-KR"/>
        </w:rPr>
        <w:t xml:space="preserve">En el </w:t>
      </w:r>
      <w:r w:rsidRPr="00856664">
        <w:rPr>
          <w:rFonts w:eastAsia="Batang"/>
          <w:lang w:eastAsia="ko-KR"/>
        </w:rPr>
        <w:t>Anexo</w:t>
      </w:r>
      <w:r w:rsidR="004C3686" w:rsidRPr="00856664">
        <w:rPr>
          <w:rFonts w:eastAsia="Batang"/>
          <w:lang w:eastAsia="ko-KR"/>
        </w:rPr>
        <w:t xml:space="preserve"> IV </w:t>
      </w:r>
      <w:r w:rsidR="008C508E" w:rsidRPr="00856664">
        <w:rPr>
          <w:rFonts w:eastAsia="Batang"/>
          <w:lang w:eastAsia="ko-KR"/>
        </w:rPr>
        <w:t>de la Norma ST.27 de la OMPI</w:t>
      </w:r>
      <w:r w:rsidR="004C3686" w:rsidRPr="00856664">
        <w:rPr>
          <w:rFonts w:eastAsia="Batang"/>
          <w:lang w:eastAsia="ko-KR"/>
        </w:rPr>
        <w:t xml:space="preserve"> </w:t>
      </w:r>
      <w:r w:rsidR="008C508E" w:rsidRPr="00856664">
        <w:rPr>
          <w:rFonts w:eastAsia="Batang"/>
          <w:lang w:eastAsia="ko-KR"/>
        </w:rPr>
        <w:t>figura una plantilla para las correspondencias</w:t>
      </w:r>
      <w:r w:rsidR="004C3686" w:rsidRPr="00856664">
        <w:rPr>
          <w:rFonts w:eastAsia="Batang"/>
          <w:lang w:eastAsia="ko-KR"/>
        </w:rPr>
        <w:t xml:space="preserve">. </w:t>
      </w:r>
      <w:r w:rsidR="00031277" w:rsidRPr="00856664">
        <w:rPr>
          <w:rFonts w:eastAsia="Batang"/>
          <w:lang w:eastAsia="ko-KR"/>
        </w:rPr>
        <w:t xml:space="preserve">Se </w:t>
      </w:r>
      <w:r w:rsidR="00811E41" w:rsidRPr="00856664">
        <w:rPr>
          <w:rFonts w:eastAsia="Batang"/>
          <w:lang w:eastAsia="ko-KR"/>
        </w:rPr>
        <w:t xml:space="preserve">insta a las OPI a </w:t>
      </w:r>
      <w:r w:rsidR="00031277" w:rsidRPr="00856664">
        <w:rPr>
          <w:rFonts w:eastAsia="Batang"/>
          <w:lang w:eastAsia="ko-KR"/>
        </w:rPr>
        <w:t>que, cuando completen la tabla de correspondencias, faciliten</w:t>
      </w:r>
      <w:r w:rsidR="00811E41" w:rsidRPr="00856664">
        <w:rPr>
          <w:rFonts w:eastAsia="Batang"/>
          <w:lang w:eastAsia="ko-KR"/>
        </w:rPr>
        <w:t xml:space="preserve"> un título y una </w:t>
      </w:r>
      <w:r w:rsidRPr="00856664">
        <w:rPr>
          <w:rFonts w:eastAsia="Batang"/>
          <w:lang w:eastAsia="ko-KR"/>
        </w:rPr>
        <w:t>descripción</w:t>
      </w:r>
      <w:r w:rsidR="00811E41" w:rsidRPr="00856664">
        <w:rPr>
          <w:rFonts w:eastAsia="Batang"/>
          <w:lang w:eastAsia="ko-KR"/>
        </w:rPr>
        <w:t xml:space="preserve"> de sus incidencias </w:t>
      </w:r>
      <w:r w:rsidRPr="00856664">
        <w:rPr>
          <w:rFonts w:eastAsia="Batang"/>
          <w:lang w:eastAsia="ko-KR"/>
        </w:rPr>
        <w:t>nacionales</w:t>
      </w:r>
      <w:r w:rsidR="004C3686" w:rsidRPr="00856664">
        <w:rPr>
          <w:rFonts w:eastAsia="Batang"/>
          <w:lang w:eastAsia="ko-KR"/>
        </w:rPr>
        <w:t>/</w:t>
      </w:r>
      <w:r w:rsidRPr="00856664">
        <w:rPr>
          <w:rFonts w:eastAsia="Batang"/>
          <w:lang w:eastAsia="ko-KR"/>
        </w:rPr>
        <w:t>regionales</w:t>
      </w:r>
      <w:r w:rsidR="00811E41" w:rsidRPr="00856664">
        <w:rPr>
          <w:rFonts w:eastAsia="Batang"/>
          <w:lang w:eastAsia="ko-KR"/>
        </w:rPr>
        <w:t>, en su idioma</w:t>
      </w:r>
      <w:r w:rsidR="004C3686" w:rsidRPr="00856664">
        <w:rPr>
          <w:rFonts w:eastAsia="Batang"/>
          <w:lang w:eastAsia="ko-KR"/>
        </w:rPr>
        <w:t xml:space="preserve"> original </w:t>
      </w:r>
      <w:r w:rsidR="00811E41" w:rsidRPr="00856664">
        <w:rPr>
          <w:rFonts w:eastAsia="Batang"/>
          <w:lang w:eastAsia="ko-KR"/>
        </w:rPr>
        <w:t xml:space="preserve">y en inglés, para que los usuarios </w:t>
      </w:r>
      <w:r w:rsidR="00031277" w:rsidRPr="00856664">
        <w:rPr>
          <w:rFonts w:eastAsia="Batang"/>
          <w:lang w:eastAsia="ko-KR"/>
        </w:rPr>
        <w:t>dispongan de</w:t>
      </w:r>
      <w:r w:rsidR="00811E41" w:rsidRPr="00856664">
        <w:rPr>
          <w:rFonts w:eastAsia="Batang"/>
          <w:lang w:eastAsia="ko-KR"/>
        </w:rPr>
        <w:t xml:space="preserve"> más </w:t>
      </w:r>
      <w:r w:rsidRPr="00856664">
        <w:rPr>
          <w:rFonts w:eastAsia="Batang"/>
          <w:lang w:eastAsia="ko-KR"/>
        </w:rPr>
        <w:t>información</w:t>
      </w:r>
      <w:r w:rsidR="004C3686" w:rsidRPr="00856664">
        <w:rPr>
          <w:rFonts w:eastAsia="Batang"/>
          <w:lang w:eastAsia="ko-KR"/>
        </w:rPr>
        <w:t xml:space="preserve"> </w:t>
      </w:r>
      <w:r w:rsidR="00811E41" w:rsidRPr="00856664">
        <w:rPr>
          <w:rFonts w:eastAsia="Batang"/>
          <w:lang w:eastAsia="ko-KR"/>
        </w:rPr>
        <w:t>acerca de esa incidencia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>nacional</w:t>
      </w:r>
      <w:r w:rsidR="004C3686" w:rsidRPr="00856664">
        <w:rPr>
          <w:rFonts w:eastAsia="Batang"/>
          <w:lang w:eastAsia="ko-KR"/>
        </w:rPr>
        <w:t>/regional</w:t>
      </w:r>
      <w:r w:rsidR="00031277" w:rsidRPr="00856664">
        <w:rPr>
          <w:rFonts w:eastAsia="Batang"/>
          <w:lang w:eastAsia="ko-KR"/>
        </w:rPr>
        <w:t xml:space="preserve"> en particular</w:t>
      </w:r>
      <w:r w:rsidR="004C3686" w:rsidRPr="00856664">
        <w:rPr>
          <w:rFonts w:eastAsia="Batang"/>
          <w:lang w:eastAsia="ko-KR"/>
        </w:rPr>
        <w:t>.</w:t>
      </w:r>
    </w:p>
    <w:p w:rsidR="004C3686" w:rsidRPr="00856664" w:rsidRDefault="00031277" w:rsidP="00314E87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Las tablas de correspondencia de las 12 OPI siguientes, a saber, CA, CN, DE, EA, EP, FR, GB, JP, KR, RU, UA y US se obtuvieron en </w:t>
      </w:r>
      <w:r w:rsidR="00314E87" w:rsidRPr="00856664">
        <w:rPr>
          <w:rFonts w:eastAsia="Batang"/>
          <w:lang w:eastAsia="ko-KR"/>
        </w:rPr>
        <w:t>respuesta a la</w:t>
      </w:r>
      <w:r w:rsidR="004C3686" w:rsidRPr="00856664">
        <w:rPr>
          <w:rFonts w:eastAsia="Batang"/>
          <w:lang w:eastAsia="ko-KR"/>
        </w:rPr>
        <w:t xml:space="preserve"> Circular </w:t>
      </w:r>
      <w:r w:rsidR="0004193A" w:rsidRPr="00856664">
        <w:rPr>
          <w:rFonts w:eastAsia="Batang"/>
          <w:lang w:eastAsia="ko-KR"/>
        </w:rPr>
        <w:t>mencionada</w:t>
      </w:r>
      <w:r w:rsidR="00314E87" w:rsidRPr="00856664">
        <w:rPr>
          <w:rFonts w:eastAsia="Batang"/>
          <w:lang w:eastAsia="ko-KR"/>
        </w:rPr>
        <w:t xml:space="preserve"> más arriba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>siendo el fruto de la</w:t>
      </w:r>
      <w:r w:rsidR="00314E87" w:rsidRPr="00856664">
        <w:rPr>
          <w:rFonts w:eastAsia="Batang"/>
          <w:lang w:eastAsia="ko-KR"/>
        </w:rPr>
        <w:t xml:space="preserve"> participación en la actividad relativa a la situación jurídica</w:t>
      </w:r>
      <w:r w:rsidR="004C3686" w:rsidRPr="00856664">
        <w:rPr>
          <w:rFonts w:eastAsia="Batang"/>
          <w:lang w:eastAsia="ko-KR"/>
        </w:rPr>
        <w:t xml:space="preserve"> </w:t>
      </w:r>
      <w:r w:rsidR="00314E87" w:rsidRPr="00856664">
        <w:rPr>
          <w:rFonts w:eastAsia="Batang"/>
          <w:lang w:eastAsia="ko-KR"/>
        </w:rPr>
        <w:t xml:space="preserve">y </w:t>
      </w:r>
      <w:r w:rsidRPr="00856664">
        <w:rPr>
          <w:rFonts w:eastAsia="Batang"/>
          <w:lang w:eastAsia="ko-KR"/>
        </w:rPr>
        <w:t>el</w:t>
      </w:r>
      <w:r w:rsidR="00314E87" w:rsidRPr="00856664">
        <w:rPr>
          <w:rFonts w:eastAsia="Batang"/>
          <w:lang w:eastAsia="ko-KR"/>
        </w:rPr>
        <w:t xml:space="preserve"> resultado de la </w:t>
      </w:r>
      <w:r w:rsidR="0004193A" w:rsidRPr="00856664">
        <w:rPr>
          <w:rFonts w:eastAsia="Batang"/>
          <w:lang w:eastAsia="ko-KR"/>
        </w:rPr>
        <w:t>colaboración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>en lo que atañe</w:t>
      </w:r>
      <w:r w:rsidR="00314E87" w:rsidRPr="00856664">
        <w:rPr>
          <w:rFonts w:eastAsia="Batang"/>
          <w:lang w:eastAsia="ko-KR"/>
        </w:rPr>
        <w:t xml:space="preserve"> al establecimiento de correspondencias </w:t>
      </w:r>
      <w:r w:rsidR="008F0A5D" w:rsidRPr="00856664">
        <w:rPr>
          <w:rFonts w:eastAsia="Batang"/>
          <w:lang w:eastAsia="ko-KR"/>
        </w:rPr>
        <w:t>para</w:t>
      </w:r>
      <w:r w:rsidR="00314E87" w:rsidRPr="00856664">
        <w:rPr>
          <w:rFonts w:eastAsia="Batang"/>
          <w:lang w:eastAsia="ko-KR"/>
        </w:rPr>
        <w:t xml:space="preserve"> las incidencias </w:t>
      </w:r>
      <w:r w:rsidR="0004193A" w:rsidRPr="00856664">
        <w:t>nacionales</w:t>
      </w:r>
      <w:r w:rsidR="00314E87" w:rsidRPr="00856664">
        <w:t xml:space="preserve"> o </w:t>
      </w:r>
      <w:r w:rsidR="0004193A" w:rsidRPr="00856664">
        <w:t>regionales</w:t>
      </w:r>
      <w:r w:rsidR="00314E87" w:rsidRPr="00856664">
        <w:t xml:space="preserve"> </w:t>
      </w:r>
      <w:r w:rsidR="00314E87" w:rsidRPr="00856664">
        <w:rPr>
          <w:rFonts w:eastAsia="Batang"/>
          <w:lang w:eastAsia="ko-KR"/>
        </w:rPr>
        <w:t xml:space="preserve">que determinan la situación jurídica de las </w:t>
      </w:r>
      <w:r w:rsidR="0004193A" w:rsidRPr="00856664">
        <w:t>patentes</w:t>
      </w:r>
      <w:r w:rsidR="00314E87" w:rsidRPr="00856664">
        <w:t xml:space="preserve"> y que están incluidas en la base de datos del Centro Internacional de </w:t>
      </w:r>
      <w:r w:rsidR="0004193A" w:rsidRPr="00856664">
        <w:t>Documentación</w:t>
      </w:r>
      <w:r w:rsidR="00314E87" w:rsidRPr="00856664">
        <w:t xml:space="preserve"> de Patentes </w:t>
      </w:r>
      <w:r w:rsidR="004C3686" w:rsidRPr="00856664">
        <w:t>(INPADOC)</w:t>
      </w:r>
      <w:r w:rsidR="004C3686" w:rsidRPr="00856664">
        <w:rPr>
          <w:rFonts w:eastAsia="Batang"/>
          <w:lang w:eastAsia="ko-KR"/>
        </w:rPr>
        <w:t xml:space="preserve"> (</w:t>
      </w:r>
      <w:r w:rsidR="00314E87" w:rsidRPr="00856664">
        <w:rPr>
          <w:rFonts w:eastAsia="Batang"/>
          <w:lang w:eastAsia="ko-KR"/>
        </w:rPr>
        <w:t>véase el párrafo</w:t>
      </w:r>
      <w:r w:rsidR="004C3686" w:rsidRPr="00856664">
        <w:rPr>
          <w:rFonts w:eastAsia="Batang"/>
          <w:lang w:eastAsia="ko-KR"/>
        </w:rPr>
        <w:t xml:space="preserve"> 9 </w:t>
      </w:r>
      <w:r w:rsidR="00314E87" w:rsidRPr="00856664">
        <w:rPr>
          <w:rFonts w:eastAsia="Batang"/>
          <w:lang w:eastAsia="ko-KR"/>
        </w:rPr>
        <w:t xml:space="preserve">del </w:t>
      </w:r>
      <w:r w:rsidR="0004193A" w:rsidRPr="00856664">
        <w:rPr>
          <w:rFonts w:eastAsia="Batang"/>
          <w:lang w:eastAsia="ko-KR"/>
        </w:rPr>
        <w:t>documento</w:t>
      </w:r>
      <w:r w:rsidR="004C3686" w:rsidRPr="00856664">
        <w:rPr>
          <w:rFonts w:eastAsia="Batang"/>
          <w:lang w:eastAsia="ko-KR"/>
        </w:rPr>
        <w:t xml:space="preserve"> CWS/6/11).</w:t>
      </w:r>
    </w:p>
    <w:p w:rsidR="004C3686" w:rsidRPr="00856664" w:rsidRDefault="00314E87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La Oficina Internacional ha preparado un proyecto de tabla</w:t>
      </w:r>
      <w:r w:rsidR="001E119E" w:rsidRPr="00856664">
        <w:rPr>
          <w:rFonts w:eastAsia="Batang"/>
          <w:lang w:eastAsia="ko-KR"/>
        </w:rPr>
        <w:t>s</w:t>
      </w:r>
      <w:r w:rsidRPr="00856664">
        <w:rPr>
          <w:rFonts w:eastAsia="Batang"/>
          <w:lang w:eastAsia="ko-KR"/>
        </w:rPr>
        <w:t xml:space="preserve"> </w:t>
      </w:r>
      <w:r w:rsidR="001E119E" w:rsidRPr="00856664">
        <w:rPr>
          <w:rFonts w:eastAsia="Batang"/>
          <w:lang w:eastAsia="ko-KR"/>
        </w:rPr>
        <w:t xml:space="preserve">consolidadas </w:t>
      </w:r>
      <w:r w:rsidRPr="00856664">
        <w:rPr>
          <w:rFonts w:eastAsia="Batang"/>
          <w:lang w:eastAsia="ko-KR"/>
        </w:rPr>
        <w:t>de correspondencia</w:t>
      </w:r>
      <w:r w:rsidR="001E119E" w:rsidRPr="00856664">
        <w:rPr>
          <w:rFonts w:eastAsia="Batang"/>
          <w:lang w:eastAsia="ko-KR"/>
        </w:rPr>
        <w:t>s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 xml:space="preserve">que incluye la </w:t>
      </w:r>
      <w:r w:rsidR="0004193A" w:rsidRPr="00856664">
        <w:rPr>
          <w:rFonts w:eastAsia="Batang"/>
          <w:lang w:eastAsia="ko-KR"/>
        </w:rPr>
        <w:t>información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>recibida de las OPI antes mencionadas</w:t>
      </w:r>
      <w:r w:rsidR="004C3686" w:rsidRPr="00856664">
        <w:rPr>
          <w:rFonts w:eastAsia="Batang"/>
          <w:lang w:eastAsia="ko-KR"/>
        </w:rPr>
        <w:t xml:space="preserve">. </w:t>
      </w:r>
      <w:r w:rsidRPr="00856664">
        <w:rPr>
          <w:rFonts w:eastAsia="Batang"/>
          <w:lang w:eastAsia="ko-KR"/>
        </w:rPr>
        <w:t xml:space="preserve">Las tablas de correspondencia podrán perfeccionarse a medida que se revisa la </w:t>
      </w:r>
      <w:r w:rsidR="008F0A5D" w:rsidRPr="00856664">
        <w:rPr>
          <w:rFonts w:eastAsia="Batang"/>
          <w:lang w:eastAsia="ko-KR"/>
        </w:rPr>
        <w:t>Norma ST.27 de la </w:t>
      </w:r>
      <w:r w:rsidR="008C508E" w:rsidRPr="00856664">
        <w:rPr>
          <w:rFonts w:eastAsia="Batang"/>
          <w:lang w:eastAsia="ko-KR"/>
        </w:rPr>
        <w:t>OMPI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 xml:space="preserve">y que las OPI siguen </w:t>
      </w:r>
      <w:r w:rsidR="008F0A5D" w:rsidRPr="00856664">
        <w:rPr>
          <w:rFonts w:eastAsia="Batang"/>
          <w:lang w:eastAsia="ko-KR"/>
        </w:rPr>
        <w:t>a su vez reexaminando</w:t>
      </w:r>
      <w:r w:rsidRPr="00856664">
        <w:rPr>
          <w:rFonts w:eastAsia="Batang"/>
          <w:lang w:eastAsia="ko-KR"/>
        </w:rPr>
        <w:t xml:space="preserve"> sus correspondencias</w:t>
      </w:r>
      <w:r w:rsidR="008F0A5D" w:rsidRPr="00856664">
        <w:rPr>
          <w:rFonts w:eastAsia="Batang"/>
          <w:lang w:eastAsia="ko-KR"/>
        </w:rPr>
        <w:t>,</w:t>
      </w:r>
      <w:r w:rsidRPr="00856664">
        <w:rPr>
          <w:rFonts w:eastAsia="Batang"/>
          <w:lang w:eastAsia="ko-KR"/>
        </w:rPr>
        <w:t xml:space="preserve"> de conformidad con el </w:t>
      </w:r>
      <w:r w:rsidR="0004193A" w:rsidRPr="00856664">
        <w:rPr>
          <w:rFonts w:eastAsia="Batang"/>
          <w:lang w:eastAsia="ko-KR"/>
        </w:rPr>
        <w:t>Documento</w:t>
      </w:r>
      <w:r w:rsidRPr="00856664">
        <w:rPr>
          <w:rFonts w:eastAsia="Batang"/>
          <w:lang w:eastAsia="ko-KR"/>
        </w:rPr>
        <w:t xml:space="preserve"> de orientación</w:t>
      </w:r>
      <w:r w:rsidR="004C3686" w:rsidRPr="00856664">
        <w:rPr>
          <w:rFonts w:eastAsia="Batang"/>
          <w:lang w:eastAsia="ko-KR"/>
        </w:rPr>
        <w:t xml:space="preserve"> o</w:t>
      </w:r>
      <w:r w:rsidRPr="00856664">
        <w:rPr>
          <w:rFonts w:eastAsia="Batang"/>
          <w:lang w:eastAsia="ko-KR"/>
        </w:rPr>
        <w:t xml:space="preserve"> por cualquier otro motivo, </w:t>
      </w:r>
      <w:r w:rsidR="008F0A5D" w:rsidRPr="00856664">
        <w:rPr>
          <w:rFonts w:eastAsia="Batang"/>
          <w:lang w:eastAsia="ko-KR"/>
        </w:rPr>
        <w:t>cuando corresponda</w:t>
      </w:r>
      <w:r w:rsidR="004C3686" w:rsidRPr="00856664">
        <w:rPr>
          <w:rFonts w:eastAsia="Batang"/>
          <w:lang w:eastAsia="ko-KR"/>
        </w:rPr>
        <w:t xml:space="preserve">. </w:t>
      </w:r>
      <w:r w:rsidRPr="00856664">
        <w:rPr>
          <w:rFonts w:eastAsia="Batang"/>
          <w:lang w:eastAsia="ko-KR"/>
        </w:rPr>
        <w:t xml:space="preserve">El proyecto de tablas de correspondencia se reproduce en el </w:t>
      </w:r>
      <w:r w:rsidR="0004193A" w:rsidRPr="00856664">
        <w:rPr>
          <w:rFonts w:eastAsia="Batang"/>
          <w:lang w:eastAsia="ko-KR"/>
        </w:rPr>
        <w:t>Anexo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 xml:space="preserve">del presente </w:t>
      </w:r>
      <w:r w:rsidR="0004193A" w:rsidRPr="00856664">
        <w:rPr>
          <w:rFonts w:eastAsia="Batang"/>
          <w:lang w:eastAsia="ko-KR"/>
        </w:rPr>
        <w:t>documento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>para su examen por el </w:t>
      </w:r>
      <w:r w:rsidR="004C3686" w:rsidRPr="00856664">
        <w:rPr>
          <w:rFonts w:eastAsia="Batang"/>
          <w:lang w:eastAsia="ko-KR"/>
        </w:rPr>
        <w:t>CWS.</w:t>
      </w:r>
    </w:p>
    <w:p w:rsidR="004C3686" w:rsidRPr="00856664" w:rsidRDefault="00314E87" w:rsidP="004C3686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 xml:space="preserve">La Oficina Internacional prevé publicar las tablas </w:t>
      </w:r>
      <w:r w:rsidR="001E119E" w:rsidRPr="00856664">
        <w:rPr>
          <w:rFonts w:eastAsia="Batang"/>
          <w:lang w:eastAsia="ko-KR"/>
        </w:rPr>
        <w:t xml:space="preserve">consolidadas </w:t>
      </w:r>
      <w:r w:rsidRPr="00856664">
        <w:rPr>
          <w:rFonts w:eastAsia="Batang"/>
          <w:lang w:eastAsia="ko-KR"/>
        </w:rPr>
        <w:t>de correspondencia de</w:t>
      </w:r>
      <w:r w:rsidR="001E119E" w:rsidRPr="00856664">
        <w:rPr>
          <w:rFonts w:eastAsia="Batang"/>
          <w:lang w:eastAsia="ko-KR"/>
        </w:rPr>
        <w:t xml:space="preserve"> las </w:t>
      </w:r>
      <w:r w:rsidRPr="00856664">
        <w:rPr>
          <w:rFonts w:eastAsia="Batang"/>
          <w:lang w:eastAsia="ko-KR"/>
        </w:rPr>
        <w:t xml:space="preserve">OPI en el sitio web de la OMPI una vez que el </w:t>
      </w:r>
      <w:r w:rsidR="004C3686" w:rsidRPr="00856664">
        <w:rPr>
          <w:rFonts w:eastAsia="Batang"/>
          <w:lang w:eastAsia="ko-KR"/>
        </w:rPr>
        <w:t xml:space="preserve">CWS </w:t>
      </w:r>
      <w:r w:rsidRPr="00856664">
        <w:rPr>
          <w:rFonts w:eastAsia="Batang"/>
          <w:lang w:eastAsia="ko-KR"/>
        </w:rPr>
        <w:t>las haya aprobado</w:t>
      </w:r>
      <w:r w:rsidR="004C3686" w:rsidRPr="00856664">
        <w:rPr>
          <w:rFonts w:eastAsia="Batang"/>
          <w:lang w:eastAsia="ko-KR"/>
        </w:rPr>
        <w:t>.</w:t>
      </w:r>
    </w:p>
    <w:p w:rsidR="004C3686" w:rsidRPr="00856664" w:rsidRDefault="00F543E0" w:rsidP="004C3686">
      <w:pPr>
        <w:keepNext/>
        <w:spacing w:before="240" w:after="60"/>
        <w:outlineLvl w:val="1"/>
        <w:rPr>
          <w:bCs/>
          <w:iCs/>
          <w:caps/>
          <w:szCs w:val="28"/>
          <w:lang w:eastAsia="ko-KR"/>
        </w:rPr>
      </w:pPr>
      <w:r w:rsidRPr="00856664">
        <w:rPr>
          <w:bCs/>
          <w:iCs/>
          <w:szCs w:val="28"/>
          <w:lang w:eastAsia="ko-KR"/>
        </w:rPr>
        <w:t xml:space="preserve">PROSECUCIÓN DE LA </w:t>
      </w:r>
      <w:r w:rsidR="0004193A" w:rsidRPr="00856664">
        <w:rPr>
          <w:bCs/>
          <w:iCs/>
          <w:szCs w:val="28"/>
          <w:lang w:eastAsia="ko-KR"/>
        </w:rPr>
        <w:t>COLABORACIÓN</w:t>
      </w:r>
      <w:r w:rsidR="004C3686" w:rsidRPr="00856664">
        <w:rPr>
          <w:bCs/>
          <w:iCs/>
          <w:szCs w:val="28"/>
          <w:lang w:eastAsia="ko-KR"/>
        </w:rPr>
        <w:t xml:space="preserve"> </w:t>
      </w:r>
      <w:r w:rsidRPr="00856664">
        <w:rPr>
          <w:bCs/>
          <w:iCs/>
          <w:szCs w:val="28"/>
          <w:lang w:eastAsia="ko-KR"/>
        </w:rPr>
        <w:t>PARA LA APLICACIÓN</w:t>
      </w:r>
    </w:p>
    <w:p w:rsidR="00796455" w:rsidRDefault="00F543E0" w:rsidP="00F543E0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Para armonizar la aplicación por las OPI de la</w:t>
      </w:r>
      <w:r w:rsidR="004C3686" w:rsidRPr="00856664">
        <w:rPr>
          <w:rFonts w:eastAsia="Batang"/>
          <w:lang w:eastAsia="ko-KR"/>
        </w:rPr>
        <w:t xml:space="preserve"> </w:t>
      </w:r>
      <w:r w:rsidR="008C508E" w:rsidRPr="00856664">
        <w:rPr>
          <w:rFonts w:eastAsia="Batang"/>
          <w:lang w:eastAsia="ko-KR"/>
        </w:rPr>
        <w:t>Norma ST.27 de la OMPI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 xml:space="preserve">es vital que la comunidad que utiliza la información de PI recopile la valiosa </w:t>
      </w:r>
      <w:r w:rsidR="0004193A" w:rsidRPr="00856664">
        <w:rPr>
          <w:rFonts w:eastAsia="Batang"/>
          <w:lang w:eastAsia="ko-KR"/>
        </w:rPr>
        <w:t>información</w:t>
      </w:r>
      <w:r w:rsidR="004C3686" w:rsidRPr="00856664">
        <w:rPr>
          <w:rFonts w:eastAsia="Batang"/>
          <w:lang w:eastAsia="ko-KR"/>
        </w:rPr>
        <w:t xml:space="preserve"> </w:t>
      </w:r>
      <w:r w:rsidR="0004193A" w:rsidRPr="00856664">
        <w:rPr>
          <w:rFonts w:eastAsia="Batang"/>
          <w:lang w:eastAsia="ko-KR"/>
        </w:rPr>
        <w:t>sobre</w:t>
      </w:r>
      <w:r w:rsidRPr="00856664">
        <w:rPr>
          <w:rFonts w:eastAsia="Batang"/>
          <w:lang w:eastAsia="ko-KR"/>
        </w:rPr>
        <w:t xml:space="preserve"> la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 xml:space="preserve">solicitud o </w:t>
      </w:r>
      <w:r w:rsidR="0004193A" w:rsidRPr="00856664">
        <w:rPr>
          <w:rFonts w:eastAsia="Batang"/>
          <w:lang w:eastAsia="ko-KR"/>
        </w:rPr>
        <w:t>patente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 xml:space="preserve">de que se trate. </w:t>
      </w:r>
      <w:r w:rsidR="004C3686" w:rsidRPr="00856664">
        <w:rPr>
          <w:rFonts w:eastAsia="Batang"/>
          <w:lang w:eastAsia="ko-KR"/>
        </w:rPr>
        <w:t>De</w:t>
      </w:r>
      <w:r w:rsidRPr="00856664">
        <w:rPr>
          <w:rFonts w:eastAsia="Batang"/>
          <w:lang w:eastAsia="ko-KR"/>
        </w:rPr>
        <w:t>bido a las variadas prácticas conformes a las distintas legislaciones vigentes</w:t>
      </w:r>
      <w:r w:rsidR="004C3686" w:rsidRPr="00856664">
        <w:rPr>
          <w:rFonts w:eastAsia="Batang"/>
          <w:lang w:eastAsia="ko-KR"/>
        </w:rPr>
        <w:t xml:space="preserve">, </w:t>
      </w:r>
      <w:r w:rsidRPr="00856664">
        <w:rPr>
          <w:rFonts w:eastAsia="Batang"/>
          <w:lang w:eastAsia="ko-KR"/>
        </w:rPr>
        <w:t xml:space="preserve">es posible que no siempre resulte sencillo establecer correspondencias entre las incidencias </w:t>
      </w:r>
      <w:r w:rsidR="0004193A" w:rsidRPr="00856664">
        <w:rPr>
          <w:rFonts w:eastAsia="Batang"/>
          <w:lang w:eastAsia="ko-KR"/>
        </w:rPr>
        <w:t>nacionales</w:t>
      </w:r>
      <w:r w:rsidR="004C3686" w:rsidRPr="00856664">
        <w:rPr>
          <w:rFonts w:eastAsia="Batang"/>
          <w:lang w:eastAsia="ko-KR"/>
        </w:rPr>
        <w:t xml:space="preserve"> o </w:t>
      </w:r>
      <w:r w:rsidR="0004193A" w:rsidRPr="00856664">
        <w:rPr>
          <w:rFonts w:eastAsia="Batang"/>
          <w:lang w:eastAsia="ko-KR"/>
        </w:rPr>
        <w:t>regionales</w:t>
      </w:r>
      <w:r w:rsidRPr="00856664">
        <w:rPr>
          <w:rFonts w:eastAsia="Batang"/>
          <w:lang w:eastAsia="ko-KR"/>
        </w:rPr>
        <w:t xml:space="preserve"> que determinan la situación jurídica</w:t>
      </w:r>
      <w:r w:rsidR="004C3686" w:rsidRPr="00856664">
        <w:rPr>
          <w:rFonts w:eastAsia="Batang"/>
          <w:lang w:eastAsia="ko-KR"/>
        </w:rPr>
        <w:t xml:space="preserve"> </w:t>
      </w:r>
      <w:r w:rsidRPr="00856664">
        <w:rPr>
          <w:rFonts w:eastAsia="Batang"/>
          <w:lang w:eastAsia="ko-KR"/>
        </w:rPr>
        <w:t xml:space="preserve">y las incidencias </w:t>
      </w:r>
      <w:r w:rsidR="008F0A5D" w:rsidRPr="00856664">
        <w:rPr>
          <w:rFonts w:eastAsia="Batang"/>
          <w:lang w:eastAsia="ko-KR"/>
        </w:rPr>
        <w:t>enumeradas</w:t>
      </w:r>
      <w:r w:rsidRPr="00856664">
        <w:rPr>
          <w:rFonts w:eastAsia="Batang"/>
          <w:lang w:eastAsia="ko-KR"/>
        </w:rPr>
        <w:t xml:space="preserve"> en la Norma</w:t>
      </w:r>
      <w:r w:rsidR="004C3686" w:rsidRPr="00856664">
        <w:rPr>
          <w:rFonts w:eastAsia="Batang"/>
          <w:lang w:eastAsia="ko-KR"/>
        </w:rPr>
        <w:t xml:space="preserve">. </w:t>
      </w:r>
      <w:r w:rsidR="00601309" w:rsidRPr="00856664">
        <w:rPr>
          <w:rFonts w:eastAsia="Batang"/>
          <w:lang w:eastAsia="ko-KR"/>
        </w:rPr>
        <w:t>Por lo tanto</w:t>
      </w:r>
      <w:r w:rsidR="004C3686" w:rsidRPr="00856664">
        <w:rPr>
          <w:rFonts w:eastAsia="Batang"/>
          <w:lang w:eastAsia="ko-KR"/>
        </w:rPr>
        <w:t xml:space="preserve">, </w:t>
      </w:r>
      <w:r w:rsidR="00601309" w:rsidRPr="00856664">
        <w:rPr>
          <w:rFonts w:eastAsia="Batang"/>
          <w:lang w:eastAsia="ko-KR"/>
        </w:rPr>
        <w:t>el</w:t>
      </w:r>
      <w:r w:rsidR="004C3686" w:rsidRPr="00856664">
        <w:rPr>
          <w:rFonts w:eastAsia="Batang"/>
          <w:lang w:eastAsia="ko-KR"/>
        </w:rPr>
        <w:t xml:space="preserve"> CWS </w:t>
      </w:r>
      <w:r w:rsidR="00601309" w:rsidRPr="00856664">
        <w:rPr>
          <w:rFonts w:eastAsia="Batang"/>
          <w:lang w:eastAsia="ko-KR"/>
        </w:rPr>
        <w:t xml:space="preserve">solicitó al </w:t>
      </w:r>
      <w:r w:rsidR="0004193A" w:rsidRPr="00856664">
        <w:rPr>
          <w:rFonts w:eastAsia="Batang"/>
          <w:lang w:eastAsia="ko-KR"/>
        </w:rPr>
        <w:t>Equipo</w:t>
      </w:r>
      <w:r w:rsidR="00601309" w:rsidRPr="00856664">
        <w:rPr>
          <w:rFonts w:eastAsia="Batang"/>
          <w:lang w:eastAsia="ko-KR"/>
        </w:rPr>
        <w:t xml:space="preserve"> Técnico de la Situación Jurídica que</w:t>
      </w:r>
      <w:r w:rsidR="004C3686" w:rsidRPr="00856664">
        <w:rPr>
          <w:rFonts w:eastAsia="Batang"/>
          <w:lang w:eastAsia="ko-KR"/>
        </w:rPr>
        <w:t xml:space="preserve"> prepare </w:t>
      </w:r>
      <w:r w:rsidR="00601309" w:rsidRPr="00856664">
        <w:rPr>
          <w:rFonts w:eastAsia="Batang"/>
          <w:lang w:eastAsia="ko-KR"/>
        </w:rPr>
        <w:t xml:space="preserve">el </w:t>
      </w:r>
      <w:r w:rsidR="0004193A" w:rsidRPr="00856664">
        <w:rPr>
          <w:rFonts w:eastAsia="Batang"/>
          <w:lang w:eastAsia="ko-KR"/>
        </w:rPr>
        <w:t>Documento</w:t>
      </w:r>
      <w:r w:rsidR="00601309" w:rsidRPr="00856664">
        <w:rPr>
          <w:rFonts w:eastAsia="Batang"/>
          <w:lang w:eastAsia="ko-KR"/>
        </w:rPr>
        <w:t xml:space="preserve"> de orientación para dar asistencia a las OPI en el establecimiento, de forma armonizada, de las correspondencias de sus incidencias con las incidencias </w:t>
      </w:r>
      <w:r w:rsidR="008F0A5D" w:rsidRPr="00856664">
        <w:rPr>
          <w:rFonts w:eastAsia="Batang"/>
          <w:lang w:eastAsia="ko-KR"/>
        </w:rPr>
        <w:t>enumeradas</w:t>
      </w:r>
      <w:r w:rsidR="00601309" w:rsidRPr="00856664">
        <w:rPr>
          <w:rFonts w:eastAsia="Batang"/>
          <w:lang w:eastAsia="ko-KR"/>
        </w:rPr>
        <w:t xml:space="preserve"> en la Norma</w:t>
      </w:r>
      <w:r w:rsidR="004C3686" w:rsidRPr="00856664">
        <w:rPr>
          <w:rFonts w:eastAsia="Batang"/>
          <w:lang w:eastAsia="ko-KR"/>
        </w:rPr>
        <w:t xml:space="preserve">. </w:t>
      </w:r>
      <w:r w:rsidR="00601309" w:rsidRPr="00856664">
        <w:rPr>
          <w:rFonts w:eastAsia="Batang"/>
          <w:lang w:eastAsia="ko-KR"/>
        </w:rPr>
        <w:t>El proyecto</w:t>
      </w:r>
      <w:r w:rsidR="004C3686" w:rsidRPr="00856664">
        <w:rPr>
          <w:rFonts w:eastAsia="Batang"/>
          <w:lang w:eastAsia="ko-KR"/>
        </w:rPr>
        <w:t xml:space="preserve"> provisional </w:t>
      </w:r>
      <w:r w:rsidR="00601309" w:rsidRPr="00856664">
        <w:rPr>
          <w:rFonts w:eastAsia="Batang"/>
          <w:lang w:eastAsia="ko-KR"/>
        </w:rPr>
        <w:t>de</w:t>
      </w:r>
      <w:r w:rsidR="004C3686" w:rsidRPr="00856664">
        <w:rPr>
          <w:rFonts w:eastAsia="Batang"/>
          <w:lang w:eastAsia="ko-KR"/>
        </w:rPr>
        <w:t xml:space="preserve"> </w:t>
      </w:r>
      <w:r w:rsidR="0004193A" w:rsidRPr="00856664">
        <w:rPr>
          <w:rFonts w:eastAsia="Batang"/>
          <w:lang w:eastAsia="ko-KR"/>
        </w:rPr>
        <w:t>Anexo</w:t>
      </w:r>
      <w:r w:rsidR="004C3686" w:rsidRPr="00856664">
        <w:rPr>
          <w:rFonts w:eastAsia="Batang"/>
          <w:lang w:eastAsia="ko-KR"/>
        </w:rPr>
        <w:t xml:space="preserve"> V </w:t>
      </w:r>
      <w:r w:rsidR="00601309" w:rsidRPr="00856664">
        <w:rPr>
          <w:rFonts w:eastAsia="Batang"/>
          <w:lang w:eastAsia="ko-KR"/>
        </w:rPr>
        <w:t xml:space="preserve">de la Norma </w:t>
      </w:r>
      <w:r w:rsidR="004C3686" w:rsidRPr="00856664">
        <w:rPr>
          <w:rFonts w:eastAsia="Batang"/>
          <w:lang w:eastAsia="ko-KR"/>
        </w:rPr>
        <w:t xml:space="preserve">ST.27 </w:t>
      </w:r>
      <w:r w:rsidR="00601309" w:rsidRPr="00856664">
        <w:rPr>
          <w:rFonts w:eastAsia="Batang"/>
          <w:lang w:eastAsia="ko-KR"/>
        </w:rPr>
        <w:t>se somete a examen en la sexta</w:t>
      </w:r>
      <w:r w:rsidR="004C3686" w:rsidRPr="00856664">
        <w:rPr>
          <w:rFonts w:eastAsia="Batang"/>
          <w:lang w:eastAsia="ko-KR"/>
        </w:rPr>
        <w:t xml:space="preserve"> </w:t>
      </w:r>
      <w:r w:rsidR="0004193A" w:rsidRPr="00856664">
        <w:rPr>
          <w:rFonts w:eastAsia="Batang"/>
          <w:lang w:eastAsia="ko-KR"/>
        </w:rPr>
        <w:t>sesión</w:t>
      </w:r>
      <w:r w:rsidR="004C3686" w:rsidRPr="00856664">
        <w:rPr>
          <w:rFonts w:eastAsia="Batang"/>
          <w:lang w:eastAsia="ko-KR"/>
        </w:rPr>
        <w:t xml:space="preserve"> </w:t>
      </w:r>
      <w:r w:rsidR="00601309" w:rsidRPr="00856664">
        <w:rPr>
          <w:rFonts w:eastAsia="Batang"/>
          <w:lang w:eastAsia="ko-KR"/>
        </w:rPr>
        <w:t xml:space="preserve">del </w:t>
      </w:r>
      <w:r w:rsidR="0004193A" w:rsidRPr="00856664">
        <w:rPr>
          <w:rFonts w:eastAsia="Batang"/>
          <w:lang w:eastAsia="ko-KR"/>
        </w:rPr>
        <w:t>Comité</w:t>
      </w:r>
      <w:r w:rsidR="004C3686" w:rsidRPr="00856664">
        <w:rPr>
          <w:rFonts w:eastAsia="Batang"/>
          <w:lang w:eastAsia="ko-KR"/>
        </w:rPr>
        <w:t xml:space="preserve"> </w:t>
      </w:r>
      <w:r w:rsidR="00601309" w:rsidRPr="00856664">
        <w:rPr>
          <w:rFonts w:eastAsia="Batang"/>
          <w:lang w:eastAsia="ko-KR"/>
        </w:rPr>
        <w:t xml:space="preserve">y será </w:t>
      </w:r>
      <w:r w:rsidR="008F0A5D" w:rsidRPr="00856664">
        <w:rPr>
          <w:rFonts w:eastAsia="Batang"/>
          <w:lang w:eastAsia="ko-KR"/>
        </w:rPr>
        <w:t>completado</w:t>
      </w:r>
      <w:r w:rsidR="00601309" w:rsidRPr="00856664">
        <w:rPr>
          <w:rFonts w:eastAsia="Batang"/>
          <w:lang w:eastAsia="ko-KR"/>
        </w:rPr>
        <w:t xml:space="preserve"> en su debido momento con más ejemplos proporcionados por las OPI. En </w:t>
      </w:r>
      <w:r w:rsidR="0004193A" w:rsidRPr="00856664">
        <w:rPr>
          <w:rFonts w:eastAsia="Batang"/>
          <w:lang w:eastAsia="ko-KR"/>
        </w:rPr>
        <w:t>consecuencia</w:t>
      </w:r>
      <w:r w:rsidR="004C3686" w:rsidRPr="00856664">
        <w:rPr>
          <w:rFonts w:eastAsia="Batang"/>
          <w:lang w:eastAsia="ko-KR"/>
        </w:rPr>
        <w:t xml:space="preserve">, </w:t>
      </w:r>
      <w:r w:rsidR="00601309" w:rsidRPr="00856664">
        <w:rPr>
          <w:rFonts w:eastAsia="Batang"/>
          <w:lang w:eastAsia="ko-KR"/>
        </w:rPr>
        <w:t xml:space="preserve">se solicita al </w:t>
      </w:r>
      <w:r w:rsidR="004C3686" w:rsidRPr="00856664">
        <w:rPr>
          <w:rFonts w:eastAsia="Batang"/>
          <w:lang w:eastAsia="ko-KR"/>
        </w:rPr>
        <w:t xml:space="preserve">CWS </w:t>
      </w:r>
      <w:r w:rsidR="00601309" w:rsidRPr="00856664">
        <w:rPr>
          <w:rFonts w:eastAsia="Batang"/>
          <w:lang w:eastAsia="ko-KR"/>
        </w:rPr>
        <w:t xml:space="preserve">que aliente a las OPI a </w:t>
      </w:r>
      <w:r w:rsidR="004C3686" w:rsidRPr="00856664">
        <w:rPr>
          <w:rFonts w:eastAsia="Batang"/>
          <w:lang w:eastAsia="ko-KR"/>
        </w:rPr>
        <w:t>pa</w:t>
      </w:r>
      <w:r w:rsidR="00601309" w:rsidRPr="00856664">
        <w:rPr>
          <w:rFonts w:eastAsia="Batang"/>
          <w:lang w:eastAsia="ko-KR"/>
        </w:rPr>
        <w:t>rticipar</w:t>
      </w:r>
      <w:r w:rsidR="004C3686" w:rsidRPr="00856664">
        <w:rPr>
          <w:rFonts w:eastAsia="Batang"/>
          <w:lang w:eastAsia="ko-KR"/>
        </w:rPr>
        <w:t xml:space="preserve"> </w:t>
      </w:r>
      <w:r w:rsidR="00601309" w:rsidRPr="00856664">
        <w:rPr>
          <w:rFonts w:eastAsia="Batang"/>
          <w:lang w:eastAsia="ko-KR"/>
        </w:rPr>
        <w:t>e</w:t>
      </w:r>
      <w:r w:rsidR="004C3686" w:rsidRPr="00856664">
        <w:rPr>
          <w:rFonts w:eastAsia="Batang"/>
          <w:lang w:eastAsia="ko-KR"/>
        </w:rPr>
        <w:t xml:space="preserve">n </w:t>
      </w:r>
      <w:r w:rsidR="00601309" w:rsidRPr="00856664">
        <w:rPr>
          <w:rFonts w:eastAsia="Batang"/>
          <w:lang w:eastAsia="ko-KR"/>
        </w:rPr>
        <w:t xml:space="preserve">el debate sobre el </w:t>
      </w:r>
      <w:r w:rsidR="0004193A" w:rsidRPr="00856664">
        <w:rPr>
          <w:rFonts w:eastAsia="Batang"/>
          <w:lang w:eastAsia="ko-KR"/>
        </w:rPr>
        <w:t>Documento</w:t>
      </w:r>
      <w:r w:rsidR="00601309" w:rsidRPr="00856664">
        <w:rPr>
          <w:rFonts w:eastAsia="Batang"/>
          <w:lang w:eastAsia="ko-KR"/>
        </w:rPr>
        <w:t xml:space="preserve"> de orientación y </w:t>
      </w:r>
      <w:r w:rsidR="008F0A5D" w:rsidRPr="00856664">
        <w:rPr>
          <w:rFonts w:eastAsia="Batang"/>
          <w:lang w:eastAsia="ko-KR"/>
        </w:rPr>
        <w:t xml:space="preserve">a </w:t>
      </w:r>
      <w:r w:rsidR="00601309" w:rsidRPr="00856664">
        <w:rPr>
          <w:rFonts w:eastAsia="Batang"/>
          <w:lang w:eastAsia="ko-KR"/>
        </w:rPr>
        <w:t xml:space="preserve">compartir con el </w:t>
      </w:r>
      <w:r w:rsidR="0004193A" w:rsidRPr="00856664">
        <w:rPr>
          <w:rFonts w:eastAsia="Batang"/>
          <w:lang w:eastAsia="ko-KR"/>
        </w:rPr>
        <w:t>Equipo</w:t>
      </w:r>
      <w:r w:rsidR="00601309" w:rsidRPr="00856664">
        <w:rPr>
          <w:rFonts w:eastAsia="Batang"/>
          <w:lang w:eastAsia="ko-KR"/>
        </w:rPr>
        <w:t xml:space="preserve"> Técnico de la Situación Jurídica su</w:t>
      </w:r>
      <w:r w:rsidR="004C3686" w:rsidRPr="00856664">
        <w:rPr>
          <w:rFonts w:eastAsia="Batang"/>
          <w:lang w:eastAsia="ko-KR"/>
        </w:rPr>
        <w:t xml:space="preserve"> </w:t>
      </w:r>
      <w:r w:rsidR="0004193A" w:rsidRPr="00856664">
        <w:rPr>
          <w:rFonts w:eastAsia="Batang"/>
          <w:lang w:eastAsia="ko-KR"/>
        </w:rPr>
        <w:t>experiencia</w:t>
      </w:r>
      <w:r w:rsidR="00601309" w:rsidRPr="00856664">
        <w:rPr>
          <w:rFonts w:eastAsia="Batang"/>
          <w:lang w:eastAsia="ko-KR"/>
        </w:rPr>
        <w:t xml:space="preserve"> en la aplicación de la Norma </w:t>
      </w:r>
      <w:r w:rsidR="004C3686" w:rsidRPr="00856664">
        <w:rPr>
          <w:rFonts w:eastAsia="Batang"/>
          <w:lang w:eastAsia="ko-KR"/>
        </w:rPr>
        <w:t>ST.27.</w:t>
      </w:r>
      <w:r w:rsidR="00796455">
        <w:rPr>
          <w:rFonts w:eastAsia="Batang"/>
          <w:lang w:eastAsia="ko-KR"/>
        </w:rPr>
        <w:br w:type="page"/>
      </w:r>
    </w:p>
    <w:p w:rsidR="004C3686" w:rsidRPr="00856664" w:rsidRDefault="004C3686" w:rsidP="00601309">
      <w:pPr>
        <w:numPr>
          <w:ilvl w:val="0"/>
          <w:numId w:val="7"/>
        </w:numPr>
        <w:spacing w:after="220"/>
        <w:rPr>
          <w:rFonts w:eastAsia="Batang"/>
          <w:lang w:eastAsia="ko-KR"/>
        </w:rPr>
      </w:pPr>
      <w:r w:rsidRPr="00856664">
        <w:rPr>
          <w:rFonts w:eastAsia="Batang"/>
          <w:lang w:eastAsia="ko-KR"/>
        </w:rPr>
        <w:t>T</w:t>
      </w:r>
      <w:r w:rsidR="00601309" w:rsidRPr="00856664">
        <w:rPr>
          <w:rFonts w:eastAsia="Batang"/>
          <w:lang w:eastAsia="ko-KR"/>
        </w:rPr>
        <w:t xml:space="preserve">eniendo en cuenta el </w:t>
      </w:r>
      <w:r w:rsidR="0004193A" w:rsidRPr="00856664">
        <w:rPr>
          <w:rFonts w:eastAsia="Batang"/>
          <w:lang w:eastAsia="ko-KR"/>
        </w:rPr>
        <w:t>volumen</w:t>
      </w:r>
      <w:r w:rsidRPr="00856664">
        <w:rPr>
          <w:rFonts w:eastAsia="Batang"/>
          <w:lang w:eastAsia="ko-KR"/>
        </w:rPr>
        <w:t xml:space="preserve"> </w:t>
      </w:r>
      <w:r w:rsidR="00601309" w:rsidRPr="00856664">
        <w:rPr>
          <w:rFonts w:eastAsia="Batang"/>
          <w:lang w:eastAsia="ko-KR"/>
        </w:rPr>
        <w:t xml:space="preserve">de datos sobre la </w:t>
      </w:r>
      <w:r w:rsidR="0004193A" w:rsidRPr="00856664">
        <w:rPr>
          <w:rFonts w:eastAsia="Batang"/>
          <w:lang w:eastAsia="ko-KR"/>
        </w:rPr>
        <w:t>situación</w:t>
      </w:r>
      <w:r w:rsidR="00601309" w:rsidRPr="00856664">
        <w:rPr>
          <w:rFonts w:eastAsia="Batang"/>
          <w:lang w:eastAsia="ko-KR"/>
        </w:rPr>
        <w:t xml:space="preserve"> jurídica de las </w:t>
      </w:r>
      <w:r w:rsidR="0004193A" w:rsidRPr="00856664">
        <w:rPr>
          <w:rFonts w:eastAsia="Batang"/>
          <w:lang w:eastAsia="ko-KR"/>
        </w:rPr>
        <w:t>patentes</w:t>
      </w:r>
      <w:r w:rsidRPr="00856664">
        <w:rPr>
          <w:rFonts w:eastAsia="Batang"/>
          <w:lang w:eastAsia="ko-KR"/>
        </w:rPr>
        <w:t xml:space="preserve">, </w:t>
      </w:r>
      <w:r w:rsidR="00601309" w:rsidRPr="00856664">
        <w:rPr>
          <w:rFonts w:eastAsia="Batang"/>
          <w:lang w:eastAsia="ko-KR"/>
        </w:rPr>
        <w:t xml:space="preserve">la frecuencia recomendada para el intercambio de datos y el amplio uso de los servicios web por parte de las </w:t>
      </w:r>
      <w:r w:rsidR="0004193A" w:rsidRPr="00856664">
        <w:rPr>
          <w:rFonts w:eastAsia="Batang"/>
          <w:lang w:eastAsia="ko-KR"/>
        </w:rPr>
        <w:t>OPI</w:t>
      </w:r>
      <w:r w:rsidRPr="00856664">
        <w:rPr>
          <w:rFonts w:eastAsia="Batang"/>
          <w:lang w:eastAsia="ko-KR"/>
        </w:rPr>
        <w:t xml:space="preserve">, </w:t>
      </w:r>
      <w:r w:rsidR="00601309" w:rsidRPr="00856664">
        <w:rPr>
          <w:rFonts w:eastAsia="Batang"/>
          <w:lang w:eastAsia="ko-KR"/>
        </w:rPr>
        <w:t xml:space="preserve">la Oficina Internacional está analizando si es factible desarrollar una API común para sitios web, destinada al intercambio de datos sobre la situación jurídica de las </w:t>
      </w:r>
      <w:r w:rsidR="0004193A" w:rsidRPr="00856664">
        <w:rPr>
          <w:rFonts w:eastAsia="Batang"/>
          <w:lang w:eastAsia="ko-KR"/>
        </w:rPr>
        <w:t>patentes</w:t>
      </w:r>
      <w:r w:rsidR="00601309" w:rsidRPr="00856664">
        <w:rPr>
          <w:rFonts w:eastAsia="Batang"/>
          <w:lang w:eastAsia="ko-KR"/>
        </w:rPr>
        <w:t xml:space="preserve"> e</w:t>
      </w:r>
      <w:r w:rsidRPr="00856664">
        <w:rPr>
          <w:rFonts w:eastAsia="Batang"/>
          <w:lang w:eastAsia="ko-KR"/>
        </w:rPr>
        <w:t xml:space="preserve">n </w:t>
      </w:r>
      <w:r w:rsidR="0004193A" w:rsidRPr="00856664">
        <w:rPr>
          <w:rFonts w:eastAsia="Batang"/>
          <w:lang w:eastAsia="ko-KR"/>
        </w:rPr>
        <w:t>colaboración</w:t>
      </w:r>
      <w:r w:rsidRPr="00856664">
        <w:rPr>
          <w:rFonts w:eastAsia="Batang"/>
          <w:lang w:eastAsia="ko-KR"/>
        </w:rPr>
        <w:t xml:space="preserve"> </w:t>
      </w:r>
      <w:r w:rsidR="00601309" w:rsidRPr="00856664">
        <w:rPr>
          <w:rFonts w:eastAsia="Batang"/>
          <w:lang w:eastAsia="ko-KR"/>
        </w:rPr>
        <w:t xml:space="preserve">con las </w:t>
      </w:r>
      <w:r w:rsidR="0004193A" w:rsidRPr="00856664">
        <w:rPr>
          <w:rFonts w:eastAsia="Batang"/>
          <w:lang w:eastAsia="ko-KR"/>
        </w:rPr>
        <w:t>OPI</w:t>
      </w:r>
      <w:r w:rsidRPr="00856664">
        <w:rPr>
          <w:rFonts w:eastAsia="Batang"/>
          <w:lang w:eastAsia="ko-KR"/>
        </w:rPr>
        <w:t xml:space="preserve">. </w:t>
      </w:r>
      <w:r w:rsidR="00601309" w:rsidRPr="00856664">
        <w:rPr>
          <w:rFonts w:eastAsia="Batang"/>
          <w:lang w:eastAsia="ko-KR"/>
        </w:rPr>
        <w:t xml:space="preserve">Se invita al </w:t>
      </w:r>
      <w:r w:rsidRPr="00856664">
        <w:rPr>
          <w:rFonts w:eastAsia="Batang"/>
          <w:lang w:eastAsia="ko-KR"/>
        </w:rPr>
        <w:t xml:space="preserve">CWS </w:t>
      </w:r>
      <w:r w:rsidR="00601309" w:rsidRPr="00856664">
        <w:rPr>
          <w:rFonts w:eastAsia="Batang"/>
          <w:lang w:eastAsia="ko-KR"/>
        </w:rPr>
        <w:t xml:space="preserve">a formular </w:t>
      </w:r>
      <w:r w:rsidR="0004193A" w:rsidRPr="00856664">
        <w:rPr>
          <w:rFonts w:eastAsia="Batang"/>
          <w:lang w:eastAsia="ko-KR"/>
        </w:rPr>
        <w:t>comentarios</w:t>
      </w:r>
      <w:r w:rsidR="00601309" w:rsidRPr="00856664">
        <w:rPr>
          <w:rFonts w:eastAsia="Batang"/>
          <w:lang w:eastAsia="ko-KR"/>
        </w:rPr>
        <w:t xml:space="preserve"> acerca de si una API común sería, o no, de utilidad para facilitar el </w:t>
      </w:r>
      <w:r w:rsidR="0004193A" w:rsidRPr="00856664">
        <w:rPr>
          <w:rFonts w:eastAsia="Batang"/>
          <w:lang w:eastAsia="ko-KR"/>
        </w:rPr>
        <w:t>intercambio</w:t>
      </w:r>
      <w:r w:rsidR="00601309" w:rsidRPr="00856664">
        <w:rPr>
          <w:rFonts w:eastAsia="Batang"/>
          <w:lang w:eastAsia="ko-KR"/>
        </w:rPr>
        <w:t xml:space="preserve"> y la difusión de información sobre la situación jurídica de las </w:t>
      </w:r>
      <w:r w:rsidR="0004193A" w:rsidRPr="00856664">
        <w:rPr>
          <w:rFonts w:eastAsia="Batang"/>
          <w:lang w:eastAsia="ko-KR"/>
        </w:rPr>
        <w:t>patentes</w:t>
      </w:r>
      <w:r w:rsidRPr="00856664">
        <w:rPr>
          <w:rFonts w:eastAsia="Batang"/>
          <w:lang w:eastAsia="ko-KR"/>
        </w:rPr>
        <w:t>.</w:t>
      </w:r>
    </w:p>
    <w:p w:rsidR="004C3686" w:rsidRPr="00856664" w:rsidRDefault="00601309" w:rsidP="004C3686">
      <w:pPr>
        <w:numPr>
          <w:ilvl w:val="0"/>
          <w:numId w:val="7"/>
        </w:numPr>
        <w:tabs>
          <w:tab w:val="num" w:pos="6101"/>
        </w:tabs>
        <w:spacing w:after="220"/>
        <w:ind w:left="5534"/>
        <w:rPr>
          <w:i/>
          <w:szCs w:val="22"/>
        </w:rPr>
      </w:pPr>
      <w:r w:rsidRPr="00856664">
        <w:rPr>
          <w:i/>
          <w:szCs w:val="22"/>
        </w:rPr>
        <w:lastRenderedPageBreak/>
        <w:t>Se invita al</w:t>
      </w:r>
      <w:r w:rsidR="004C3686" w:rsidRPr="00856664">
        <w:rPr>
          <w:i/>
          <w:szCs w:val="22"/>
        </w:rPr>
        <w:t xml:space="preserve"> CWS</w:t>
      </w:r>
      <w:r w:rsidRPr="00856664">
        <w:rPr>
          <w:i/>
          <w:szCs w:val="22"/>
        </w:rPr>
        <w:t xml:space="preserve"> a</w:t>
      </w:r>
      <w:r w:rsidR="004C3686" w:rsidRPr="00856664">
        <w:rPr>
          <w:i/>
          <w:szCs w:val="22"/>
        </w:rPr>
        <w:t>:</w:t>
      </w:r>
    </w:p>
    <w:p w:rsidR="004C3686" w:rsidRPr="00856664" w:rsidRDefault="004C3686" w:rsidP="004C3686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856664">
        <w:rPr>
          <w:i/>
          <w:szCs w:val="22"/>
        </w:rPr>
        <w:tab/>
        <w:t>a)</w:t>
      </w:r>
      <w:r w:rsidRPr="00856664">
        <w:rPr>
          <w:i/>
          <w:szCs w:val="22"/>
        </w:rPr>
        <w:tab/>
      </w:r>
      <w:r w:rsidR="00601309" w:rsidRPr="00856664">
        <w:rPr>
          <w:i/>
          <w:szCs w:val="22"/>
        </w:rPr>
        <w:t xml:space="preserve">tomar nota del contenido del </w:t>
      </w:r>
      <w:r w:rsidR="0004193A" w:rsidRPr="00856664">
        <w:rPr>
          <w:i/>
          <w:szCs w:val="22"/>
        </w:rPr>
        <w:t>presente</w:t>
      </w:r>
      <w:r w:rsidRPr="00856664">
        <w:rPr>
          <w:i/>
          <w:szCs w:val="22"/>
        </w:rPr>
        <w:t xml:space="preserve"> </w:t>
      </w:r>
      <w:r w:rsidR="0004193A" w:rsidRPr="00856664">
        <w:rPr>
          <w:i/>
          <w:szCs w:val="22"/>
        </w:rPr>
        <w:t>documento</w:t>
      </w:r>
      <w:r w:rsidRPr="00856664">
        <w:rPr>
          <w:i/>
          <w:szCs w:val="22"/>
        </w:rPr>
        <w:t xml:space="preserve"> </w:t>
      </w:r>
      <w:r w:rsidR="00601309" w:rsidRPr="00856664">
        <w:rPr>
          <w:i/>
          <w:szCs w:val="22"/>
        </w:rPr>
        <w:t xml:space="preserve">y su </w:t>
      </w:r>
      <w:r w:rsidR="0004193A" w:rsidRPr="00856664">
        <w:rPr>
          <w:i/>
          <w:szCs w:val="22"/>
        </w:rPr>
        <w:t>Anexo</w:t>
      </w:r>
      <w:r w:rsidRPr="00856664">
        <w:rPr>
          <w:i/>
          <w:szCs w:val="22"/>
        </w:rPr>
        <w:t>;</w:t>
      </w:r>
    </w:p>
    <w:p w:rsidR="004C3686" w:rsidRPr="00856664" w:rsidRDefault="00601309" w:rsidP="004C3686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856664">
        <w:rPr>
          <w:i/>
          <w:szCs w:val="22"/>
        </w:rPr>
        <w:tab/>
      </w:r>
      <w:r w:rsidR="004C3686" w:rsidRPr="00856664">
        <w:rPr>
          <w:i/>
          <w:szCs w:val="22"/>
        </w:rPr>
        <w:t>b)</w:t>
      </w:r>
      <w:r w:rsidR="004C3686" w:rsidRPr="00856664">
        <w:rPr>
          <w:i/>
          <w:szCs w:val="22"/>
        </w:rPr>
        <w:tab/>
      </w:r>
      <w:r w:rsidRPr="00856664">
        <w:rPr>
          <w:i/>
          <w:szCs w:val="22"/>
        </w:rPr>
        <w:t>examinar y aprobar</w:t>
      </w:r>
      <w:r w:rsidR="004C3686" w:rsidRPr="00856664">
        <w:rPr>
          <w:i/>
          <w:szCs w:val="22"/>
        </w:rPr>
        <w:t xml:space="preserve"> </w:t>
      </w:r>
      <w:r w:rsidRPr="00856664">
        <w:rPr>
          <w:i/>
          <w:szCs w:val="22"/>
        </w:rPr>
        <w:t>la tabla consolidada provisional de correspondencia</w:t>
      </w:r>
      <w:r w:rsidR="008F0A5D" w:rsidRPr="00856664">
        <w:rPr>
          <w:i/>
          <w:szCs w:val="22"/>
        </w:rPr>
        <w:t>s</w:t>
      </w:r>
      <w:r w:rsidR="004C3686" w:rsidRPr="00856664">
        <w:rPr>
          <w:i/>
          <w:szCs w:val="22"/>
        </w:rPr>
        <w:t xml:space="preserve">, </w:t>
      </w:r>
      <w:r w:rsidRPr="00856664">
        <w:rPr>
          <w:i/>
          <w:szCs w:val="22"/>
        </w:rPr>
        <w:t xml:space="preserve">y solicitar a la </w:t>
      </w:r>
      <w:r w:rsidR="0004193A" w:rsidRPr="00856664">
        <w:rPr>
          <w:i/>
          <w:szCs w:val="22"/>
        </w:rPr>
        <w:t>Secretaría</w:t>
      </w:r>
      <w:r w:rsidR="004C3686" w:rsidRPr="00856664">
        <w:rPr>
          <w:i/>
          <w:szCs w:val="22"/>
        </w:rPr>
        <w:t xml:space="preserve"> </w:t>
      </w:r>
      <w:r w:rsidRPr="00856664">
        <w:rPr>
          <w:i/>
          <w:szCs w:val="22"/>
        </w:rPr>
        <w:t xml:space="preserve">que la publique en el sitio web de la OMPI con carácter </w:t>
      </w:r>
      <w:r w:rsidR="004C3686" w:rsidRPr="00856664">
        <w:rPr>
          <w:i/>
          <w:szCs w:val="22"/>
        </w:rPr>
        <w:t xml:space="preserve">provisional, </w:t>
      </w:r>
      <w:r w:rsidRPr="00856664">
        <w:rPr>
          <w:i/>
          <w:szCs w:val="22"/>
        </w:rPr>
        <w:t xml:space="preserve">según se reproduce en el </w:t>
      </w:r>
      <w:r w:rsidR="0004193A" w:rsidRPr="00856664">
        <w:rPr>
          <w:i/>
          <w:szCs w:val="22"/>
        </w:rPr>
        <w:t>Anexo</w:t>
      </w:r>
      <w:r w:rsidR="004C3686" w:rsidRPr="00856664">
        <w:rPr>
          <w:i/>
          <w:szCs w:val="22"/>
        </w:rPr>
        <w:t xml:space="preserve"> </w:t>
      </w:r>
      <w:r w:rsidRPr="00856664">
        <w:rPr>
          <w:i/>
          <w:szCs w:val="22"/>
        </w:rPr>
        <w:t xml:space="preserve">del </w:t>
      </w:r>
      <w:r w:rsidR="0004193A" w:rsidRPr="00856664">
        <w:rPr>
          <w:i/>
          <w:szCs w:val="22"/>
        </w:rPr>
        <w:t>presente</w:t>
      </w:r>
      <w:r w:rsidR="004C3686" w:rsidRPr="00856664">
        <w:rPr>
          <w:i/>
          <w:szCs w:val="22"/>
        </w:rPr>
        <w:t xml:space="preserve"> </w:t>
      </w:r>
      <w:r w:rsidR="0004193A" w:rsidRPr="00856664">
        <w:rPr>
          <w:i/>
          <w:szCs w:val="22"/>
        </w:rPr>
        <w:t>documento</w:t>
      </w:r>
      <w:r w:rsidR="004C3686" w:rsidRPr="00856664">
        <w:rPr>
          <w:i/>
          <w:szCs w:val="22"/>
        </w:rPr>
        <w:t>;</w:t>
      </w:r>
    </w:p>
    <w:p w:rsidR="004C3686" w:rsidRPr="00856664" w:rsidRDefault="00601309" w:rsidP="004C3686">
      <w:pPr>
        <w:tabs>
          <w:tab w:val="left" w:pos="6050"/>
          <w:tab w:val="left" w:pos="6600"/>
        </w:tabs>
        <w:spacing w:after="220"/>
        <w:ind w:left="5534"/>
        <w:rPr>
          <w:i/>
          <w:szCs w:val="22"/>
        </w:rPr>
      </w:pPr>
      <w:r w:rsidRPr="00856664">
        <w:rPr>
          <w:i/>
          <w:szCs w:val="22"/>
        </w:rPr>
        <w:tab/>
      </w:r>
      <w:r w:rsidR="004C3686" w:rsidRPr="00856664">
        <w:rPr>
          <w:i/>
          <w:szCs w:val="22"/>
        </w:rPr>
        <w:t>c)</w:t>
      </w:r>
      <w:r w:rsidR="004C3686" w:rsidRPr="00856664">
        <w:rPr>
          <w:i/>
          <w:szCs w:val="22"/>
        </w:rPr>
        <w:tab/>
      </w:r>
      <w:r w:rsidRPr="00856664">
        <w:rPr>
          <w:i/>
          <w:szCs w:val="22"/>
        </w:rPr>
        <w:t>solicitar a las OPI que no han respondido a la</w:t>
      </w:r>
      <w:r w:rsidR="004C3686" w:rsidRPr="00856664">
        <w:rPr>
          <w:i/>
          <w:szCs w:val="22"/>
        </w:rPr>
        <w:t xml:space="preserve"> Circular </w:t>
      </w:r>
      <w:r w:rsidRPr="00856664">
        <w:rPr>
          <w:i/>
          <w:szCs w:val="22"/>
        </w:rPr>
        <w:t xml:space="preserve">que expongan su plan de aplicación de la </w:t>
      </w:r>
      <w:r w:rsidR="008C508E" w:rsidRPr="00856664">
        <w:rPr>
          <w:i/>
          <w:szCs w:val="22"/>
        </w:rPr>
        <w:t>Norma ST.27 de la OMPI</w:t>
      </w:r>
      <w:r w:rsidR="004C3686" w:rsidRPr="00856664">
        <w:rPr>
          <w:i/>
          <w:szCs w:val="22"/>
        </w:rPr>
        <w:t xml:space="preserve"> </w:t>
      </w:r>
      <w:r w:rsidRPr="00856664">
        <w:rPr>
          <w:i/>
          <w:szCs w:val="22"/>
        </w:rPr>
        <w:t xml:space="preserve">en esta </w:t>
      </w:r>
      <w:r w:rsidR="0004193A" w:rsidRPr="00856664">
        <w:rPr>
          <w:i/>
          <w:szCs w:val="22"/>
        </w:rPr>
        <w:t>sesión</w:t>
      </w:r>
      <w:r w:rsidR="004C3686" w:rsidRPr="00856664">
        <w:rPr>
          <w:i/>
          <w:szCs w:val="22"/>
        </w:rPr>
        <w:t xml:space="preserve"> o</w:t>
      </w:r>
      <w:r w:rsidRPr="00856664">
        <w:rPr>
          <w:i/>
          <w:szCs w:val="22"/>
        </w:rPr>
        <w:t xml:space="preserve"> después de la</w:t>
      </w:r>
      <w:r w:rsidR="004C3686" w:rsidRPr="00856664">
        <w:rPr>
          <w:i/>
          <w:szCs w:val="22"/>
        </w:rPr>
        <w:t xml:space="preserve"> </w:t>
      </w:r>
      <w:r w:rsidR="0004193A" w:rsidRPr="00856664">
        <w:rPr>
          <w:i/>
          <w:szCs w:val="22"/>
        </w:rPr>
        <w:t>sesión</w:t>
      </w:r>
      <w:r w:rsidR="004C3686" w:rsidRPr="00856664">
        <w:rPr>
          <w:i/>
          <w:szCs w:val="22"/>
        </w:rPr>
        <w:t xml:space="preserve">; </w:t>
      </w:r>
      <w:r w:rsidRPr="00856664">
        <w:rPr>
          <w:i/>
          <w:szCs w:val="22"/>
        </w:rPr>
        <w:t>y</w:t>
      </w:r>
    </w:p>
    <w:p w:rsidR="004C3686" w:rsidRPr="00856664" w:rsidRDefault="00601309" w:rsidP="004C3686">
      <w:pPr>
        <w:tabs>
          <w:tab w:val="left" w:pos="6050"/>
          <w:tab w:val="left" w:pos="6600"/>
        </w:tabs>
        <w:ind w:left="5534"/>
        <w:rPr>
          <w:i/>
          <w:szCs w:val="22"/>
        </w:rPr>
      </w:pPr>
      <w:r w:rsidRPr="00856664">
        <w:rPr>
          <w:i/>
          <w:szCs w:val="22"/>
        </w:rPr>
        <w:tab/>
      </w:r>
      <w:r w:rsidR="004C3686" w:rsidRPr="00856664">
        <w:rPr>
          <w:i/>
          <w:szCs w:val="22"/>
        </w:rPr>
        <w:t>d)</w:t>
      </w:r>
      <w:r w:rsidR="004C3686" w:rsidRPr="00856664">
        <w:rPr>
          <w:i/>
          <w:szCs w:val="22"/>
        </w:rPr>
        <w:tab/>
      </w:r>
      <w:r w:rsidRPr="00856664">
        <w:rPr>
          <w:i/>
          <w:szCs w:val="22"/>
        </w:rPr>
        <w:t xml:space="preserve">formular </w:t>
      </w:r>
      <w:r w:rsidR="0004193A" w:rsidRPr="00856664">
        <w:rPr>
          <w:i/>
          <w:szCs w:val="22"/>
        </w:rPr>
        <w:t>comentarios</w:t>
      </w:r>
      <w:r w:rsidRPr="00856664">
        <w:rPr>
          <w:i/>
          <w:szCs w:val="22"/>
        </w:rPr>
        <w:t xml:space="preserve"> sobre el desarrollo de una </w:t>
      </w:r>
      <w:r w:rsidR="004C3686" w:rsidRPr="00856664">
        <w:rPr>
          <w:i/>
          <w:szCs w:val="22"/>
        </w:rPr>
        <w:t xml:space="preserve">API </w:t>
      </w:r>
      <w:r w:rsidRPr="00856664">
        <w:rPr>
          <w:i/>
          <w:szCs w:val="22"/>
        </w:rPr>
        <w:t>común para sitios web, destinada a facilitar el intercambio de datos sobre la situación jurídica de las</w:t>
      </w:r>
      <w:r w:rsidR="004C3686" w:rsidRPr="00856664">
        <w:rPr>
          <w:i/>
          <w:szCs w:val="22"/>
        </w:rPr>
        <w:t xml:space="preserve"> </w:t>
      </w:r>
      <w:r w:rsidR="0004193A" w:rsidRPr="00856664">
        <w:rPr>
          <w:i/>
          <w:szCs w:val="22"/>
        </w:rPr>
        <w:t>patentes</w:t>
      </w:r>
      <w:r w:rsidRPr="00856664">
        <w:rPr>
          <w:i/>
          <w:szCs w:val="22"/>
        </w:rPr>
        <w:t xml:space="preserve"> sobre la base de la Norma</w:t>
      </w:r>
      <w:r w:rsidR="004C3686" w:rsidRPr="00856664">
        <w:rPr>
          <w:i/>
          <w:szCs w:val="22"/>
        </w:rPr>
        <w:t xml:space="preserve"> ST.27, </w:t>
      </w:r>
      <w:r w:rsidRPr="00856664">
        <w:rPr>
          <w:i/>
          <w:szCs w:val="22"/>
        </w:rPr>
        <w:t>según se menciona en el párrafo</w:t>
      </w:r>
      <w:r w:rsidR="004C3686" w:rsidRPr="00856664">
        <w:rPr>
          <w:i/>
          <w:szCs w:val="22"/>
        </w:rPr>
        <w:t xml:space="preserve"> 14;</w:t>
      </w:r>
    </w:p>
    <w:p w:rsidR="004C3686" w:rsidRPr="00856664" w:rsidRDefault="004C3686" w:rsidP="007D5009">
      <w:pPr>
        <w:tabs>
          <w:tab w:val="left" w:pos="6050"/>
          <w:tab w:val="left" w:pos="6600"/>
        </w:tabs>
      </w:pPr>
    </w:p>
    <w:p w:rsidR="004C3686" w:rsidRPr="00856664" w:rsidRDefault="004C3686" w:rsidP="007D5009">
      <w:pPr>
        <w:tabs>
          <w:tab w:val="left" w:pos="6050"/>
          <w:tab w:val="left" w:pos="6600"/>
        </w:tabs>
      </w:pPr>
    </w:p>
    <w:p w:rsidR="004C3686" w:rsidRPr="00856664" w:rsidRDefault="004C3686" w:rsidP="004C3686">
      <w:pPr>
        <w:ind w:left="5534"/>
        <w:sectPr w:rsidR="004C3686" w:rsidRPr="00856664" w:rsidSect="004C3686">
          <w:headerReference w:type="default" r:id="rId8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  <w:r w:rsidRPr="00856664">
        <w:t>[</w:t>
      </w:r>
      <w:r w:rsidR="00601309" w:rsidRPr="00856664">
        <w:t xml:space="preserve">Sigue el </w:t>
      </w:r>
      <w:r w:rsidR="0004193A" w:rsidRPr="00856664">
        <w:t>Anexo</w:t>
      </w:r>
      <w:r w:rsidRPr="00856664">
        <w:t>]</w:t>
      </w:r>
    </w:p>
    <w:p w:rsidR="004C3686" w:rsidRPr="00856664" w:rsidRDefault="0004193A" w:rsidP="00796455">
      <w:pPr>
        <w:keepNext/>
        <w:spacing w:before="240" w:after="60"/>
        <w:outlineLvl w:val="1"/>
        <w:rPr>
          <w:bCs/>
          <w:iCs/>
          <w:caps/>
          <w:szCs w:val="28"/>
        </w:rPr>
      </w:pPr>
      <w:r w:rsidRPr="00856664">
        <w:rPr>
          <w:bCs/>
          <w:iCs/>
          <w:caps/>
          <w:szCs w:val="28"/>
        </w:rPr>
        <w:lastRenderedPageBreak/>
        <w:t>ANEXO</w:t>
      </w:r>
    </w:p>
    <w:p w:rsidR="004C3686" w:rsidRPr="00856664" w:rsidRDefault="004C3686" w:rsidP="004C3686"/>
    <w:p w:rsidR="00152CEA" w:rsidRPr="00856664" w:rsidRDefault="000E12B6" w:rsidP="004C3686">
      <w:r w:rsidRPr="00856664">
        <w:t xml:space="preserve">Tablas </w:t>
      </w:r>
      <w:r w:rsidR="001E119E" w:rsidRPr="00856664">
        <w:t xml:space="preserve">consolidadas </w:t>
      </w:r>
      <w:r w:rsidRPr="00856664">
        <w:t xml:space="preserve">de correspondencias con la Norma </w:t>
      </w:r>
      <w:r w:rsidR="004C3686" w:rsidRPr="00856664">
        <w:t>ST.27</w:t>
      </w:r>
      <w:r w:rsidR="001E119E" w:rsidRPr="00856664">
        <w:t xml:space="preserve"> de las OPI</w:t>
      </w:r>
      <w:r w:rsidR="004C3686" w:rsidRPr="00856664">
        <w:t xml:space="preserve">: </w:t>
      </w:r>
      <w:hyperlink r:id="rId9" w:history="1">
        <w:r w:rsidR="004C3686" w:rsidRPr="00856664">
          <w:rPr>
            <w:color w:val="0000FF"/>
            <w:u w:val="single"/>
          </w:rPr>
          <w:t>(annex_mappingtables to ST.27)</w:t>
        </w:r>
      </w:hyperlink>
    </w:p>
    <w:sectPr w:rsidR="00152CEA" w:rsidRPr="00856664" w:rsidSect="004C3686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86" w:rsidRDefault="004C3686">
      <w:r>
        <w:separator/>
      </w:r>
    </w:p>
  </w:endnote>
  <w:endnote w:type="continuationSeparator" w:id="0">
    <w:p w:rsidR="004C3686" w:rsidRPr="009D30E6" w:rsidRDefault="004C36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C3686" w:rsidRPr="007E663E" w:rsidRDefault="004C36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C3686" w:rsidRPr="007E663E" w:rsidRDefault="004C368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86" w:rsidRDefault="004C3686">
      <w:r>
        <w:separator/>
      </w:r>
    </w:p>
  </w:footnote>
  <w:footnote w:type="continuationSeparator" w:id="0">
    <w:p w:rsidR="004C3686" w:rsidRPr="009D30E6" w:rsidRDefault="004C368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C3686" w:rsidRPr="007E663E" w:rsidRDefault="004C368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C3686" w:rsidRPr="007E663E" w:rsidRDefault="004C368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686" w:rsidRDefault="004C3686">
    <w:pPr>
      <w:pStyle w:val="Header"/>
      <w:jc w:val="right"/>
    </w:pPr>
    <w:r>
      <w:t>CWS/6/13</w:t>
    </w:r>
  </w:p>
  <w:p w:rsidR="004C3686" w:rsidRDefault="004C3686">
    <w:pPr>
      <w:pStyle w:val="Header"/>
      <w:jc w:val="right"/>
      <w:rPr>
        <w:noProof/>
      </w:rPr>
    </w:pPr>
    <w:r>
      <w:t xml:space="preserve">página </w:t>
    </w:r>
    <w:sdt>
      <w:sdtPr>
        <w:id w:val="20952790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06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C3686" w:rsidRDefault="004C3686" w:rsidP="004A476F">
    <w:pPr>
      <w:jc w:val="right"/>
    </w:pPr>
  </w:p>
  <w:p w:rsidR="00810D99" w:rsidRDefault="00810D99" w:rsidP="004A476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C3686" w:rsidP="00477D6B">
    <w:pPr>
      <w:jc w:val="right"/>
    </w:pPr>
    <w:bookmarkStart w:id="6" w:name="Code2"/>
    <w:bookmarkEnd w:id="6"/>
    <w:r>
      <w:t>CWS/6/13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C3686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  <w:p w:rsidR="0023543B" w:rsidRDefault="002354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09" w:rsidRPr="007D5009" w:rsidRDefault="007D5009" w:rsidP="007D5009">
    <w:pPr>
      <w:pStyle w:val="Header"/>
      <w:jc w:val="right"/>
    </w:pPr>
    <w:r w:rsidRPr="007D5009">
      <w:t>CWS/6/13</w:t>
    </w:r>
  </w:p>
  <w:p w:rsidR="007D5009" w:rsidRPr="007D5009" w:rsidRDefault="007D5009" w:rsidP="007D5009">
    <w:pPr>
      <w:pStyle w:val="Header"/>
      <w:jc w:val="right"/>
    </w:pPr>
    <w:r w:rsidRPr="007D5009">
      <w:t>ANEXO</w:t>
    </w:r>
  </w:p>
  <w:p w:rsidR="007D5009" w:rsidRDefault="007D5009" w:rsidP="004C3686">
    <w:pPr>
      <w:pStyle w:val="Header"/>
      <w:jc w:val="right"/>
    </w:pPr>
  </w:p>
  <w:p w:rsidR="00810D99" w:rsidRPr="007D5009" w:rsidRDefault="00810D99" w:rsidP="004C36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17527B"/>
    <w:multiLevelType w:val="multilevel"/>
    <w:tmpl w:val="D92E6562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71367"/>
    <w:multiLevelType w:val="multilevel"/>
    <w:tmpl w:val="3078FA3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8" w15:restartNumberingAfterBreak="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86"/>
    <w:rsid w:val="00010686"/>
    <w:rsid w:val="00031277"/>
    <w:rsid w:val="0004193A"/>
    <w:rsid w:val="00052915"/>
    <w:rsid w:val="000838EC"/>
    <w:rsid w:val="000E12B6"/>
    <w:rsid w:val="000E3BB3"/>
    <w:rsid w:val="000F5E56"/>
    <w:rsid w:val="001362EE"/>
    <w:rsid w:val="00152CEA"/>
    <w:rsid w:val="00175563"/>
    <w:rsid w:val="00180411"/>
    <w:rsid w:val="001832A6"/>
    <w:rsid w:val="001E119E"/>
    <w:rsid w:val="001E143D"/>
    <w:rsid w:val="0023543B"/>
    <w:rsid w:val="002634C4"/>
    <w:rsid w:val="002C2E2F"/>
    <w:rsid w:val="002E0F47"/>
    <w:rsid w:val="002F4E68"/>
    <w:rsid w:val="00310826"/>
    <w:rsid w:val="00314E87"/>
    <w:rsid w:val="003151D5"/>
    <w:rsid w:val="00354647"/>
    <w:rsid w:val="00377273"/>
    <w:rsid w:val="003845C1"/>
    <w:rsid w:val="00387287"/>
    <w:rsid w:val="003E48F1"/>
    <w:rsid w:val="003F347A"/>
    <w:rsid w:val="00423E3E"/>
    <w:rsid w:val="00426CA4"/>
    <w:rsid w:val="00427AF4"/>
    <w:rsid w:val="0045231F"/>
    <w:rsid w:val="004647DA"/>
    <w:rsid w:val="0046793F"/>
    <w:rsid w:val="00477808"/>
    <w:rsid w:val="00477D6B"/>
    <w:rsid w:val="004A6C37"/>
    <w:rsid w:val="004C3686"/>
    <w:rsid w:val="004E297D"/>
    <w:rsid w:val="00531B02"/>
    <w:rsid w:val="005332F0"/>
    <w:rsid w:val="0055013B"/>
    <w:rsid w:val="00571B99"/>
    <w:rsid w:val="00601309"/>
    <w:rsid w:val="00605827"/>
    <w:rsid w:val="00675021"/>
    <w:rsid w:val="006A06C6"/>
    <w:rsid w:val="006A4371"/>
    <w:rsid w:val="007224C8"/>
    <w:rsid w:val="00794BE2"/>
    <w:rsid w:val="00796455"/>
    <w:rsid w:val="007A5581"/>
    <w:rsid w:val="007B50C2"/>
    <w:rsid w:val="007B71FE"/>
    <w:rsid w:val="007C765A"/>
    <w:rsid w:val="007D3ADF"/>
    <w:rsid w:val="007D5009"/>
    <w:rsid w:val="007D781E"/>
    <w:rsid w:val="007E663E"/>
    <w:rsid w:val="00810D99"/>
    <w:rsid w:val="00811E41"/>
    <w:rsid w:val="00815082"/>
    <w:rsid w:val="00850FE1"/>
    <w:rsid w:val="00856664"/>
    <w:rsid w:val="0088395E"/>
    <w:rsid w:val="00891A7A"/>
    <w:rsid w:val="008B2CC1"/>
    <w:rsid w:val="008C508E"/>
    <w:rsid w:val="008E6BD6"/>
    <w:rsid w:val="008F0A5D"/>
    <w:rsid w:val="0090525A"/>
    <w:rsid w:val="0090731E"/>
    <w:rsid w:val="009207A2"/>
    <w:rsid w:val="00945757"/>
    <w:rsid w:val="00966A22"/>
    <w:rsid w:val="009678E9"/>
    <w:rsid w:val="00972F03"/>
    <w:rsid w:val="009A0C8B"/>
    <w:rsid w:val="009A20CD"/>
    <w:rsid w:val="009A220E"/>
    <w:rsid w:val="009B6241"/>
    <w:rsid w:val="00A16FC0"/>
    <w:rsid w:val="00A32C9E"/>
    <w:rsid w:val="00A569B0"/>
    <w:rsid w:val="00AA206A"/>
    <w:rsid w:val="00AB613D"/>
    <w:rsid w:val="00AE7F20"/>
    <w:rsid w:val="00B534D5"/>
    <w:rsid w:val="00B65A0A"/>
    <w:rsid w:val="00B67CDC"/>
    <w:rsid w:val="00B72C90"/>
    <w:rsid w:val="00B72D36"/>
    <w:rsid w:val="00B8095C"/>
    <w:rsid w:val="00BC4164"/>
    <w:rsid w:val="00BD2DCC"/>
    <w:rsid w:val="00C66188"/>
    <w:rsid w:val="00C87193"/>
    <w:rsid w:val="00C90559"/>
    <w:rsid w:val="00C95DD1"/>
    <w:rsid w:val="00CA2251"/>
    <w:rsid w:val="00D56C7C"/>
    <w:rsid w:val="00D71B4D"/>
    <w:rsid w:val="00D90289"/>
    <w:rsid w:val="00D93D55"/>
    <w:rsid w:val="00DC4C60"/>
    <w:rsid w:val="00DD3C0A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6D66"/>
    <w:rsid w:val="00EF78A9"/>
    <w:rsid w:val="00F543E0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AACCB5D"/>
  <w15:docId w15:val="{23364A8F-E3BD-4DC6-8509-D130BD6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4C3686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edocs/mdocs/classifications/en/cws_6/cws_6_13-annex1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6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CWS/6/13 (in Spanish)</vt:lpstr>
    </vt:vector>
  </TitlesOfParts>
  <Company>WIPO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CWS/6/13 (in Spanish)</dc:title>
  <dc:subject>PLAN DE APLICACIÓN DE LA NORMA ST.27 DE LA OMPI POR LAS OFICINAS DE PROPIEDAD INTELECTUAL</dc:subject>
  <dc:creator>WIPO</dc:creator>
  <cp:keywords>CWS</cp:keywords>
  <cp:lastModifiedBy>DRAKE Sophie</cp:lastModifiedBy>
  <cp:revision>8</cp:revision>
  <dcterms:created xsi:type="dcterms:W3CDTF">2018-09-19T11:48:00Z</dcterms:created>
  <dcterms:modified xsi:type="dcterms:W3CDTF">2018-09-26T10:25:00Z</dcterms:modified>
  <cp:category>CWS (in Spanish)</cp:category>
</cp:coreProperties>
</file>