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E14D" w14:textId="77777777" w:rsidR="008B2CC1" w:rsidRPr="00862A04" w:rsidRDefault="00472A6E" w:rsidP="0018006E">
      <w:pPr>
        <w:pBdr>
          <w:bottom w:val="single" w:sz="4" w:space="10" w:color="auto"/>
        </w:pBdr>
        <w:spacing w:after="120"/>
        <w:ind w:right="-57"/>
        <w:jc w:val="right"/>
        <w:rPr>
          <w:lang w:val="es-ES_tradnl"/>
        </w:rPr>
      </w:pPr>
      <w:r w:rsidRPr="00862A04">
        <w:rPr>
          <w:noProof/>
          <w:lang w:val="es-ES_tradnl" w:eastAsia="en-US"/>
        </w:rPr>
        <w:drawing>
          <wp:inline distT="0" distB="0" distL="0" distR="0" wp14:anchorId="38AC922E" wp14:editId="4F70B3F2">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80831AC" w14:textId="77777777" w:rsidR="00472A6E" w:rsidRPr="00862A04" w:rsidRDefault="0018006E" w:rsidP="00862A04">
      <w:pPr>
        <w:jc w:val="right"/>
        <w:rPr>
          <w:rFonts w:ascii="Arial Black" w:hAnsi="Arial Black"/>
          <w:b/>
          <w:bCs/>
          <w:caps/>
          <w:sz w:val="15"/>
          <w:szCs w:val="15"/>
          <w:lang w:val="es-ES_tradnl"/>
        </w:rPr>
      </w:pPr>
      <w:r w:rsidRPr="00862A04">
        <w:rPr>
          <w:rFonts w:ascii="Arial Black" w:hAnsi="Arial Black"/>
          <w:b/>
          <w:bCs/>
          <w:caps/>
          <w:sz w:val="15"/>
          <w:szCs w:val="15"/>
          <w:lang w:val="es-ES_tradnl"/>
        </w:rPr>
        <w:t>CLIM/CE/3</w:t>
      </w:r>
      <w:r w:rsidR="008E7372" w:rsidRPr="00862A04">
        <w:rPr>
          <w:rFonts w:ascii="Arial Black" w:hAnsi="Arial Black"/>
          <w:b/>
          <w:bCs/>
          <w:caps/>
          <w:sz w:val="15"/>
          <w:szCs w:val="15"/>
          <w:lang w:val="es-ES_tradnl"/>
        </w:rPr>
        <w:t>4/</w:t>
      </w:r>
      <w:bookmarkStart w:id="0" w:name="Code"/>
      <w:bookmarkEnd w:id="0"/>
      <w:r w:rsidR="008D737B" w:rsidRPr="00862A04">
        <w:rPr>
          <w:rFonts w:ascii="Arial Black" w:hAnsi="Arial Black"/>
          <w:b/>
          <w:bCs/>
          <w:caps/>
          <w:sz w:val="15"/>
          <w:szCs w:val="15"/>
          <w:lang w:val="es-ES_tradnl"/>
        </w:rPr>
        <w:t>2</w:t>
      </w:r>
    </w:p>
    <w:p w14:paraId="2D666023" w14:textId="77777777" w:rsidR="008B2CC1" w:rsidRPr="00862A04" w:rsidRDefault="00472A6E" w:rsidP="00862A04">
      <w:pPr>
        <w:jc w:val="right"/>
        <w:rPr>
          <w:b/>
          <w:bCs/>
          <w:sz w:val="15"/>
          <w:szCs w:val="15"/>
          <w:lang w:val="es-ES_tradnl"/>
        </w:rPr>
      </w:pPr>
      <w:r w:rsidRPr="00862A04">
        <w:rPr>
          <w:rFonts w:ascii="Arial Black" w:hAnsi="Arial Black"/>
          <w:b/>
          <w:bCs/>
          <w:caps/>
          <w:sz w:val="15"/>
          <w:szCs w:val="15"/>
          <w:lang w:val="es-ES_tradnl"/>
        </w:rPr>
        <w:t xml:space="preserve">ORIGINAL: </w:t>
      </w:r>
      <w:bookmarkStart w:id="1" w:name="Original"/>
      <w:r w:rsidR="008D737B" w:rsidRPr="00862A04">
        <w:rPr>
          <w:rFonts w:ascii="Arial Black" w:hAnsi="Arial Black"/>
          <w:b/>
          <w:bCs/>
          <w:caps/>
          <w:sz w:val="15"/>
          <w:szCs w:val="15"/>
          <w:lang w:val="es-ES_tradnl"/>
        </w:rPr>
        <w:t>INGLÉS</w:t>
      </w:r>
    </w:p>
    <w:bookmarkEnd w:id="1"/>
    <w:p w14:paraId="4B82F196" w14:textId="77777777" w:rsidR="008B2CC1" w:rsidRPr="00862A04" w:rsidRDefault="00472A6E" w:rsidP="00862A04">
      <w:pPr>
        <w:spacing w:after="1200"/>
        <w:jc w:val="right"/>
        <w:rPr>
          <w:b/>
          <w:bCs/>
          <w:sz w:val="15"/>
          <w:szCs w:val="15"/>
          <w:lang w:val="es-ES_tradnl"/>
        </w:rPr>
      </w:pPr>
      <w:r w:rsidRPr="00862A04">
        <w:rPr>
          <w:rFonts w:ascii="Arial Black" w:hAnsi="Arial Black"/>
          <w:b/>
          <w:bCs/>
          <w:caps/>
          <w:sz w:val="15"/>
          <w:szCs w:val="15"/>
          <w:lang w:val="es-ES_tradnl"/>
        </w:rPr>
        <w:t xml:space="preserve">fecha: </w:t>
      </w:r>
      <w:bookmarkStart w:id="2" w:name="Date"/>
      <w:r w:rsidR="008D737B" w:rsidRPr="00862A04">
        <w:rPr>
          <w:rFonts w:ascii="Arial Black" w:hAnsi="Arial Black"/>
          <w:b/>
          <w:bCs/>
          <w:caps/>
          <w:sz w:val="15"/>
          <w:szCs w:val="15"/>
          <w:lang w:val="es-ES_tradnl"/>
        </w:rPr>
        <w:t>14 DE MAYO DE 2024</w:t>
      </w:r>
    </w:p>
    <w:bookmarkEnd w:id="2"/>
    <w:p w14:paraId="797ADD48" w14:textId="77777777" w:rsidR="0018006E" w:rsidRPr="00862A04" w:rsidRDefault="0018006E" w:rsidP="00404547">
      <w:pPr>
        <w:spacing w:after="480"/>
        <w:rPr>
          <w:b/>
          <w:sz w:val="28"/>
          <w:szCs w:val="28"/>
          <w:lang w:val="es-ES_tradnl"/>
        </w:rPr>
      </w:pPr>
      <w:r w:rsidRPr="00862A04">
        <w:rPr>
          <w:b/>
          <w:sz w:val="28"/>
          <w:lang w:val="es-ES_tradnl"/>
        </w:rPr>
        <w:t>Unión Especial para la Clasificación Internacional de Productos y Servicios para el Registro</w:t>
      </w:r>
      <w:r w:rsidR="00EB58F7" w:rsidRPr="00862A04">
        <w:rPr>
          <w:b/>
          <w:sz w:val="28"/>
          <w:lang w:val="es-ES_tradnl"/>
        </w:rPr>
        <w:t xml:space="preserve"> </w:t>
      </w:r>
      <w:r w:rsidRPr="00862A04">
        <w:rPr>
          <w:b/>
          <w:sz w:val="28"/>
          <w:lang w:val="es-ES_tradnl"/>
        </w:rPr>
        <w:t>de</w:t>
      </w:r>
      <w:r w:rsidR="00EB58F7" w:rsidRPr="00862A04">
        <w:rPr>
          <w:b/>
          <w:sz w:val="28"/>
          <w:lang w:val="es-ES_tradnl"/>
        </w:rPr>
        <w:t xml:space="preserve"> </w:t>
      </w:r>
      <w:r w:rsidRPr="00862A04">
        <w:rPr>
          <w:b/>
          <w:sz w:val="28"/>
          <w:lang w:val="es-ES_tradnl"/>
        </w:rPr>
        <w:t>las</w:t>
      </w:r>
      <w:r w:rsidR="00EB58F7" w:rsidRPr="00862A04">
        <w:rPr>
          <w:b/>
          <w:sz w:val="28"/>
          <w:lang w:val="es-ES_tradnl"/>
        </w:rPr>
        <w:t xml:space="preserve"> </w:t>
      </w:r>
      <w:r w:rsidRPr="00862A04">
        <w:rPr>
          <w:b/>
          <w:sz w:val="28"/>
          <w:lang w:val="es-ES_tradnl"/>
        </w:rPr>
        <w:t>Marcas (Unión</w:t>
      </w:r>
      <w:r w:rsidR="00EB58F7" w:rsidRPr="00862A04">
        <w:rPr>
          <w:b/>
          <w:sz w:val="28"/>
          <w:lang w:val="es-ES_tradnl"/>
        </w:rPr>
        <w:t xml:space="preserve"> </w:t>
      </w:r>
      <w:r w:rsidRPr="00862A04">
        <w:rPr>
          <w:b/>
          <w:sz w:val="28"/>
          <w:lang w:val="es-ES_tradnl"/>
        </w:rPr>
        <w:t>de</w:t>
      </w:r>
      <w:r w:rsidR="00EB58F7" w:rsidRPr="00862A04">
        <w:rPr>
          <w:b/>
          <w:sz w:val="28"/>
          <w:lang w:val="es-ES_tradnl"/>
        </w:rPr>
        <w:t xml:space="preserve"> </w:t>
      </w:r>
      <w:r w:rsidRPr="00862A04">
        <w:rPr>
          <w:b/>
          <w:sz w:val="28"/>
          <w:lang w:val="es-ES_tradnl"/>
        </w:rPr>
        <w:t>Niza)</w:t>
      </w:r>
    </w:p>
    <w:p w14:paraId="79881288" w14:textId="77777777" w:rsidR="00B67CDC" w:rsidRPr="00862A04" w:rsidRDefault="0018006E" w:rsidP="00404547">
      <w:pPr>
        <w:spacing w:after="480"/>
        <w:rPr>
          <w:b/>
          <w:bCs/>
          <w:kern w:val="32"/>
          <w:sz w:val="28"/>
          <w:szCs w:val="28"/>
          <w:lang w:val="es-ES_tradnl"/>
        </w:rPr>
      </w:pPr>
      <w:r w:rsidRPr="00862A04">
        <w:rPr>
          <w:b/>
          <w:bCs/>
          <w:kern w:val="32"/>
          <w:sz w:val="28"/>
          <w:szCs w:val="28"/>
          <w:lang w:val="es-ES_tradnl"/>
        </w:rPr>
        <w:t>Comité de Expertos</w:t>
      </w:r>
    </w:p>
    <w:p w14:paraId="743BE383" w14:textId="77777777" w:rsidR="005B2EAE" w:rsidRPr="00862A04" w:rsidRDefault="0018006E" w:rsidP="00404547">
      <w:pPr>
        <w:rPr>
          <w:b/>
          <w:sz w:val="24"/>
          <w:szCs w:val="24"/>
          <w:lang w:val="es-ES_tradnl"/>
        </w:rPr>
      </w:pPr>
      <w:r w:rsidRPr="00862A04">
        <w:rPr>
          <w:b/>
          <w:sz w:val="24"/>
          <w:lang w:val="es-ES_tradnl"/>
        </w:rPr>
        <w:t xml:space="preserve">Trigésima </w:t>
      </w:r>
      <w:r w:rsidR="00105AC1" w:rsidRPr="00862A04">
        <w:rPr>
          <w:b/>
          <w:sz w:val="24"/>
          <w:lang w:val="es-ES_tradnl"/>
        </w:rPr>
        <w:t>cuarta</w:t>
      </w:r>
      <w:r w:rsidRPr="00862A04">
        <w:rPr>
          <w:b/>
          <w:sz w:val="24"/>
          <w:lang w:val="es-ES_tradnl"/>
        </w:rPr>
        <w:t xml:space="preserve"> sesión</w:t>
      </w:r>
    </w:p>
    <w:p w14:paraId="38941F63" w14:textId="02CBDF29" w:rsidR="00B67CDC" w:rsidRPr="00862A04" w:rsidRDefault="0018006E" w:rsidP="00404547">
      <w:pPr>
        <w:spacing w:after="720"/>
        <w:rPr>
          <w:b/>
          <w:sz w:val="24"/>
          <w:szCs w:val="24"/>
          <w:lang w:val="es-ES_tradnl"/>
        </w:rPr>
      </w:pPr>
      <w:r w:rsidRPr="00862A04">
        <w:rPr>
          <w:b/>
          <w:sz w:val="24"/>
          <w:lang w:val="es-ES_tradnl"/>
        </w:rPr>
        <w:t xml:space="preserve">Ginebra, </w:t>
      </w:r>
      <w:r w:rsidR="00105AC1" w:rsidRPr="00862A04">
        <w:rPr>
          <w:b/>
          <w:sz w:val="24"/>
          <w:lang w:val="es-ES_tradnl"/>
        </w:rPr>
        <w:t>22</w:t>
      </w:r>
      <w:r w:rsidRPr="00862A04">
        <w:rPr>
          <w:b/>
          <w:sz w:val="24"/>
          <w:lang w:val="es-ES_tradnl"/>
        </w:rPr>
        <w:t xml:space="preserve"> a </w:t>
      </w:r>
      <w:r w:rsidR="00105AC1" w:rsidRPr="00862A04">
        <w:rPr>
          <w:b/>
          <w:sz w:val="24"/>
          <w:lang w:val="es-ES_tradnl"/>
        </w:rPr>
        <w:t>2</w:t>
      </w:r>
      <w:r w:rsidR="00B0348E">
        <w:rPr>
          <w:b/>
          <w:sz w:val="24"/>
          <w:lang w:val="es-ES_tradnl"/>
        </w:rPr>
        <w:t>5</w:t>
      </w:r>
      <w:r w:rsidRPr="00862A04">
        <w:rPr>
          <w:b/>
          <w:sz w:val="24"/>
          <w:lang w:val="es-ES_tradnl"/>
        </w:rPr>
        <w:t xml:space="preserve"> de </w:t>
      </w:r>
      <w:r w:rsidR="00105AC1" w:rsidRPr="00862A04">
        <w:rPr>
          <w:b/>
          <w:sz w:val="24"/>
          <w:lang w:val="es-ES_tradnl"/>
        </w:rPr>
        <w:t xml:space="preserve">abril </w:t>
      </w:r>
      <w:r w:rsidRPr="00862A04">
        <w:rPr>
          <w:b/>
          <w:sz w:val="24"/>
          <w:lang w:val="es-ES_tradnl"/>
        </w:rPr>
        <w:t>de 202</w:t>
      </w:r>
      <w:r w:rsidR="00105AC1" w:rsidRPr="00862A04">
        <w:rPr>
          <w:b/>
          <w:sz w:val="24"/>
          <w:lang w:val="es-ES_tradnl"/>
        </w:rPr>
        <w:t>4</w:t>
      </w:r>
    </w:p>
    <w:p w14:paraId="2584EA1D" w14:textId="4C852154" w:rsidR="008B2CC1" w:rsidRPr="00862A04" w:rsidRDefault="00862A04" w:rsidP="00472A6E">
      <w:pPr>
        <w:spacing w:after="360"/>
        <w:rPr>
          <w:caps/>
          <w:sz w:val="24"/>
          <w:lang w:val="es-ES_tradnl"/>
        </w:rPr>
      </w:pPr>
      <w:bookmarkStart w:id="3" w:name="TitleOfDoc"/>
      <w:r w:rsidRPr="00862A04">
        <w:rPr>
          <w:caps/>
          <w:sz w:val="24"/>
          <w:lang w:val="es-ES_tradnl"/>
        </w:rPr>
        <w:t xml:space="preserve">INFORME </w:t>
      </w:r>
    </w:p>
    <w:p w14:paraId="77162982" w14:textId="7F686915" w:rsidR="008B2CC1" w:rsidRPr="00862A04" w:rsidRDefault="00862A04" w:rsidP="00472A6E">
      <w:pPr>
        <w:spacing w:after="1040"/>
        <w:rPr>
          <w:i/>
          <w:lang w:val="es-ES_tradnl"/>
        </w:rPr>
      </w:pPr>
      <w:bookmarkStart w:id="4" w:name="Prepared"/>
      <w:bookmarkEnd w:id="3"/>
      <w:bookmarkEnd w:id="4"/>
      <w:r w:rsidRPr="00862A04">
        <w:rPr>
          <w:i/>
          <w:lang w:val="es-ES_tradnl"/>
        </w:rPr>
        <w:t>aprobado por el Comité de Expertos</w:t>
      </w:r>
    </w:p>
    <w:p w14:paraId="4264BE7F" w14:textId="77777777" w:rsidR="00862A04" w:rsidRPr="00862A04" w:rsidRDefault="00862A04" w:rsidP="00862A04">
      <w:pPr>
        <w:spacing w:after="120"/>
        <w:rPr>
          <w:b/>
          <w:lang w:val="es-ES_tradnl"/>
        </w:rPr>
      </w:pPr>
      <w:r w:rsidRPr="00862A04">
        <w:rPr>
          <w:b/>
          <w:lang w:val="es-ES_tradnl"/>
        </w:rPr>
        <w:t>INTRODUCCIÓN</w:t>
      </w:r>
    </w:p>
    <w:p w14:paraId="74BA316C" w14:textId="4C36C694" w:rsidR="00862A04" w:rsidRPr="00862A04" w:rsidRDefault="00862A04" w:rsidP="00002B7E">
      <w:pPr>
        <w:rPr>
          <w:szCs w:val="22"/>
          <w:lang w:val="es-ES_tradnl"/>
        </w:rPr>
      </w:pPr>
      <w:r w:rsidRPr="00862A04">
        <w:rPr>
          <w:lang w:val="es-ES_tradnl"/>
        </w:rPr>
        <w:fldChar w:fldCharType="begin"/>
      </w:r>
      <w:r w:rsidRPr="00862A04">
        <w:rPr>
          <w:lang w:val="es-ES_tradnl"/>
        </w:rPr>
        <w:instrText xml:space="preserve"> AUTONUM </w:instrText>
      </w:r>
      <w:r w:rsidRPr="00862A04">
        <w:rPr>
          <w:lang w:val="es-ES_tradnl"/>
        </w:rPr>
        <w:fldChar w:fldCharType="end"/>
      </w:r>
      <w:r w:rsidRPr="00862A04">
        <w:rPr>
          <w:lang w:val="es-ES_tradnl"/>
        </w:rPr>
        <w:tab/>
        <w:t>El Comité de Expertos de la Unión de Niza (Comité) celebró su trigésima cuarta sesión en Ginebra del 22 al 25 de abril de 2024 en formato híbrido.</w:t>
      </w:r>
      <w:r w:rsidR="00002B7E">
        <w:rPr>
          <w:lang w:val="es-ES_tradnl"/>
        </w:rPr>
        <w:t xml:space="preserve"> </w:t>
      </w:r>
      <w:r w:rsidRPr="00862A04">
        <w:rPr>
          <w:lang w:val="es-ES_tradnl"/>
        </w:rPr>
        <w:t>Estuvieron representados en la sesión los siguientes miembros del Comité: Alemania, Arabia Saudita, Argelia, Armenia, Australia, Austria, Azerbaiyán, Belarús, Canadá, China, Dinamarca, Eslovaquia, Eslovenia, España, Estados Unidos de América, Estonia, Federación de Rusia, Finlandia, Francia, Grecia, Hungría, India, Indonesia, Irán (República Islámica del), Irlanda, Israel, Italia, Japón, Letonia, Lituania, Macedonia del Norte, México, Noruega, Nueva Zelandia, Países Bajos (Reino de los), Perú, Polonia, Portugal, Reino Unido, República Checa, República de Corea, República de Moldova, Serbia, Singapur, Suecia, Suiza, Trinidad y Tabago, Türkiye, Ucrania y Uruguay (50).</w:t>
      </w:r>
      <w:r w:rsidR="00002B7E">
        <w:rPr>
          <w:lang w:val="es-ES_tradnl"/>
        </w:rPr>
        <w:t xml:space="preserve"> </w:t>
      </w:r>
      <w:r w:rsidRPr="00862A04">
        <w:rPr>
          <w:lang w:val="es-ES_tradnl"/>
        </w:rPr>
        <w:t>Los siguientes Estados estuvieron representados por observadores: Brasil, Côte d'Ivoire, Etiopía, Iraq, Madagascar, Níger, Tailandia y Vanuatu (8).</w:t>
      </w:r>
      <w:r w:rsidR="00002B7E">
        <w:rPr>
          <w:lang w:val="es-ES_tradnl"/>
        </w:rPr>
        <w:t xml:space="preserve"> </w:t>
      </w:r>
      <w:r w:rsidRPr="00862A04">
        <w:rPr>
          <w:lang w:val="es-ES_tradnl"/>
        </w:rPr>
        <w:t>Los representantes de las siguientes organizaciones intergubernamentales internacionales participaron en la sesión en calidad de observadores:</w:t>
      </w:r>
      <w:r w:rsidR="00002B7E">
        <w:rPr>
          <w:lang w:val="es-ES_tradnl"/>
        </w:rPr>
        <w:t xml:space="preserve"> </w:t>
      </w:r>
      <w:r w:rsidRPr="00862A04">
        <w:rPr>
          <w:lang w:val="es-ES_tradnl"/>
        </w:rPr>
        <w:t>Oficina de Propiedad Intelectual del Benelux (BOIP) y Unión Europea (UE).</w:t>
      </w:r>
      <w:r w:rsidR="00002B7E">
        <w:rPr>
          <w:lang w:val="es-ES_tradnl"/>
        </w:rPr>
        <w:t xml:space="preserve"> </w:t>
      </w:r>
      <w:r w:rsidRPr="00862A04">
        <w:rPr>
          <w:lang w:val="es-ES_tradnl"/>
        </w:rPr>
        <w:t>Asistieron a la sesión, en calidad de observadores, representantes de las siguientes organizaciones no gubernamentales: Asociación para la Protección de la Propiedad Intelectual (AIPPI), Asociación Europea de Estudiantes de Derecho (ELSA International), Instituto de Propiedad Intelectual del Canadá (IPIC), Asociación Internacional de Marcas (INTA) y Asociación Japonesa de Abogados de Patentes (JPAA).</w:t>
      </w:r>
      <w:r w:rsidR="00002B7E">
        <w:rPr>
          <w:lang w:val="es-ES_tradnl"/>
        </w:rPr>
        <w:t xml:space="preserve"> </w:t>
      </w:r>
      <w:r w:rsidRPr="00862A04">
        <w:rPr>
          <w:lang w:val="es-ES_tradnl"/>
        </w:rPr>
        <w:t>La lista de participantes figura en el Anexo I del presente informe.</w:t>
      </w:r>
    </w:p>
    <w:p w14:paraId="2606E06A" w14:textId="77777777" w:rsidR="00862A04" w:rsidRPr="00862A04" w:rsidRDefault="00862A04" w:rsidP="00002B7E">
      <w:pPr>
        <w:rPr>
          <w:color w:val="000000" w:themeColor="text1"/>
          <w:szCs w:val="22"/>
          <w:lang w:val="es-ES_tradnl"/>
        </w:rPr>
      </w:pPr>
    </w:p>
    <w:p w14:paraId="70DC16CD" w14:textId="77777777" w:rsidR="00862A04" w:rsidRPr="00862A04" w:rsidRDefault="00862A04" w:rsidP="00002B7E">
      <w:pPr>
        <w:rPr>
          <w:lang w:val="es-ES_tradnl"/>
        </w:rPr>
      </w:pPr>
      <w:r w:rsidRPr="00862A04">
        <w:rPr>
          <w:lang w:val="es-ES_tradnl"/>
        </w:rPr>
        <w:lastRenderedPageBreak/>
        <w:fldChar w:fldCharType="begin"/>
      </w:r>
      <w:r w:rsidRPr="00862A04">
        <w:rPr>
          <w:lang w:val="es-ES_tradnl"/>
        </w:rPr>
        <w:instrText xml:space="preserve"> AUTONUM </w:instrText>
      </w:r>
      <w:r w:rsidRPr="00862A04">
        <w:rPr>
          <w:lang w:val="es-ES_tradnl"/>
        </w:rPr>
        <w:fldChar w:fldCharType="end"/>
      </w:r>
      <w:r w:rsidRPr="00862A04">
        <w:rPr>
          <w:lang w:val="es-ES_tradnl"/>
        </w:rPr>
        <w:tab/>
        <w:t>La sesión fue inaugurada por el Sr. Ken-</w:t>
      </w:r>
      <w:proofErr w:type="spellStart"/>
      <w:r w:rsidRPr="00862A04">
        <w:rPr>
          <w:lang w:val="es-ES_tradnl"/>
        </w:rPr>
        <w:t>Ichiro</w:t>
      </w:r>
      <w:proofErr w:type="spellEnd"/>
      <w:r w:rsidRPr="00862A04">
        <w:rPr>
          <w:lang w:val="es-ES_tradnl"/>
        </w:rPr>
        <w:t xml:space="preserve"> Natsume, subdirector general del Sector de Infraestructuras y Plataformas de la OMPI, quien dio la bienvenida a los participantes.</w:t>
      </w:r>
    </w:p>
    <w:p w14:paraId="46639D93" w14:textId="77777777" w:rsidR="00862A04" w:rsidRPr="00862A04" w:rsidRDefault="00862A04" w:rsidP="00002B7E">
      <w:pPr>
        <w:rPr>
          <w:lang w:val="es-ES_tradnl"/>
        </w:rPr>
      </w:pPr>
    </w:p>
    <w:p w14:paraId="76A0E7D7" w14:textId="77777777" w:rsidR="00862A04" w:rsidRPr="00862A04" w:rsidRDefault="00862A04" w:rsidP="00002B7E">
      <w:pPr>
        <w:rPr>
          <w:lang w:val="es-ES_tradnl"/>
        </w:rPr>
      </w:pPr>
    </w:p>
    <w:p w14:paraId="15EB2256" w14:textId="77777777" w:rsidR="00862A04" w:rsidRPr="00862A04" w:rsidRDefault="00862A04" w:rsidP="00002B7E">
      <w:pPr>
        <w:rPr>
          <w:b/>
          <w:lang w:val="es-ES_tradnl"/>
        </w:rPr>
      </w:pPr>
      <w:r w:rsidRPr="00862A04">
        <w:rPr>
          <w:b/>
          <w:lang w:val="es-ES_tradnl"/>
        </w:rPr>
        <w:t>MESA</w:t>
      </w:r>
    </w:p>
    <w:p w14:paraId="78910133" w14:textId="77777777" w:rsidR="00862A04" w:rsidRPr="00862A04" w:rsidRDefault="00862A04" w:rsidP="00002B7E">
      <w:pPr>
        <w:rPr>
          <w:lang w:val="es-ES_tradnl"/>
        </w:rPr>
      </w:pPr>
    </w:p>
    <w:p w14:paraId="6DE7F810" w14:textId="77777777" w:rsidR="00862A04" w:rsidRPr="00862A04" w:rsidRDefault="00862A04" w:rsidP="00002B7E">
      <w:pPr>
        <w:rPr>
          <w:color w:val="000000" w:themeColor="text1"/>
          <w:szCs w:val="22"/>
          <w:lang w:val="es-ES_tradnl"/>
        </w:rPr>
      </w:pPr>
      <w:r w:rsidRPr="00862A04">
        <w:rPr>
          <w:lang w:val="es-ES_tradnl"/>
        </w:rPr>
        <w:fldChar w:fldCharType="begin"/>
      </w:r>
      <w:r w:rsidRPr="00862A04">
        <w:rPr>
          <w:lang w:val="es-ES_tradnl"/>
        </w:rPr>
        <w:instrText xml:space="preserve"> AUTONUM </w:instrText>
      </w:r>
      <w:r w:rsidRPr="00862A04">
        <w:rPr>
          <w:lang w:val="es-ES_tradnl"/>
        </w:rPr>
        <w:fldChar w:fldCharType="end"/>
      </w:r>
      <w:r w:rsidRPr="00862A04">
        <w:rPr>
          <w:lang w:val="es-ES_tradnl"/>
        </w:rPr>
        <w:tab/>
        <w:t xml:space="preserve">El presidente, Sr. </w:t>
      </w:r>
      <w:proofErr w:type="spellStart"/>
      <w:r w:rsidRPr="00862A04">
        <w:rPr>
          <w:lang w:val="es-ES_tradnl"/>
        </w:rPr>
        <w:t>Sébastien</w:t>
      </w:r>
      <w:proofErr w:type="spellEnd"/>
      <w:r w:rsidRPr="00862A04">
        <w:rPr>
          <w:lang w:val="es-ES_tradnl"/>
        </w:rPr>
        <w:t xml:space="preserve"> </w:t>
      </w:r>
      <w:proofErr w:type="spellStart"/>
      <w:r w:rsidRPr="00862A04">
        <w:rPr>
          <w:lang w:val="es-ES_tradnl"/>
        </w:rPr>
        <w:t>Tinguely</w:t>
      </w:r>
      <w:proofErr w:type="spellEnd"/>
      <w:r w:rsidRPr="00862A04">
        <w:rPr>
          <w:lang w:val="es-ES_tradnl"/>
        </w:rPr>
        <w:t xml:space="preserve"> (Suiza), y las vicepresidentas, Sra. Monique Choiniere (Estados Unidos de América) y Sra. Rula </w:t>
      </w:r>
      <w:proofErr w:type="spellStart"/>
      <w:r w:rsidRPr="00862A04">
        <w:rPr>
          <w:lang w:val="es-ES_tradnl"/>
        </w:rPr>
        <w:t>Cohay</w:t>
      </w:r>
      <w:proofErr w:type="spellEnd"/>
      <w:r w:rsidRPr="00862A04">
        <w:rPr>
          <w:lang w:val="es-ES_tradnl"/>
        </w:rPr>
        <w:t xml:space="preserve"> (Israel), fueron elegidos en la trigésima tercera sesión por un período de dos años civiles.</w:t>
      </w:r>
    </w:p>
    <w:p w14:paraId="7724656F" w14:textId="77777777" w:rsidR="00862A04" w:rsidRPr="00862A04" w:rsidRDefault="00862A04" w:rsidP="00002B7E">
      <w:pPr>
        <w:rPr>
          <w:color w:val="000000" w:themeColor="text1"/>
          <w:szCs w:val="22"/>
          <w:lang w:val="es-ES_tradnl"/>
        </w:rPr>
      </w:pPr>
    </w:p>
    <w:p w14:paraId="4A545B9E" w14:textId="77777777" w:rsidR="00862A04" w:rsidRPr="00862A04" w:rsidRDefault="00862A04" w:rsidP="00002B7E">
      <w:pPr>
        <w:rPr>
          <w:szCs w:val="22"/>
          <w:lang w:val="es-ES_tradnl"/>
        </w:rPr>
      </w:pPr>
      <w:r w:rsidRPr="00862A04">
        <w:rPr>
          <w:lang w:val="es-ES_tradnl"/>
        </w:rPr>
        <w:fldChar w:fldCharType="begin"/>
      </w:r>
      <w:r w:rsidRPr="00862A04">
        <w:rPr>
          <w:lang w:val="es-ES_tradnl"/>
        </w:rPr>
        <w:instrText xml:space="preserve"> AUTONUM  </w:instrText>
      </w:r>
      <w:r w:rsidRPr="00862A04">
        <w:rPr>
          <w:lang w:val="es-ES_tradnl"/>
        </w:rPr>
        <w:fldChar w:fldCharType="end"/>
      </w:r>
      <w:r w:rsidRPr="00862A04">
        <w:rPr>
          <w:lang w:val="es-ES_tradnl"/>
        </w:rPr>
        <w:tab/>
        <w:t xml:space="preserve">La Sra. Alison </w:t>
      </w:r>
      <w:proofErr w:type="spellStart"/>
      <w:r w:rsidRPr="00862A04">
        <w:rPr>
          <w:lang w:val="es-ES_tradnl"/>
        </w:rPr>
        <w:t>Züger</w:t>
      </w:r>
      <w:proofErr w:type="spellEnd"/>
      <w:r w:rsidRPr="00862A04">
        <w:rPr>
          <w:lang w:val="es-ES_tradnl"/>
        </w:rPr>
        <w:t xml:space="preserve"> (OMPI) actuó como secretaria de la sesión.</w:t>
      </w:r>
    </w:p>
    <w:p w14:paraId="214BA5D3" w14:textId="77777777" w:rsidR="00862A04" w:rsidRPr="00862A04" w:rsidRDefault="00862A04" w:rsidP="00002B7E">
      <w:pPr>
        <w:rPr>
          <w:szCs w:val="22"/>
          <w:lang w:val="es-ES_tradnl"/>
        </w:rPr>
      </w:pPr>
    </w:p>
    <w:p w14:paraId="6E2558EE" w14:textId="77777777" w:rsidR="00862A04" w:rsidRPr="00862A04" w:rsidRDefault="00862A04" w:rsidP="00002B7E">
      <w:pPr>
        <w:rPr>
          <w:szCs w:val="22"/>
          <w:lang w:val="es-ES_tradnl"/>
        </w:rPr>
      </w:pPr>
    </w:p>
    <w:p w14:paraId="29D19507" w14:textId="77777777" w:rsidR="00862A04" w:rsidRPr="00862A04" w:rsidRDefault="00862A04" w:rsidP="00002B7E">
      <w:pPr>
        <w:rPr>
          <w:b/>
          <w:lang w:val="es-ES_tradnl"/>
        </w:rPr>
      </w:pPr>
      <w:r w:rsidRPr="00862A04">
        <w:rPr>
          <w:b/>
          <w:lang w:val="es-ES_tradnl"/>
        </w:rPr>
        <w:t>APROBACIÓN DEL ORDEN DEL DÍA</w:t>
      </w:r>
    </w:p>
    <w:p w14:paraId="684EFD0A" w14:textId="77777777" w:rsidR="00862A04" w:rsidRPr="00862A04" w:rsidRDefault="00862A04" w:rsidP="00002B7E">
      <w:pPr>
        <w:rPr>
          <w:lang w:val="es-ES_tradnl"/>
        </w:rPr>
      </w:pPr>
    </w:p>
    <w:p w14:paraId="394E5E1F" w14:textId="77777777" w:rsidR="00862A04" w:rsidRPr="00862A04" w:rsidRDefault="00862A04" w:rsidP="00002B7E">
      <w:pPr>
        <w:ind w:left="550"/>
        <w:rPr>
          <w:szCs w:val="22"/>
          <w:lang w:val="es-ES_tradnl"/>
        </w:rPr>
      </w:pPr>
      <w:r w:rsidRPr="00862A04">
        <w:rPr>
          <w:lang w:val="es-ES_tradnl"/>
        </w:rPr>
        <w:fldChar w:fldCharType="begin"/>
      </w:r>
      <w:r w:rsidRPr="00862A04">
        <w:rPr>
          <w:lang w:val="es-ES_tradnl"/>
        </w:rPr>
        <w:instrText xml:space="preserve"> AUTONUM  </w:instrText>
      </w:r>
      <w:r w:rsidRPr="00862A04">
        <w:rPr>
          <w:lang w:val="es-ES_tradnl"/>
        </w:rPr>
        <w:fldChar w:fldCharType="end"/>
      </w:r>
      <w:r w:rsidRPr="00862A04">
        <w:rPr>
          <w:lang w:val="es-ES_tradnl"/>
        </w:rPr>
        <w:tab/>
        <w:t>El Comité aprobó por unanimidad el orden del día, que figura en el Anexo II del presente informe.</w:t>
      </w:r>
    </w:p>
    <w:p w14:paraId="0E7D9DE9" w14:textId="77777777" w:rsidR="00862A04" w:rsidRPr="00862A04" w:rsidRDefault="00862A04" w:rsidP="00002B7E">
      <w:pPr>
        <w:rPr>
          <w:szCs w:val="22"/>
          <w:lang w:val="es-ES_tradnl"/>
        </w:rPr>
      </w:pPr>
    </w:p>
    <w:p w14:paraId="041FB489" w14:textId="77777777" w:rsidR="00862A04" w:rsidRPr="00862A04" w:rsidRDefault="00862A04" w:rsidP="00002B7E">
      <w:pPr>
        <w:rPr>
          <w:szCs w:val="22"/>
          <w:lang w:val="es-ES_tradnl"/>
        </w:rPr>
      </w:pPr>
    </w:p>
    <w:p w14:paraId="4F5DAAC9" w14:textId="77777777" w:rsidR="00862A04" w:rsidRPr="00862A04" w:rsidRDefault="00862A04" w:rsidP="00002B7E">
      <w:pPr>
        <w:rPr>
          <w:b/>
          <w:lang w:val="es-ES_tradnl"/>
        </w:rPr>
      </w:pPr>
      <w:r w:rsidRPr="00862A04">
        <w:rPr>
          <w:b/>
          <w:lang w:val="es-ES_tradnl"/>
        </w:rPr>
        <w:t>DEBATE, CONCLUSIONES Y DECISIONES</w:t>
      </w:r>
    </w:p>
    <w:p w14:paraId="576DB1A4" w14:textId="77777777" w:rsidR="00862A04" w:rsidRPr="00862A04" w:rsidRDefault="00862A04" w:rsidP="00002B7E">
      <w:pPr>
        <w:rPr>
          <w:szCs w:val="22"/>
          <w:lang w:val="es-ES_tradnl"/>
        </w:rPr>
      </w:pPr>
    </w:p>
    <w:p w14:paraId="2644CB81" w14:textId="77777777" w:rsidR="00862A04" w:rsidRPr="00862A04" w:rsidRDefault="00862A04" w:rsidP="00002B7E">
      <w:pPr>
        <w:rPr>
          <w:szCs w:val="22"/>
          <w:lang w:val="es-ES_tradnl"/>
        </w:rPr>
      </w:pPr>
      <w:r w:rsidRPr="00862A04">
        <w:rPr>
          <w:lang w:val="es-ES_tradnl"/>
        </w:rPr>
        <w:fldChar w:fldCharType="begin"/>
      </w:r>
      <w:r w:rsidRPr="00862A04">
        <w:rPr>
          <w:lang w:val="es-ES_tradnl"/>
        </w:rPr>
        <w:instrText xml:space="preserve"> AUTONUM </w:instrText>
      </w:r>
      <w:r w:rsidRPr="00862A04">
        <w:rPr>
          <w:lang w:val="es-ES_tradnl"/>
        </w:rPr>
        <w:fldChar w:fldCharType="end"/>
      </w:r>
      <w:r w:rsidRPr="00862A04">
        <w:rPr>
          <w:lang w:val="es-ES_tradnl"/>
        </w:rPr>
        <w:tab/>
        <w:t>Tal como decidieron los órganos rectores de la OMPI en su décima serie de reuniones, celebrada del 24 de septiembre al 2 de octubre de 1979 (documento AB/X/32, párrafos 51 y 52), el informe de la presente sesión refleja únicamente las conclusiones del Comité (decisiones, recomendaciones, opiniones, etc.) y no refleja, en particular, las declaraciones hechas por cada participante, excepto en los casos en que se haya formulado o repetido una reserva en relación con alguna conclusión específica del Comité una vez alcanzada esa conclusión.</w:t>
      </w:r>
    </w:p>
    <w:p w14:paraId="383FCF0F" w14:textId="77777777" w:rsidR="00862A04" w:rsidRPr="00862A04" w:rsidRDefault="00862A04" w:rsidP="00002B7E">
      <w:pPr>
        <w:rPr>
          <w:szCs w:val="22"/>
          <w:lang w:val="es-ES_tradnl"/>
        </w:rPr>
      </w:pPr>
    </w:p>
    <w:p w14:paraId="02F738F6" w14:textId="77777777" w:rsidR="00862A04" w:rsidRPr="00862A04" w:rsidRDefault="00862A04" w:rsidP="00002B7E">
      <w:pPr>
        <w:rPr>
          <w:szCs w:val="22"/>
          <w:lang w:val="es-ES_tradnl"/>
        </w:rPr>
      </w:pPr>
    </w:p>
    <w:p w14:paraId="6150E5EB" w14:textId="77777777" w:rsidR="00862A04" w:rsidRPr="00862A04" w:rsidRDefault="00862A04" w:rsidP="00002B7E">
      <w:pPr>
        <w:rPr>
          <w:b/>
          <w:szCs w:val="22"/>
          <w:lang w:val="es-ES_tradnl"/>
        </w:rPr>
      </w:pPr>
      <w:r w:rsidRPr="00862A04">
        <w:rPr>
          <w:b/>
          <w:lang w:val="es-ES_tradnl"/>
        </w:rPr>
        <w:t>DECISIONES DEL COMITÉ</w:t>
      </w:r>
    </w:p>
    <w:p w14:paraId="77915D2F" w14:textId="77777777" w:rsidR="00862A04" w:rsidRPr="00862A04" w:rsidRDefault="00862A04" w:rsidP="00002B7E">
      <w:pPr>
        <w:rPr>
          <w:szCs w:val="22"/>
          <w:lang w:val="es-ES_tradnl"/>
        </w:rPr>
      </w:pPr>
    </w:p>
    <w:p w14:paraId="1EB0CBBD" w14:textId="2C47BF46" w:rsidR="00862A04" w:rsidRPr="00862A04" w:rsidRDefault="00862A04" w:rsidP="00002B7E">
      <w:pPr>
        <w:rPr>
          <w:szCs w:val="22"/>
          <w:lang w:val="es-ES_tradnl"/>
        </w:rPr>
      </w:pPr>
      <w:r w:rsidRPr="00862A04">
        <w:rPr>
          <w:lang w:val="es-ES_tradnl"/>
        </w:rPr>
        <w:fldChar w:fldCharType="begin"/>
      </w:r>
      <w:r w:rsidRPr="00862A04">
        <w:rPr>
          <w:lang w:val="es-ES_tradnl"/>
        </w:rPr>
        <w:instrText xml:space="preserve"> AUTONUM  </w:instrText>
      </w:r>
      <w:r w:rsidRPr="00862A04">
        <w:rPr>
          <w:lang w:val="es-ES_tradnl"/>
        </w:rPr>
        <w:fldChar w:fldCharType="end"/>
      </w:r>
      <w:r w:rsidRPr="00862A04">
        <w:rPr>
          <w:lang w:val="es-ES_tradnl"/>
        </w:rPr>
        <w:tab/>
        <w:t>De conformidad con el artículo 3.7)a) y b) del Arreglo de Niza, las decisiones del Comité relativas a la aprobación de modificaciones</w:t>
      </w:r>
      <w:r w:rsidRPr="00862A04">
        <w:rPr>
          <w:rStyle w:val="FootnoteReference"/>
          <w:szCs w:val="22"/>
          <w:lang w:val="es-ES_tradnl"/>
        </w:rPr>
        <w:footnoteReference w:id="2"/>
      </w:r>
      <w:r w:rsidRPr="00862A04">
        <w:rPr>
          <w:lang w:val="es-ES_tradnl"/>
        </w:rPr>
        <w:t xml:space="preserve"> de la Clasificación de Niza requieren una mayoría de cuatro quintos de los países de la Unión de Niza representados y votantes en la sesión.</w:t>
      </w:r>
      <w:r w:rsidR="00002B7E">
        <w:rPr>
          <w:lang w:val="es-ES_tradnl"/>
        </w:rPr>
        <w:t xml:space="preserve"> </w:t>
      </w:r>
      <w:r w:rsidRPr="00862A04">
        <w:rPr>
          <w:lang w:val="es-ES_tradnl"/>
        </w:rPr>
        <w:t>Las decisiones relativas a la aprobación de otros cambios en la Clasificación requieren una mayoría simple de los países de la Unión de Niza representados y votantes en la sesión.</w:t>
      </w:r>
    </w:p>
    <w:p w14:paraId="7F84C848" w14:textId="77777777" w:rsidR="00862A04" w:rsidRPr="00862A04" w:rsidRDefault="00862A04" w:rsidP="00002B7E">
      <w:pPr>
        <w:rPr>
          <w:szCs w:val="22"/>
          <w:lang w:val="es-ES_tradnl"/>
        </w:rPr>
      </w:pPr>
      <w:bookmarkStart w:id="5" w:name="_Hlk163808886"/>
    </w:p>
    <w:p w14:paraId="24045BF5" w14:textId="77777777" w:rsidR="00862A04" w:rsidRPr="00862A04" w:rsidRDefault="00862A04" w:rsidP="00002B7E">
      <w:pPr>
        <w:rPr>
          <w:szCs w:val="22"/>
          <w:lang w:val="es-ES_tradnl"/>
        </w:rPr>
      </w:pPr>
    </w:p>
    <w:bookmarkEnd w:id="5"/>
    <w:p w14:paraId="56488BC3" w14:textId="77777777" w:rsidR="00862A04" w:rsidRPr="00862A04" w:rsidRDefault="00862A04" w:rsidP="00002B7E">
      <w:pPr>
        <w:rPr>
          <w:b/>
          <w:szCs w:val="22"/>
          <w:lang w:val="es-ES_tradnl"/>
        </w:rPr>
      </w:pPr>
      <w:r w:rsidRPr="00862A04">
        <w:rPr>
          <w:b/>
          <w:lang w:val="es-ES_tradnl"/>
        </w:rPr>
        <w:t>ENTRADA EN VIGOR DE LAS DECISIONES DEL COMITÉ</w:t>
      </w:r>
    </w:p>
    <w:p w14:paraId="382695CD" w14:textId="77777777" w:rsidR="00862A04" w:rsidRPr="00862A04" w:rsidRDefault="00862A04" w:rsidP="00002B7E">
      <w:pPr>
        <w:rPr>
          <w:szCs w:val="22"/>
          <w:lang w:val="es-ES_tradnl"/>
        </w:rPr>
      </w:pPr>
    </w:p>
    <w:p w14:paraId="3B4DAAC5" w14:textId="77777777" w:rsidR="00862A04" w:rsidRPr="00862A04" w:rsidRDefault="00862A04" w:rsidP="00002B7E">
      <w:pPr>
        <w:pStyle w:val="ListParagraph"/>
        <w:numPr>
          <w:ilvl w:val="0"/>
          <w:numId w:val="7"/>
        </w:numPr>
        <w:ind w:left="540" w:firstLine="0"/>
        <w:contextualSpacing w:val="0"/>
        <w:rPr>
          <w:szCs w:val="22"/>
          <w:lang w:val="es-ES_tradnl"/>
        </w:rPr>
      </w:pPr>
      <w:r w:rsidRPr="00862A04">
        <w:rPr>
          <w:lang w:val="es-ES_tradnl"/>
        </w:rPr>
        <w:t>De conformidad con la regla 7 de su reglamento interno, el Comité acordó que los cambios en la Clasificación que no supusieran una modificación en el sentido del artículo 3.7)b) del Arreglo de Niza entrarán en vigor el 1 de enero de 2025 y se incorporarán a una nueva versión de la Clasificación. Las modificaciones entrarán en vigor más adelante, en una fecha que determinará el Comité.</w:t>
      </w:r>
    </w:p>
    <w:p w14:paraId="2D9D247B" w14:textId="77777777" w:rsidR="00862A04" w:rsidRPr="00862A04" w:rsidRDefault="00862A04" w:rsidP="00002B7E">
      <w:pPr>
        <w:ind w:left="550"/>
        <w:rPr>
          <w:szCs w:val="22"/>
          <w:lang w:val="es-ES_tradnl"/>
        </w:rPr>
      </w:pPr>
    </w:p>
    <w:p w14:paraId="008D3F28" w14:textId="56E37515" w:rsidR="00862A04" w:rsidRPr="00862A04" w:rsidRDefault="00862A04" w:rsidP="00002B7E">
      <w:pPr>
        <w:pStyle w:val="ListParagraph"/>
        <w:numPr>
          <w:ilvl w:val="0"/>
          <w:numId w:val="8"/>
        </w:numPr>
        <w:ind w:left="540" w:firstLine="0"/>
        <w:contextualSpacing w:val="0"/>
        <w:rPr>
          <w:szCs w:val="22"/>
          <w:lang w:val="es-ES_tradnl"/>
        </w:rPr>
      </w:pPr>
      <w:r w:rsidRPr="00862A04">
        <w:rPr>
          <w:lang w:val="es-ES_tradnl"/>
        </w:rPr>
        <w:t>El Comité tomó nota de que la Oficina Internacional preparará y publicará en línea la nueva versión de la Clasificación (12-2025), en inglés y francés, para finales de 2024.</w:t>
      </w:r>
      <w:r w:rsidR="00002B7E">
        <w:rPr>
          <w:lang w:val="es-ES_tradnl"/>
        </w:rPr>
        <w:t xml:space="preserve"> </w:t>
      </w:r>
      <w:r w:rsidRPr="00862A04">
        <w:rPr>
          <w:lang w:val="es-ES_tradnl"/>
        </w:rPr>
        <w:t xml:space="preserve">La lista de productos y servicios en formato Excel, en inglés y francés, estará disponible en el </w:t>
      </w:r>
      <w:hyperlink r:id="rId9" w:history="1">
        <w:r w:rsidRPr="00862A04">
          <w:rPr>
            <w:rStyle w:val="Hyperlink"/>
            <w:lang w:val="es-ES_tradnl"/>
          </w:rPr>
          <w:t>foro electrónico</w:t>
        </w:r>
      </w:hyperlink>
      <w:r w:rsidRPr="00862A04">
        <w:rPr>
          <w:lang w:val="es-ES_tradnl"/>
        </w:rPr>
        <w:t xml:space="preserve"> a finales de junio de 2024.</w:t>
      </w:r>
    </w:p>
    <w:p w14:paraId="45BC850C" w14:textId="77777777" w:rsidR="00862A04" w:rsidRPr="00862A04" w:rsidRDefault="00862A04" w:rsidP="00002B7E">
      <w:pPr>
        <w:rPr>
          <w:szCs w:val="22"/>
          <w:lang w:val="es-ES_tradnl"/>
        </w:rPr>
      </w:pPr>
    </w:p>
    <w:p w14:paraId="6C48FAF2" w14:textId="77777777" w:rsidR="00862A04" w:rsidRPr="00862A04" w:rsidRDefault="00862A04" w:rsidP="00002B7E">
      <w:pPr>
        <w:pStyle w:val="ListParagraph"/>
        <w:numPr>
          <w:ilvl w:val="0"/>
          <w:numId w:val="8"/>
        </w:numPr>
        <w:ind w:left="0" w:firstLine="0"/>
        <w:contextualSpacing w:val="0"/>
        <w:rPr>
          <w:szCs w:val="22"/>
          <w:lang w:val="es-ES_tradnl"/>
        </w:rPr>
      </w:pPr>
      <w:r w:rsidRPr="00862A04">
        <w:rPr>
          <w:lang w:val="es-ES_tradnl"/>
        </w:rPr>
        <w:lastRenderedPageBreak/>
        <w:t>El Comité invitó a la Oficina Internacional a aprovechar la oportunidad para corregir los errores tipográficos o gramaticales evidentes que encontrara en el texto de la Clasificación y armonizar, en la medida de lo posible, el uso de la puntuación.</w:t>
      </w:r>
    </w:p>
    <w:p w14:paraId="46CFF632" w14:textId="77777777" w:rsidR="00862A04" w:rsidRPr="00862A04" w:rsidRDefault="00862A04" w:rsidP="00002B7E">
      <w:pPr>
        <w:rPr>
          <w:szCs w:val="22"/>
          <w:lang w:val="es-ES_tradnl"/>
        </w:rPr>
      </w:pPr>
    </w:p>
    <w:p w14:paraId="3324C5BD" w14:textId="77777777" w:rsidR="00862A04" w:rsidRPr="00862A04" w:rsidRDefault="00862A04" w:rsidP="00002B7E">
      <w:pPr>
        <w:rPr>
          <w:b/>
          <w:szCs w:val="22"/>
          <w:lang w:val="es-ES_tradnl"/>
        </w:rPr>
      </w:pPr>
    </w:p>
    <w:p w14:paraId="24C2BAE1" w14:textId="77777777" w:rsidR="00862A04" w:rsidRPr="00862A04" w:rsidRDefault="00862A04" w:rsidP="00002B7E">
      <w:pPr>
        <w:rPr>
          <w:b/>
          <w:szCs w:val="22"/>
          <w:lang w:val="es-ES_tradnl"/>
        </w:rPr>
      </w:pPr>
      <w:r w:rsidRPr="00862A04">
        <w:rPr>
          <w:b/>
          <w:lang w:val="es-ES_tradnl"/>
        </w:rPr>
        <w:t>SEGMENTO EMPRESARIAL</w:t>
      </w:r>
    </w:p>
    <w:p w14:paraId="5D880DB2" w14:textId="074ADD96" w:rsidR="00862A04" w:rsidRPr="00862A04" w:rsidRDefault="00862A04" w:rsidP="00002B7E">
      <w:pPr>
        <w:rPr>
          <w:b/>
          <w:szCs w:val="22"/>
          <w:lang w:val="es-ES_tradnl"/>
        </w:rPr>
      </w:pPr>
      <w:r w:rsidRPr="00862A04">
        <w:rPr>
          <w:b/>
          <w:lang w:val="es-ES_tradnl"/>
        </w:rPr>
        <w:t>LAS ASOCIACIONES DE USUARIOS PRESENTAN SUS CUESTIONES RELACIONADAS CON LA CLASIFICACIÓN DE NIZA</w:t>
      </w:r>
      <w:r w:rsidR="00002B7E">
        <w:rPr>
          <w:b/>
          <w:lang w:val="es-ES_tradnl"/>
        </w:rPr>
        <w:t xml:space="preserve"> </w:t>
      </w:r>
    </w:p>
    <w:p w14:paraId="47825C33" w14:textId="77777777" w:rsidR="00862A04" w:rsidRPr="00862A04" w:rsidRDefault="00862A04" w:rsidP="00002B7E">
      <w:pPr>
        <w:rPr>
          <w:szCs w:val="22"/>
          <w:lang w:val="es-ES_tradnl"/>
        </w:rPr>
      </w:pPr>
    </w:p>
    <w:p w14:paraId="6F17F800" w14:textId="40CEAC9F" w:rsidR="00862A04" w:rsidRPr="00862A04" w:rsidRDefault="00862A04" w:rsidP="00002B7E">
      <w:pPr>
        <w:pStyle w:val="ListParagraph"/>
        <w:numPr>
          <w:ilvl w:val="0"/>
          <w:numId w:val="9"/>
        </w:numPr>
        <w:ind w:left="0" w:firstLine="0"/>
        <w:contextualSpacing w:val="0"/>
        <w:rPr>
          <w:szCs w:val="22"/>
          <w:lang w:val="es-ES_tradnl"/>
        </w:rPr>
      </w:pPr>
      <w:r w:rsidRPr="00862A04">
        <w:rPr>
          <w:lang w:val="es-ES_tradnl"/>
        </w:rPr>
        <w:t xml:space="preserve">El representante de la Asociación Internacional de Marcas (INTA) hizo una declaración en la que resaltó la importancia de un estudio para reducir el tamaño de la clase 9 y recordó al Comité las soluciones propuestas durante la trigésima tercera sesión celebrada el año pasado (la declaración de la INTA está disponible en el proyecto </w:t>
      </w:r>
      <w:hyperlink r:id="rId10" w:history="1">
        <w:r w:rsidRPr="00862A04">
          <w:rPr>
            <w:rStyle w:val="Hyperlink"/>
            <w:lang w:val="es-ES_tradnl"/>
          </w:rPr>
          <w:t>CE342</w:t>
        </w:r>
      </w:hyperlink>
      <w:r w:rsidRPr="00862A04">
        <w:rPr>
          <w:lang w:val="es-ES_tradnl"/>
        </w:rPr>
        <w:t xml:space="preserve"> del foro electrónico).</w:t>
      </w:r>
    </w:p>
    <w:p w14:paraId="05921249" w14:textId="77777777" w:rsidR="00862A04" w:rsidRPr="00862A04" w:rsidRDefault="00862A04" w:rsidP="00002B7E">
      <w:pPr>
        <w:pStyle w:val="ListParagraph"/>
        <w:ind w:left="0"/>
        <w:contextualSpacing w:val="0"/>
        <w:rPr>
          <w:szCs w:val="22"/>
          <w:lang w:val="es-ES_tradnl"/>
        </w:rPr>
      </w:pPr>
    </w:p>
    <w:p w14:paraId="4FD43EC7" w14:textId="3140EED4" w:rsidR="00862A04" w:rsidRPr="00862A04" w:rsidRDefault="00862A04" w:rsidP="00002B7E">
      <w:pPr>
        <w:pStyle w:val="ListParagraph"/>
        <w:numPr>
          <w:ilvl w:val="0"/>
          <w:numId w:val="9"/>
        </w:numPr>
        <w:ind w:left="0" w:firstLine="0"/>
        <w:contextualSpacing w:val="0"/>
        <w:rPr>
          <w:szCs w:val="22"/>
          <w:lang w:val="es-ES_tradnl"/>
        </w:rPr>
      </w:pPr>
      <w:r w:rsidRPr="00862A04">
        <w:rPr>
          <w:lang w:val="es-ES_tradnl"/>
        </w:rPr>
        <w:t xml:space="preserve">La representante de la </w:t>
      </w:r>
      <w:proofErr w:type="spellStart"/>
      <w:r w:rsidRPr="00862A04">
        <w:rPr>
          <w:lang w:val="es-ES_tradnl"/>
        </w:rPr>
        <w:t>Japan</w:t>
      </w:r>
      <w:proofErr w:type="spellEnd"/>
      <w:r w:rsidRPr="00862A04">
        <w:rPr>
          <w:lang w:val="es-ES_tradnl"/>
        </w:rPr>
        <w:t xml:space="preserve"> </w:t>
      </w:r>
      <w:proofErr w:type="spellStart"/>
      <w:r w:rsidRPr="00862A04">
        <w:rPr>
          <w:lang w:val="es-ES_tradnl"/>
        </w:rPr>
        <w:t>Patent</w:t>
      </w:r>
      <w:proofErr w:type="spellEnd"/>
      <w:r w:rsidRPr="00862A04">
        <w:rPr>
          <w:lang w:val="es-ES_tradnl"/>
        </w:rPr>
        <w:t xml:space="preserve"> </w:t>
      </w:r>
      <w:proofErr w:type="spellStart"/>
      <w:r w:rsidRPr="00862A04">
        <w:rPr>
          <w:lang w:val="es-ES_tradnl"/>
        </w:rPr>
        <w:t>Attorneys</w:t>
      </w:r>
      <w:proofErr w:type="spellEnd"/>
      <w:r w:rsidRPr="00862A04">
        <w:rPr>
          <w:lang w:val="es-ES_tradnl"/>
        </w:rPr>
        <w:t xml:space="preserve"> </w:t>
      </w:r>
      <w:proofErr w:type="spellStart"/>
      <w:r w:rsidRPr="00862A04">
        <w:rPr>
          <w:lang w:val="es-ES_tradnl"/>
        </w:rPr>
        <w:t>Association</w:t>
      </w:r>
      <w:proofErr w:type="spellEnd"/>
      <w:r w:rsidRPr="00862A04">
        <w:rPr>
          <w:lang w:val="es-ES_tradnl"/>
        </w:rPr>
        <w:t xml:space="preserve"> (JPAA) hizo una declaración en la que destacó que es necesario añadir a la lista alfabética servicios adicionales provistos en entornos virtuales, con el fin de asegurar una práctica más coherente entre las oficinas (la declaración de la JPAA está disponible en el proyecto </w:t>
      </w:r>
      <w:hyperlink r:id="rId11" w:history="1">
        <w:r w:rsidRPr="00862A04">
          <w:rPr>
            <w:rStyle w:val="Hyperlink"/>
            <w:lang w:val="es-ES_tradnl"/>
          </w:rPr>
          <w:t>CE342</w:t>
        </w:r>
      </w:hyperlink>
      <w:r w:rsidRPr="00862A04">
        <w:rPr>
          <w:lang w:val="es-ES_tradnl"/>
        </w:rPr>
        <w:t xml:space="preserve"> del foro electrónico).</w:t>
      </w:r>
    </w:p>
    <w:p w14:paraId="1C794458" w14:textId="77777777" w:rsidR="00862A04" w:rsidRPr="00862A04" w:rsidRDefault="00862A04" w:rsidP="00002B7E">
      <w:pPr>
        <w:rPr>
          <w:szCs w:val="22"/>
          <w:lang w:val="es-ES_tradnl"/>
        </w:rPr>
      </w:pPr>
    </w:p>
    <w:p w14:paraId="733F9498" w14:textId="77777777" w:rsidR="00862A04" w:rsidRPr="00862A04" w:rsidRDefault="00862A04" w:rsidP="00002B7E">
      <w:pPr>
        <w:rPr>
          <w:b/>
          <w:szCs w:val="22"/>
          <w:lang w:val="es-ES_tradnl"/>
        </w:rPr>
      </w:pPr>
    </w:p>
    <w:p w14:paraId="69348700" w14:textId="77777777" w:rsidR="00862A04" w:rsidRPr="00862A04" w:rsidRDefault="00862A04" w:rsidP="00002B7E">
      <w:pPr>
        <w:rPr>
          <w:b/>
          <w:szCs w:val="22"/>
          <w:lang w:val="es-ES_tradnl"/>
        </w:rPr>
      </w:pPr>
      <w:r w:rsidRPr="00862A04">
        <w:rPr>
          <w:b/>
          <w:lang w:val="es-ES_tradnl"/>
        </w:rPr>
        <w:t>EXAMEN DE LAS PROPUESTAS DEL GRUPO 1 (APROBACIÓN POR MAYORÍA DE CUATRO QUINTOS) TRAS LA VOTACIÓN 1 EN EL NCLRMS</w:t>
      </w:r>
    </w:p>
    <w:p w14:paraId="1F2BE78A" w14:textId="77777777" w:rsidR="00862A04" w:rsidRPr="00862A04" w:rsidRDefault="00862A04" w:rsidP="00002B7E">
      <w:pPr>
        <w:rPr>
          <w:szCs w:val="22"/>
          <w:lang w:val="es-ES_tradnl"/>
        </w:rPr>
      </w:pPr>
    </w:p>
    <w:p w14:paraId="725E591E" w14:textId="47E9A2D5" w:rsidR="00862A04" w:rsidRPr="00862A04" w:rsidRDefault="00862A04" w:rsidP="00002B7E">
      <w:pPr>
        <w:pStyle w:val="ListParagraph"/>
        <w:numPr>
          <w:ilvl w:val="0"/>
          <w:numId w:val="9"/>
        </w:numPr>
        <w:ind w:left="0" w:firstLine="0"/>
        <w:contextualSpacing w:val="0"/>
        <w:rPr>
          <w:szCs w:val="22"/>
          <w:lang w:val="es-ES_tradnl"/>
        </w:rPr>
      </w:pPr>
      <w:r w:rsidRPr="00862A04">
        <w:rPr>
          <w:lang w:val="es-ES_tradnl"/>
        </w:rPr>
        <w:t xml:space="preserve">El debate se basó en el Grupo 1 del </w:t>
      </w:r>
      <w:hyperlink r:id="rId12" w:history="1">
        <w:r w:rsidRPr="00862A04">
          <w:rPr>
            <w:rStyle w:val="Hyperlink"/>
            <w:lang w:val="es-ES_tradnl"/>
          </w:rPr>
          <w:t>NCLRMS</w:t>
        </w:r>
      </w:hyperlink>
      <w:r w:rsidRPr="00862A04">
        <w:rPr>
          <w:lang w:val="es-ES_tradnl"/>
        </w:rPr>
        <w:t>, que contiene propuestas de cambios a la versión de 2024 de la Clasificación, las cuales han recibido un apoyo mayoritario de cuatro quintos en la votación 1.</w:t>
      </w:r>
    </w:p>
    <w:p w14:paraId="288DD8C0" w14:textId="77777777" w:rsidR="00862A04" w:rsidRPr="00862A04" w:rsidRDefault="00862A04" w:rsidP="00002B7E">
      <w:pPr>
        <w:rPr>
          <w:szCs w:val="22"/>
          <w:lang w:val="es-ES_tradnl"/>
        </w:rPr>
      </w:pPr>
    </w:p>
    <w:p w14:paraId="64C0F32C" w14:textId="3279FAA5" w:rsidR="00862A04" w:rsidRPr="00862A04" w:rsidRDefault="00862A04" w:rsidP="00002B7E">
      <w:pPr>
        <w:pStyle w:val="ListParagraph"/>
        <w:numPr>
          <w:ilvl w:val="0"/>
          <w:numId w:val="9"/>
        </w:numPr>
        <w:ind w:left="567" w:firstLine="0"/>
        <w:contextualSpacing w:val="0"/>
        <w:rPr>
          <w:color w:val="000000" w:themeColor="text1"/>
          <w:szCs w:val="22"/>
          <w:lang w:val="es-ES_tradnl"/>
        </w:rPr>
      </w:pPr>
      <w:r w:rsidRPr="00862A04">
        <w:rPr>
          <w:lang w:val="es-ES_tradnl"/>
        </w:rPr>
        <w:t xml:space="preserve">La Oficina Internacional trasladó una propuesta al Grupo 2. </w:t>
      </w:r>
      <w:r w:rsidRPr="00862A04">
        <w:rPr>
          <w:color w:val="000000" w:themeColor="text1"/>
          <w:lang w:val="es-ES_tradnl"/>
        </w:rPr>
        <w:t>El Comité acordó por unanimidad aprobar las propuestas restantes del Grupo 1. Las decisiones del Comité están disponibles en NCLRMS/</w:t>
      </w:r>
      <w:proofErr w:type="spellStart"/>
      <w:r w:rsidRPr="00862A04">
        <w:rPr>
          <w:color w:val="000000" w:themeColor="text1"/>
          <w:lang w:val="es-ES_tradnl"/>
        </w:rPr>
        <w:t>Sessions</w:t>
      </w:r>
      <w:proofErr w:type="spellEnd"/>
      <w:r w:rsidRPr="00862A04">
        <w:rPr>
          <w:color w:val="000000" w:themeColor="text1"/>
          <w:lang w:val="es-ES_tradnl"/>
        </w:rPr>
        <w:t>/CE34/</w:t>
      </w:r>
      <w:proofErr w:type="spellStart"/>
      <w:r w:rsidRPr="00862A04">
        <w:rPr>
          <w:color w:val="000000" w:themeColor="text1"/>
          <w:lang w:val="es-ES_tradnl"/>
        </w:rPr>
        <w:t>Group</w:t>
      </w:r>
      <w:proofErr w:type="spellEnd"/>
      <w:r w:rsidRPr="00862A04">
        <w:rPr>
          <w:color w:val="000000" w:themeColor="text1"/>
          <w:lang w:val="es-ES_tradnl"/>
        </w:rPr>
        <w:t xml:space="preserve"> 1 (así como en el </w:t>
      </w:r>
      <w:hyperlink r:id="rId13" w:history="1">
        <w:r w:rsidRPr="00862A04">
          <w:rPr>
            <w:rStyle w:val="Hyperlink"/>
            <w:lang w:val="es-ES_tradnl"/>
          </w:rPr>
          <w:t>foro electrónico</w:t>
        </w:r>
      </w:hyperlink>
      <w:r w:rsidRPr="00862A04">
        <w:rPr>
          <w:color w:val="000000" w:themeColor="text1"/>
          <w:lang w:val="es-ES_tradnl"/>
        </w:rPr>
        <w:t xml:space="preserve">, proyecto </w:t>
      </w:r>
      <w:hyperlink r:id="rId14" w:history="1">
        <w:r w:rsidRPr="00862A04">
          <w:rPr>
            <w:rStyle w:val="Hyperlink"/>
            <w:lang w:val="es-ES_tradnl"/>
          </w:rPr>
          <w:t>CE340</w:t>
        </w:r>
      </w:hyperlink>
      <w:r w:rsidRPr="00862A04">
        <w:rPr>
          <w:lang w:val="es-ES_tradnl"/>
        </w:rPr>
        <w:t>).</w:t>
      </w:r>
    </w:p>
    <w:p w14:paraId="593DCC61" w14:textId="77777777" w:rsidR="00862A04" w:rsidRPr="00862A04" w:rsidRDefault="00862A04" w:rsidP="00002B7E">
      <w:pPr>
        <w:rPr>
          <w:szCs w:val="22"/>
          <w:lang w:val="es-ES_tradnl"/>
        </w:rPr>
      </w:pPr>
    </w:p>
    <w:p w14:paraId="32D68692" w14:textId="77777777" w:rsidR="00862A04" w:rsidRPr="00862A04" w:rsidRDefault="00862A04" w:rsidP="00002B7E">
      <w:pPr>
        <w:rPr>
          <w:b/>
          <w:caps/>
          <w:szCs w:val="22"/>
          <w:lang w:val="es-ES_tradnl"/>
        </w:rPr>
      </w:pPr>
    </w:p>
    <w:p w14:paraId="6AF56701" w14:textId="77777777" w:rsidR="00862A04" w:rsidRPr="00862A04" w:rsidRDefault="00862A04" w:rsidP="00002B7E">
      <w:pPr>
        <w:rPr>
          <w:b/>
          <w:caps/>
          <w:szCs w:val="22"/>
          <w:lang w:val="es-ES_tradnl"/>
        </w:rPr>
      </w:pPr>
      <w:r w:rsidRPr="00862A04">
        <w:rPr>
          <w:b/>
          <w:caps/>
          <w:lang w:val="es-ES_tradnl"/>
        </w:rPr>
        <w:t>EXAMEN DE LAS PROPUESTAS</w:t>
      </w:r>
      <w:r w:rsidRPr="00862A04">
        <w:rPr>
          <w:b/>
          <w:lang w:val="es-ES_tradnl"/>
        </w:rPr>
        <w:t xml:space="preserve"> DEL GRUPO 2 TRAS LA VOTACIÓN 1 EN EL NCLRMS</w:t>
      </w:r>
    </w:p>
    <w:p w14:paraId="637D74A4" w14:textId="77777777" w:rsidR="00862A04" w:rsidRPr="00862A04" w:rsidRDefault="00862A04" w:rsidP="00002B7E">
      <w:pPr>
        <w:rPr>
          <w:szCs w:val="22"/>
          <w:lang w:val="es-ES_tradnl"/>
        </w:rPr>
      </w:pPr>
    </w:p>
    <w:p w14:paraId="5EF0AB57" w14:textId="411FF0A6" w:rsidR="00862A04" w:rsidRPr="00862A04" w:rsidRDefault="00862A04" w:rsidP="00002B7E">
      <w:pPr>
        <w:pStyle w:val="ListParagraph"/>
        <w:numPr>
          <w:ilvl w:val="0"/>
          <w:numId w:val="9"/>
        </w:numPr>
        <w:ind w:left="0" w:firstLine="0"/>
        <w:contextualSpacing w:val="0"/>
        <w:rPr>
          <w:szCs w:val="22"/>
          <w:lang w:val="es-ES_tradnl"/>
        </w:rPr>
      </w:pPr>
      <w:r w:rsidRPr="00862A04">
        <w:rPr>
          <w:lang w:val="es-ES_tradnl"/>
        </w:rPr>
        <w:t xml:space="preserve">El debate se basó en el Grupo 2 del </w:t>
      </w:r>
      <w:hyperlink r:id="rId15" w:history="1">
        <w:r w:rsidRPr="00862A04">
          <w:rPr>
            <w:rStyle w:val="Hyperlink"/>
            <w:lang w:val="es-ES_tradnl"/>
          </w:rPr>
          <w:t>NCLRMS</w:t>
        </w:r>
      </w:hyperlink>
      <w:r w:rsidRPr="00862A04">
        <w:rPr>
          <w:lang w:val="es-ES_tradnl"/>
        </w:rPr>
        <w:t>, que contiene propuestas de modificaciones y otros cambios a la Clasificación, las cuales no han recibido un apoyo mayoritario de cuatro quintos en la votación 1.</w:t>
      </w:r>
    </w:p>
    <w:p w14:paraId="51EA1ACC" w14:textId="77777777" w:rsidR="00862A04" w:rsidRPr="00862A04" w:rsidRDefault="00862A04" w:rsidP="00002B7E">
      <w:pPr>
        <w:rPr>
          <w:color w:val="000000" w:themeColor="text1"/>
          <w:szCs w:val="22"/>
          <w:lang w:val="es-ES_tradnl"/>
        </w:rPr>
      </w:pPr>
    </w:p>
    <w:p w14:paraId="1D12D70F" w14:textId="5CB9C6B0" w:rsidR="00862A04" w:rsidRPr="00862A04" w:rsidRDefault="00862A04" w:rsidP="00002B7E">
      <w:pPr>
        <w:pStyle w:val="ListParagraph"/>
        <w:numPr>
          <w:ilvl w:val="0"/>
          <w:numId w:val="9"/>
        </w:numPr>
        <w:ind w:left="567" w:firstLine="0"/>
        <w:contextualSpacing w:val="0"/>
        <w:rPr>
          <w:color w:val="000000" w:themeColor="text1"/>
          <w:szCs w:val="22"/>
          <w:lang w:val="es-ES_tradnl"/>
        </w:rPr>
      </w:pPr>
      <w:r w:rsidRPr="00862A04">
        <w:rPr>
          <w:color w:val="000000" w:themeColor="text1"/>
          <w:lang w:val="es-ES_tradnl"/>
        </w:rPr>
        <w:t>El Comité aprobó un número considerable de modificaciones y otros cambios en la Clasificación. Las decisiones del Comité están disponibles en NCLRMS/</w:t>
      </w:r>
      <w:proofErr w:type="spellStart"/>
      <w:r w:rsidRPr="00862A04">
        <w:rPr>
          <w:color w:val="000000" w:themeColor="text1"/>
          <w:lang w:val="es-ES_tradnl"/>
        </w:rPr>
        <w:t>Sessions</w:t>
      </w:r>
      <w:proofErr w:type="spellEnd"/>
      <w:r w:rsidRPr="00862A04">
        <w:rPr>
          <w:color w:val="000000" w:themeColor="text1"/>
          <w:lang w:val="es-ES_tradnl"/>
        </w:rPr>
        <w:t>/CE34/</w:t>
      </w:r>
      <w:proofErr w:type="spellStart"/>
      <w:r w:rsidRPr="00862A04">
        <w:rPr>
          <w:color w:val="000000" w:themeColor="text1"/>
          <w:lang w:val="es-ES_tradnl"/>
        </w:rPr>
        <w:t>Group</w:t>
      </w:r>
      <w:proofErr w:type="spellEnd"/>
      <w:r w:rsidRPr="00862A04">
        <w:rPr>
          <w:color w:val="000000" w:themeColor="text1"/>
          <w:lang w:val="es-ES_tradnl"/>
        </w:rPr>
        <w:t xml:space="preserve"> 2 (así como en el </w:t>
      </w:r>
      <w:hyperlink r:id="rId16" w:history="1">
        <w:r w:rsidRPr="00862A04">
          <w:rPr>
            <w:rStyle w:val="Hyperlink"/>
            <w:lang w:val="es-ES_tradnl"/>
          </w:rPr>
          <w:t>foro electrónico</w:t>
        </w:r>
      </w:hyperlink>
      <w:r w:rsidRPr="00862A04">
        <w:rPr>
          <w:color w:val="000000" w:themeColor="text1"/>
          <w:lang w:val="es-ES_tradnl"/>
        </w:rPr>
        <w:t xml:space="preserve">, proyecto </w:t>
      </w:r>
      <w:hyperlink r:id="rId17" w:history="1">
        <w:r w:rsidRPr="00862A04">
          <w:rPr>
            <w:rStyle w:val="Hyperlink"/>
            <w:lang w:val="es-ES_tradnl"/>
          </w:rPr>
          <w:t>CE340</w:t>
        </w:r>
      </w:hyperlink>
      <w:r w:rsidRPr="00862A04">
        <w:rPr>
          <w:lang w:val="es-ES_tradnl"/>
        </w:rPr>
        <w:t>).</w:t>
      </w:r>
    </w:p>
    <w:p w14:paraId="76D110D8" w14:textId="77777777" w:rsidR="00862A04" w:rsidRPr="00862A04" w:rsidRDefault="00862A04" w:rsidP="00002B7E">
      <w:pPr>
        <w:pStyle w:val="ListParagraph"/>
        <w:contextualSpacing w:val="0"/>
        <w:rPr>
          <w:color w:val="000000" w:themeColor="text1"/>
          <w:szCs w:val="22"/>
          <w:lang w:val="es-ES_tradnl"/>
        </w:rPr>
      </w:pPr>
    </w:p>
    <w:p w14:paraId="4D8029BA" w14:textId="77777777" w:rsidR="00862A04" w:rsidRPr="00862A04" w:rsidRDefault="00862A04" w:rsidP="00002B7E">
      <w:pPr>
        <w:pStyle w:val="ListParagraph"/>
        <w:numPr>
          <w:ilvl w:val="0"/>
          <w:numId w:val="9"/>
        </w:numPr>
        <w:ind w:left="567" w:firstLine="0"/>
        <w:contextualSpacing w:val="0"/>
        <w:rPr>
          <w:color w:val="000000" w:themeColor="text1"/>
          <w:szCs w:val="22"/>
          <w:lang w:val="es-ES_tradnl"/>
        </w:rPr>
      </w:pPr>
      <w:r w:rsidRPr="00862A04">
        <w:rPr>
          <w:color w:val="000000" w:themeColor="text1"/>
          <w:lang w:val="es-ES_tradnl"/>
        </w:rPr>
        <w:t>El Comité celebró un debate amplio sobre un grupo de propuestas presentadas por Australia relativas al cambio de ciertos términos sobre programas informáticos que actualmente se encuentran en la lista alfabética por términos más específicos. Si bien el Comité no alcanzó un consenso sobre esta cuestión, varias delegaciones (Suiza, los Estados Unidos de América, Alemania, EUIPO, Arabia Saudita y el Japón) afirmaron que están dispuestas a trabajar en un nuevo proyecto de grupo para investigarla en mayor profundidad. La Oficina Internacional ofreció su asistencia en la coordinación del proyecto, por ejemplo, mediante el envío de una encuesta a los Estados miembros para conocer su postura actual al respecto, si el grupo considera que puede ser de utilidad.</w:t>
      </w:r>
    </w:p>
    <w:p w14:paraId="1A824178" w14:textId="5C357D78" w:rsidR="00862A04" w:rsidRPr="00862A04" w:rsidRDefault="00862A04" w:rsidP="00002B7E">
      <w:pPr>
        <w:rPr>
          <w:b/>
          <w:caps/>
          <w:szCs w:val="22"/>
          <w:lang w:val="es-ES_tradnl"/>
        </w:rPr>
      </w:pPr>
    </w:p>
    <w:p w14:paraId="121666F9" w14:textId="77777777" w:rsidR="00862A04" w:rsidRPr="00862A04" w:rsidRDefault="00862A04" w:rsidP="00002B7E">
      <w:pPr>
        <w:keepNext/>
        <w:keepLines/>
        <w:rPr>
          <w:b/>
          <w:caps/>
          <w:szCs w:val="22"/>
          <w:lang w:val="es-ES_tradnl"/>
        </w:rPr>
      </w:pPr>
      <w:r w:rsidRPr="00862A04">
        <w:rPr>
          <w:b/>
          <w:caps/>
          <w:lang w:val="es-ES_tradnl"/>
        </w:rPr>
        <w:lastRenderedPageBreak/>
        <w:t>PRÓXIMA SESIÓN DEL COMITÉ DE EXPERTOS</w:t>
      </w:r>
    </w:p>
    <w:p w14:paraId="007911CA" w14:textId="77777777" w:rsidR="00862A04" w:rsidRPr="00862A04" w:rsidRDefault="00862A04" w:rsidP="00002B7E">
      <w:pPr>
        <w:rPr>
          <w:caps/>
          <w:szCs w:val="22"/>
          <w:lang w:val="es-ES_tradnl"/>
        </w:rPr>
      </w:pPr>
    </w:p>
    <w:p w14:paraId="3FAC0FC1" w14:textId="77777777" w:rsidR="00862A04" w:rsidRPr="00862A04" w:rsidRDefault="00862A04" w:rsidP="00002B7E">
      <w:pPr>
        <w:pStyle w:val="ListParagraph"/>
        <w:numPr>
          <w:ilvl w:val="0"/>
          <w:numId w:val="9"/>
        </w:numPr>
        <w:ind w:left="567" w:firstLine="0"/>
        <w:contextualSpacing w:val="0"/>
        <w:rPr>
          <w:lang w:val="es-ES_tradnl"/>
        </w:rPr>
      </w:pPr>
      <w:r w:rsidRPr="00862A04">
        <w:rPr>
          <w:lang w:val="es-ES_tradnl"/>
        </w:rPr>
        <w:t>El Comité tomó nota de que la próxima sesión (trigésima quinta) se celebrará en Ginebra a finales de abril o principios de mayo de 2025, en función del calendario de reuniones de la OMPI, incluidos los comités principales.</w:t>
      </w:r>
    </w:p>
    <w:p w14:paraId="46E540BF" w14:textId="77777777" w:rsidR="00862A04" w:rsidRPr="00862A04" w:rsidRDefault="00862A04" w:rsidP="00002B7E">
      <w:pPr>
        <w:rPr>
          <w:szCs w:val="22"/>
          <w:lang w:val="es-ES_tradnl"/>
        </w:rPr>
      </w:pPr>
    </w:p>
    <w:p w14:paraId="63F1B853" w14:textId="77777777" w:rsidR="00862A04" w:rsidRPr="00862A04" w:rsidRDefault="00862A04" w:rsidP="00002B7E">
      <w:pPr>
        <w:rPr>
          <w:szCs w:val="22"/>
          <w:lang w:val="es-ES_tradnl"/>
        </w:rPr>
      </w:pPr>
    </w:p>
    <w:p w14:paraId="4B39394B" w14:textId="11DF5DCB" w:rsidR="00862A04" w:rsidRPr="00862A04" w:rsidRDefault="00862A04" w:rsidP="00002B7E">
      <w:pPr>
        <w:rPr>
          <w:b/>
          <w:caps/>
          <w:szCs w:val="22"/>
          <w:lang w:val="es-ES_tradnl"/>
        </w:rPr>
      </w:pPr>
      <w:r w:rsidRPr="00862A04">
        <w:rPr>
          <w:b/>
          <w:caps/>
          <w:lang w:val="es-ES_tradnl"/>
        </w:rPr>
        <w:t>ELECCIÓN DE UNA PRESIDENCIA Y DOS VICEPRESIDENCIAS PARA LAS SESIONES 35.ª Y 36.ª DEL COMITÉ</w:t>
      </w:r>
    </w:p>
    <w:p w14:paraId="6D57D6B9" w14:textId="77777777" w:rsidR="00862A04" w:rsidRPr="00862A04" w:rsidRDefault="00862A04" w:rsidP="00002B7E">
      <w:pPr>
        <w:rPr>
          <w:caps/>
          <w:szCs w:val="22"/>
          <w:lang w:val="es-ES_tradnl"/>
        </w:rPr>
      </w:pPr>
    </w:p>
    <w:p w14:paraId="5DD5674C" w14:textId="77777777" w:rsidR="00862A04" w:rsidRPr="00862A04" w:rsidRDefault="00862A04" w:rsidP="00002B7E">
      <w:pPr>
        <w:pStyle w:val="ListParagraph"/>
        <w:numPr>
          <w:ilvl w:val="0"/>
          <w:numId w:val="9"/>
        </w:numPr>
        <w:ind w:left="567" w:firstLine="0"/>
        <w:contextualSpacing w:val="0"/>
        <w:rPr>
          <w:lang w:val="es-ES_tradnl"/>
        </w:rPr>
      </w:pPr>
      <w:r w:rsidRPr="00862A04">
        <w:rPr>
          <w:lang w:val="es-ES_tradnl"/>
        </w:rPr>
        <w:t>Se invitó al Comité a nominar y elegir a los miembros de la mesa para los próximos dos años civiles, en particular para las sesiones 35.ª y 36.ª. Dado que no se recibieron nominaciones, el Comité tomó nota de que el proceso de nominación se mantendrá abierto y de que la elección tendrá lugar al inicio de la 35.ª sesión, en 2025.</w:t>
      </w:r>
    </w:p>
    <w:p w14:paraId="5EE8C49F" w14:textId="77777777" w:rsidR="00862A04" w:rsidRPr="00862A04" w:rsidRDefault="00862A04" w:rsidP="00002B7E">
      <w:pPr>
        <w:rPr>
          <w:szCs w:val="22"/>
          <w:lang w:val="es-ES_tradnl"/>
        </w:rPr>
      </w:pPr>
    </w:p>
    <w:p w14:paraId="22CBE4D3" w14:textId="77777777" w:rsidR="00862A04" w:rsidRPr="00862A04" w:rsidRDefault="00862A04" w:rsidP="00002B7E">
      <w:pPr>
        <w:rPr>
          <w:szCs w:val="22"/>
          <w:lang w:val="es-ES_tradnl"/>
        </w:rPr>
      </w:pPr>
    </w:p>
    <w:p w14:paraId="03163D0F" w14:textId="77777777" w:rsidR="00862A04" w:rsidRPr="00862A04" w:rsidRDefault="00862A04" w:rsidP="00002B7E">
      <w:pPr>
        <w:rPr>
          <w:b/>
          <w:caps/>
          <w:szCs w:val="22"/>
          <w:lang w:val="es-ES_tradnl"/>
        </w:rPr>
      </w:pPr>
      <w:r w:rsidRPr="00862A04">
        <w:rPr>
          <w:b/>
          <w:caps/>
          <w:lang w:val="es-ES_tradnl"/>
        </w:rPr>
        <w:t>CLAUSURA DE LA SESIÓN</w:t>
      </w:r>
    </w:p>
    <w:p w14:paraId="07312A17" w14:textId="77777777" w:rsidR="00862A04" w:rsidRPr="00862A04" w:rsidRDefault="00862A04" w:rsidP="00002B7E">
      <w:pPr>
        <w:rPr>
          <w:caps/>
          <w:szCs w:val="22"/>
          <w:lang w:val="es-ES_tradnl"/>
        </w:rPr>
      </w:pPr>
    </w:p>
    <w:p w14:paraId="04286C55" w14:textId="77777777" w:rsidR="00862A04" w:rsidRPr="00862A04" w:rsidRDefault="00862A04" w:rsidP="00002B7E">
      <w:pPr>
        <w:pStyle w:val="ListParagraph"/>
        <w:numPr>
          <w:ilvl w:val="0"/>
          <w:numId w:val="9"/>
        </w:numPr>
        <w:ind w:left="567" w:firstLine="0"/>
        <w:contextualSpacing w:val="0"/>
        <w:rPr>
          <w:lang w:val="es-ES_tradnl"/>
        </w:rPr>
      </w:pPr>
      <w:r w:rsidRPr="00862A04">
        <w:rPr>
          <w:lang w:val="es-ES_tradnl"/>
        </w:rPr>
        <w:t>El presidente clausuró la sesión.</w:t>
      </w:r>
    </w:p>
    <w:p w14:paraId="1DD0B74A" w14:textId="77777777" w:rsidR="00862A04" w:rsidRPr="00862A04" w:rsidRDefault="00862A04" w:rsidP="00002B7E">
      <w:pPr>
        <w:rPr>
          <w:szCs w:val="22"/>
          <w:lang w:val="es-ES_tradnl"/>
        </w:rPr>
      </w:pPr>
    </w:p>
    <w:p w14:paraId="6B1441DD" w14:textId="77777777" w:rsidR="00862A04" w:rsidRPr="00862A04" w:rsidRDefault="00862A04" w:rsidP="00002B7E">
      <w:pPr>
        <w:pStyle w:val="Endofdocument"/>
        <w:spacing w:after="600" w:line="240" w:lineRule="auto"/>
        <w:ind w:right="-142"/>
        <w:contextualSpacing w:val="0"/>
        <w:rPr>
          <w:i/>
          <w:szCs w:val="22"/>
          <w:lang w:val="es-ES_tradnl"/>
        </w:rPr>
      </w:pPr>
      <w:r w:rsidRPr="00862A04">
        <w:rPr>
          <w:i/>
          <w:sz w:val="22"/>
          <w:lang w:val="es-ES_tradnl"/>
        </w:rPr>
        <w:t>21.</w:t>
      </w:r>
      <w:r w:rsidRPr="00862A04">
        <w:rPr>
          <w:i/>
          <w:sz w:val="22"/>
          <w:lang w:val="es-ES_tradnl"/>
        </w:rPr>
        <w:tab/>
        <w:t>El Comité de Expertos adoptó por unanimidad este informe por vía electrónica el 14 de mayo de 2024.</w:t>
      </w:r>
    </w:p>
    <w:p w14:paraId="28434B4D" w14:textId="0B7E2A31" w:rsidR="00152CEA" w:rsidRPr="00862A04" w:rsidRDefault="00862A04" w:rsidP="00002B7E">
      <w:pPr>
        <w:pStyle w:val="Endofdocument"/>
        <w:spacing w:line="240" w:lineRule="auto"/>
        <w:contextualSpacing w:val="0"/>
        <w:rPr>
          <w:sz w:val="22"/>
          <w:szCs w:val="22"/>
          <w:lang w:val="es-ES_tradnl"/>
        </w:rPr>
      </w:pPr>
      <w:r w:rsidRPr="00862A04">
        <w:rPr>
          <w:sz w:val="22"/>
          <w:lang w:val="es-ES_tradnl"/>
        </w:rPr>
        <w:t>[Siguen los Anexos]</w:t>
      </w:r>
    </w:p>
    <w:sectPr w:rsidR="00152CEA" w:rsidRPr="00862A04" w:rsidSect="008D737B">
      <w:headerReference w:type="defaul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AF024" w14:textId="77777777" w:rsidR="008D737B" w:rsidRDefault="008D737B">
      <w:r>
        <w:separator/>
      </w:r>
    </w:p>
  </w:endnote>
  <w:endnote w:type="continuationSeparator" w:id="0">
    <w:p w14:paraId="35C71A1D" w14:textId="77777777" w:rsidR="008D737B" w:rsidRPr="009D30E6" w:rsidRDefault="008D737B" w:rsidP="007E663E">
      <w:pPr>
        <w:rPr>
          <w:sz w:val="17"/>
          <w:szCs w:val="17"/>
        </w:rPr>
      </w:pPr>
      <w:r w:rsidRPr="009D30E6">
        <w:rPr>
          <w:sz w:val="17"/>
          <w:szCs w:val="17"/>
        </w:rPr>
        <w:separator/>
      </w:r>
    </w:p>
    <w:p w14:paraId="32419A1C" w14:textId="77777777" w:rsidR="008D737B" w:rsidRPr="007E663E" w:rsidRDefault="008D737B" w:rsidP="007E663E">
      <w:pPr>
        <w:spacing w:after="60"/>
        <w:rPr>
          <w:sz w:val="17"/>
          <w:szCs w:val="17"/>
        </w:rPr>
      </w:pPr>
      <w:r>
        <w:rPr>
          <w:sz w:val="17"/>
        </w:rPr>
        <w:t>[Continuación de la nota de la página anterior]</w:t>
      </w:r>
    </w:p>
  </w:endnote>
  <w:endnote w:type="continuationNotice" w:id="1">
    <w:p w14:paraId="41AAD13A" w14:textId="77777777" w:rsidR="008D737B" w:rsidRPr="007E663E" w:rsidRDefault="008D737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5C7B" w14:textId="77777777" w:rsidR="008D737B" w:rsidRDefault="008D737B">
      <w:r>
        <w:separator/>
      </w:r>
    </w:p>
  </w:footnote>
  <w:footnote w:type="continuationSeparator" w:id="0">
    <w:p w14:paraId="6D40250C" w14:textId="77777777" w:rsidR="008D737B" w:rsidRPr="009D30E6" w:rsidRDefault="008D737B" w:rsidP="007E663E">
      <w:pPr>
        <w:rPr>
          <w:sz w:val="17"/>
          <w:szCs w:val="17"/>
        </w:rPr>
      </w:pPr>
      <w:r w:rsidRPr="009D30E6">
        <w:rPr>
          <w:sz w:val="17"/>
          <w:szCs w:val="17"/>
        </w:rPr>
        <w:separator/>
      </w:r>
    </w:p>
    <w:p w14:paraId="50DA2D9A" w14:textId="77777777" w:rsidR="008D737B" w:rsidRPr="007E663E" w:rsidRDefault="008D737B" w:rsidP="007E663E">
      <w:pPr>
        <w:spacing w:after="60"/>
        <w:rPr>
          <w:sz w:val="17"/>
          <w:szCs w:val="17"/>
        </w:rPr>
      </w:pPr>
      <w:r>
        <w:rPr>
          <w:sz w:val="17"/>
        </w:rPr>
        <w:t>[Continuación de la nota de la página anterior]</w:t>
      </w:r>
    </w:p>
  </w:footnote>
  <w:footnote w:type="continuationNotice" w:id="1">
    <w:p w14:paraId="6E81D7F7" w14:textId="77777777" w:rsidR="008D737B" w:rsidRPr="007E663E" w:rsidRDefault="008D737B" w:rsidP="007E663E">
      <w:pPr>
        <w:spacing w:before="60"/>
        <w:jc w:val="right"/>
        <w:rPr>
          <w:sz w:val="17"/>
          <w:szCs w:val="17"/>
        </w:rPr>
      </w:pPr>
      <w:r w:rsidRPr="007E663E">
        <w:rPr>
          <w:sz w:val="17"/>
          <w:szCs w:val="17"/>
        </w:rPr>
        <w:t>[Sigue la nota en la página siguiente]</w:t>
      </w:r>
    </w:p>
  </w:footnote>
  <w:footnote w:id="2">
    <w:p w14:paraId="45342E0A" w14:textId="77777777" w:rsidR="00862A04" w:rsidRPr="00B04448" w:rsidRDefault="00862A04" w:rsidP="00862A04">
      <w:pPr>
        <w:pStyle w:val="FootnoteText"/>
      </w:pPr>
      <w:r>
        <w:rPr>
          <w:rStyle w:val="FootnoteReference"/>
        </w:rPr>
        <w:footnoteRef/>
      </w:r>
      <w:r>
        <w:t xml:space="preserve"> El artículo 3.7)b) del Arreglo de Niza establece que “por modificación deberá entenderse toda transferencia de productos o servicios de una clase a otra, o la creación de una nueva clase”.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DF85" w14:textId="77777777" w:rsidR="00AE7F20" w:rsidRPr="00EB0D93" w:rsidRDefault="008D737B" w:rsidP="00477D6B">
    <w:pPr>
      <w:jc w:val="right"/>
      <w:rPr>
        <w:caps/>
      </w:rPr>
    </w:pPr>
    <w:bookmarkStart w:id="6" w:name="Code2"/>
    <w:bookmarkEnd w:id="6"/>
    <w:r>
      <w:rPr>
        <w:caps/>
      </w:rPr>
      <w:t>CLIM/CE/34/2</w:t>
    </w:r>
  </w:p>
  <w:p w14:paraId="735DD3B2"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718F4075" w14:textId="77777777" w:rsidR="00AE7F20" w:rsidRDefault="00AE7F20" w:rsidP="00477D6B">
    <w:pPr>
      <w:jc w:val="right"/>
    </w:pPr>
  </w:p>
  <w:p w14:paraId="1FA8BED1"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D10149"/>
    <w:multiLevelType w:val="hybridMultilevel"/>
    <w:tmpl w:val="2822EC26"/>
    <w:lvl w:ilvl="0" w:tplc="7262809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7C57E1"/>
    <w:multiLevelType w:val="hybridMultilevel"/>
    <w:tmpl w:val="785AB2E4"/>
    <w:lvl w:ilvl="0" w:tplc="DAAEF354">
      <w:start w:val="8"/>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466BC2"/>
    <w:multiLevelType w:val="hybridMultilevel"/>
    <w:tmpl w:val="596E548C"/>
    <w:lvl w:ilvl="0" w:tplc="26C81D62">
      <w:start w:val="9"/>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num w:numId="1" w16cid:durableId="1652059808">
    <w:abstractNumId w:val="2"/>
  </w:num>
  <w:num w:numId="2" w16cid:durableId="541989559">
    <w:abstractNumId w:val="6"/>
  </w:num>
  <w:num w:numId="3" w16cid:durableId="640883345">
    <w:abstractNumId w:val="0"/>
  </w:num>
  <w:num w:numId="4" w16cid:durableId="1303847422">
    <w:abstractNumId w:val="7"/>
  </w:num>
  <w:num w:numId="5" w16cid:durableId="1188717521">
    <w:abstractNumId w:val="1"/>
  </w:num>
  <w:num w:numId="6" w16cid:durableId="367729837">
    <w:abstractNumId w:val="4"/>
  </w:num>
  <w:num w:numId="7" w16cid:durableId="1319920082">
    <w:abstractNumId w:val="5"/>
  </w:num>
  <w:num w:numId="8" w16cid:durableId="83113617">
    <w:abstractNumId w:val="8"/>
  </w:num>
  <w:num w:numId="9" w16cid:durableId="455486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7B"/>
    <w:rsid w:val="00002B7E"/>
    <w:rsid w:val="00010686"/>
    <w:rsid w:val="00052915"/>
    <w:rsid w:val="000E3BB3"/>
    <w:rsid w:val="000F5E56"/>
    <w:rsid w:val="00105AC1"/>
    <w:rsid w:val="001362EE"/>
    <w:rsid w:val="00152CEA"/>
    <w:rsid w:val="0018006E"/>
    <w:rsid w:val="001832A6"/>
    <w:rsid w:val="002634C4"/>
    <w:rsid w:val="002C2E2F"/>
    <w:rsid w:val="002D23B5"/>
    <w:rsid w:val="002E0F47"/>
    <w:rsid w:val="002E5320"/>
    <w:rsid w:val="002F4E68"/>
    <w:rsid w:val="00310826"/>
    <w:rsid w:val="00354647"/>
    <w:rsid w:val="00377273"/>
    <w:rsid w:val="003845C1"/>
    <w:rsid w:val="00387287"/>
    <w:rsid w:val="003E48F1"/>
    <w:rsid w:val="003F347A"/>
    <w:rsid w:val="00404547"/>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15227"/>
    <w:rsid w:val="00675021"/>
    <w:rsid w:val="006A06C6"/>
    <w:rsid w:val="006B7C80"/>
    <w:rsid w:val="007224C8"/>
    <w:rsid w:val="00794BE2"/>
    <w:rsid w:val="007A5581"/>
    <w:rsid w:val="007B71FE"/>
    <w:rsid w:val="007D781E"/>
    <w:rsid w:val="007E663E"/>
    <w:rsid w:val="00815082"/>
    <w:rsid w:val="00862A04"/>
    <w:rsid w:val="0088395E"/>
    <w:rsid w:val="008B2CC1"/>
    <w:rsid w:val="008D737B"/>
    <w:rsid w:val="008E6BD6"/>
    <w:rsid w:val="008E7372"/>
    <w:rsid w:val="0090731E"/>
    <w:rsid w:val="00966A22"/>
    <w:rsid w:val="00972F03"/>
    <w:rsid w:val="0098367F"/>
    <w:rsid w:val="009A0C8B"/>
    <w:rsid w:val="009A20CD"/>
    <w:rsid w:val="009B6241"/>
    <w:rsid w:val="00A16FC0"/>
    <w:rsid w:val="00A32C9E"/>
    <w:rsid w:val="00AB613D"/>
    <w:rsid w:val="00AE7F20"/>
    <w:rsid w:val="00B0348E"/>
    <w:rsid w:val="00B534D5"/>
    <w:rsid w:val="00B65A0A"/>
    <w:rsid w:val="00B67CDC"/>
    <w:rsid w:val="00B72D36"/>
    <w:rsid w:val="00BC4164"/>
    <w:rsid w:val="00BD2DCC"/>
    <w:rsid w:val="00BD5C2A"/>
    <w:rsid w:val="00BF5A8E"/>
    <w:rsid w:val="00C90559"/>
    <w:rsid w:val="00CA0500"/>
    <w:rsid w:val="00CA2251"/>
    <w:rsid w:val="00D56C7C"/>
    <w:rsid w:val="00D71B4D"/>
    <w:rsid w:val="00D90289"/>
    <w:rsid w:val="00D93D55"/>
    <w:rsid w:val="00DC4C60"/>
    <w:rsid w:val="00DD6CF4"/>
    <w:rsid w:val="00E0079A"/>
    <w:rsid w:val="00E25668"/>
    <w:rsid w:val="00E444DA"/>
    <w:rsid w:val="00E45C84"/>
    <w:rsid w:val="00E504E5"/>
    <w:rsid w:val="00EB0D93"/>
    <w:rsid w:val="00EB58F7"/>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97AD7"/>
  <w15:docId w15:val="{7A5C8A35-FD1D-4317-A686-D0A23D3C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862A04"/>
    <w:pPr>
      <w:spacing w:after="120" w:line="260" w:lineRule="atLeast"/>
      <w:ind w:left="5534"/>
      <w:contextualSpacing/>
    </w:pPr>
    <w:rPr>
      <w:rFonts w:eastAsia="Times New Roman" w:cs="Times New Roman"/>
      <w:sz w:val="20"/>
      <w:lang w:eastAsia="en-US"/>
    </w:rPr>
  </w:style>
  <w:style w:type="character" w:styleId="Hyperlink">
    <w:name w:val="Hyperlink"/>
    <w:basedOn w:val="DefaultParagraphFont"/>
    <w:rsid w:val="00862A04"/>
    <w:rPr>
      <w:color w:val="0000FF"/>
      <w:u w:val="single"/>
    </w:rPr>
  </w:style>
  <w:style w:type="character" w:styleId="FootnoteReference">
    <w:name w:val="footnote reference"/>
    <w:basedOn w:val="DefaultParagraphFont"/>
    <w:semiHidden/>
    <w:rsid w:val="00862A04"/>
    <w:rPr>
      <w:vertAlign w:val="superscript"/>
    </w:rPr>
  </w:style>
  <w:style w:type="paragraph" w:styleId="ListParagraph">
    <w:name w:val="List Paragraph"/>
    <w:basedOn w:val="Normal"/>
    <w:uiPriority w:val="34"/>
    <w:qFormat/>
    <w:rsid w:val="00862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wipo.int/classifications/nice/nclef/public/e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classifications/nice/nclrms/" TargetMode="External"/><Relationship Id="rId17" Type="http://schemas.openxmlformats.org/officeDocument/2006/relationships/hyperlink" Target="https://www3.wipo.int/classifications/nice/nclef/public/en/project/CE340" TargetMode="External"/><Relationship Id="rId2" Type="http://schemas.openxmlformats.org/officeDocument/2006/relationships/numbering" Target="numbering.xml"/><Relationship Id="rId16" Type="http://schemas.openxmlformats.org/officeDocument/2006/relationships/hyperlink" Target="https://www3.wipo.int/classifications/nice/nclef/publi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nice/nclef/public/en/project/CE342" TargetMode="External"/><Relationship Id="rId5" Type="http://schemas.openxmlformats.org/officeDocument/2006/relationships/webSettings" Target="webSettings.xml"/><Relationship Id="rId15" Type="http://schemas.openxmlformats.org/officeDocument/2006/relationships/hyperlink" Target="https://www.wipo.int/classifications/nice/nclrms/" TargetMode="External"/><Relationship Id="rId10" Type="http://schemas.openxmlformats.org/officeDocument/2006/relationships/hyperlink" Target="https://www3.wipo.int/classifications/nice/nclef/public/en/project/CE34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wipo.int/classifications/nice/nclef/public/en" TargetMode="External"/><Relationship Id="rId14" Type="http://schemas.openxmlformats.org/officeDocument/2006/relationships/hyperlink" Target="https://www3.wipo.int/classifications/nice/nclef/public/en/project/CE3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LIM_CE_3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104DB-3816-4A45-91CC-AA0E0A2D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CLIM_CE_34 (S)</Template>
  <TotalTime>4</TotalTime>
  <Pages>4</Pages>
  <Words>1303</Words>
  <Characters>7707</Characters>
  <Application>Microsoft Office Word</Application>
  <DocSecurity>0</DocSecurity>
  <Lines>179</Lines>
  <Paragraphs>57</Paragraphs>
  <ScaleCrop>false</ScaleCrop>
  <HeadingPairs>
    <vt:vector size="2" baseType="variant">
      <vt:variant>
        <vt:lpstr>Title</vt:lpstr>
      </vt:variant>
      <vt:variant>
        <vt:i4>1</vt:i4>
      </vt:variant>
    </vt:vector>
  </HeadingPairs>
  <TitlesOfParts>
    <vt:vector size="1" baseType="lpstr">
      <vt:lpstr>CLIM/CE/34/2</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CLIM/CE/34/2</dc:title>
  <dc:creator>Christine Carminati</dc:creator>
  <cp:keywords/>
  <cp:lastModifiedBy>Christine Carminati</cp:lastModifiedBy>
  <cp:revision>4</cp:revision>
  <dcterms:created xsi:type="dcterms:W3CDTF">2024-05-23T05:58:00Z</dcterms:created>
  <dcterms:modified xsi:type="dcterms:W3CDTF">2024-05-23T06:04:00Z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f2cd6284-a2cf-4632-88b2-0e99fd9c2d91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2023-12-05T15:18:36Z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81b2f0fc-6766-40af-b920-8a6c77fb0ec8</vt:lpwstr>
  </property>
  <property fmtid="{D5CDD505-2E9C-101B-9397-08002B2CF9AE}" pid="14" name="MSIP_Label_20773ee6-353b-4fb9-a59d-0b94c8c67bea_ContentBits">
    <vt:lpwstr>0</vt:lpwstr>
  </property>
</Properties>
</file>