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B3C6E" w14:textId="77777777" w:rsidR="008B2CC1" w:rsidRPr="00F043DE" w:rsidRDefault="00B92F1F" w:rsidP="0003534F">
      <w:pPr>
        <w:pBdr>
          <w:bottom w:val="single" w:sz="4" w:space="12" w:color="auto"/>
        </w:pBdr>
        <w:spacing w:after="120"/>
        <w:jc w:val="right"/>
        <w:rPr>
          <w:b/>
          <w:sz w:val="32"/>
          <w:szCs w:val="40"/>
        </w:rPr>
      </w:pPr>
      <w:r>
        <w:rPr>
          <w:noProof/>
          <w:sz w:val="28"/>
          <w:szCs w:val="28"/>
          <w:lang w:eastAsia="en-US"/>
        </w:rPr>
        <w:drawing>
          <wp:inline distT="0" distB="0" distL="0" distR="0" wp14:anchorId="4E159A64" wp14:editId="2DD0C6D2">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3">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0C9A1B23" w14:textId="1345DEB0" w:rsidR="008B2CC1" w:rsidRPr="002326AB" w:rsidRDefault="0003534F" w:rsidP="00EB2F76">
      <w:pPr>
        <w:jc w:val="right"/>
        <w:rPr>
          <w:rFonts w:ascii="Arial Black" w:hAnsi="Arial Black"/>
          <w:caps/>
          <w:sz w:val="15"/>
          <w:szCs w:val="15"/>
        </w:rPr>
      </w:pPr>
      <w:r>
        <w:rPr>
          <w:rFonts w:ascii="Arial Black" w:hAnsi="Arial Black"/>
          <w:caps/>
          <w:sz w:val="15"/>
          <w:szCs w:val="15"/>
        </w:rPr>
        <w:t>IPC/CE/5</w:t>
      </w:r>
      <w:r w:rsidR="00161C59">
        <w:rPr>
          <w:rFonts w:ascii="Arial Black" w:hAnsi="Arial Black"/>
          <w:caps/>
          <w:sz w:val="15"/>
          <w:szCs w:val="15"/>
        </w:rPr>
        <w:t>7</w:t>
      </w:r>
      <w:r>
        <w:rPr>
          <w:rFonts w:ascii="Arial Black" w:hAnsi="Arial Black"/>
          <w:caps/>
          <w:sz w:val="15"/>
          <w:szCs w:val="15"/>
        </w:rPr>
        <w:t>/</w:t>
      </w:r>
      <w:bookmarkStart w:id="0" w:name="Code"/>
      <w:bookmarkEnd w:id="0"/>
      <w:r w:rsidR="009C20D0">
        <w:rPr>
          <w:rFonts w:ascii="Arial Black" w:hAnsi="Arial Black"/>
          <w:caps/>
          <w:sz w:val="15"/>
          <w:szCs w:val="15"/>
        </w:rPr>
        <w:t xml:space="preserve">2 </w:t>
      </w:r>
    </w:p>
    <w:p w14:paraId="0F0FB2A8" w14:textId="3E9233B9"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ORIGINAL:</w:t>
      </w:r>
      <w:bookmarkStart w:id="1" w:name="Original"/>
      <w:r w:rsidR="009C20D0">
        <w:rPr>
          <w:rFonts w:ascii="Arial Black" w:hAnsi="Arial Black"/>
          <w:caps/>
          <w:sz w:val="15"/>
          <w:szCs w:val="15"/>
        </w:rPr>
        <w:t xml:space="preserve"> English</w:t>
      </w:r>
    </w:p>
    <w:bookmarkEnd w:id="1"/>
    <w:p w14:paraId="68459F8F" w14:textId="08F074B0"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DATE:</w:t>
      </w:r>
      <w:bookmarkStart w:id="2" w:name="Date"/>
      <w:r w:rsidR="009C20D0">
        <w:rPr>
          <w:rFonts w:ascii="Arial Black" w:hAnsi="Arial Black"/>
          <w:caps/>
          <w:sz w:val="15"/>
          <w:szCs w:val="15"/>
        </w:rPr>
        <w:t xml:space="preserve"> </w:t>
      </w:r>
      <w:r w:rsidR="009C20D0" w:rsidRPr="00525F9F">
        <w:rPr>
          <w:rFonts w:ascii="Arial Black" w:hAnsi="Arial Black"/>
          <w:caps/>
          <w:sz w:val="15"/>
          <w:szCs w:val="15"/>
        </w:rPr>
        <w:t xml:space="preserve">March </w:t>
      </w:r>
      <w:r w:rsidR="00DE15BC" w:rsidRPr="00525F9F">
        <w:rPr>
          <w:rFonts w:ascii="Arial Black" w:hAnsi="Arial Black"/>
          <w:caps/>
          <w:sz w:val="15"/>
          <w:szCs w:val="15"/>
        </w:rPr>
        <w:t>25</w:t>
      </w:r>
      <w:r w:rsidR="00D44697" w:rsidRPr="00525F9F">
        <w:rPr>
          <w:rFonts w:ascii="Arial Black" w:hAnsi="Arial Black"/>
          <w:caps/>
          <w:sz w:val="15"/>
          <w:szCs w:val="15"/>
        </w:rPr>
        <w:t xml:space="preserve">, </w:t>
      </w:r>
      <w:r w:rsidR="009C20D0" w:rsidRPr="00525F9F">
        <w:rPr>
          <w:rFonts w:ascii="Arial Black" w:hAnsi="Arial Black"/>
          <w:caps/>
          <w:sz w:val="15"/>
          <w:szCs w:val="15"/>
        </w:rPr>
        <w:t>2026</w:t>
      </w:r>
    </w:p>
    <w:bookmarkEnd w:id="2"/>
    <w:p w14:paraId="52072A8F" w14:textId="77777777" w:rsidR="0003534F" w:rsidRDefault="0003534F" w:rsidP="0003534F">
      <w:pPr>
        <w:spacing w:before="1000"/>
        <w:rPr>
          <w:b/>
          <w:sz w:val="28"/>
          <w:szCs w:val="28"/>
        </w:rPr>
      </w:pPr>
      <w:r>
        <w:rPr>
          <w:b/>
          <w:sz w:val="28"/>
          <w:szCs w:val="28"/>
        </w:rPr>
        <w:t>Special Union for the International Patent Classification</w:t>
      </w:r>
    </w:p>
    <w:p w14:paraId="77F88238" w14:textId="77777777" w:rsidR="0003534F" w:rsidRDefault="0003534F" w:rsidP="0003534F">
      <w:pPr>
        <w:rPr>
          <w:b/>
          <w:sz w:val="28"/>
          <w:szCs w:val="28"/>
        </w:rPr>
      </w:pPr>
      <w:r>
        <w:rPr>
          <w:b/>
          <w:sz w:val="28"/>
          <w:szCs w:val="28"/>
        </w:rPr>
        <w:t>(IPC Union)</w:t>
      </w:r>
    </w:p>
    <w:p w14:paraId="13A8891F" w14:textId="77777777" w:rsidR="0003534F" w:rsidRPr="003845C1" w:rsidRDefault="0003534F" w:rsidP="0003534F">
      <w:pPr>
        <w:spacing w:after="600"/>
        <w:rPr>
          <w:b/>
          <w:sz w:val="28"/>
          <w:szCs w:val="28"/>
        </w:rPr>
      </w:pPr>
      <w:r>
        <w:rPr>
          <w:b/>
          <w:sz w:val="28"/>
          <w:szCs w:val="28"/>
        </w:rPr>
        <w:t>Committee of Experts</w:t>
      </w:r>
    </w:p>
    <w:p w14:paraId="43A11798" w14:textId="77777777" w:rsidR="0003534F" w:rsidRPr="003845C1" w:rsidRDefault="0003534F" w:rsidP="0003534F">
      <w:pPr>
        <w:rPr>
          <w:b/>
          <w:sz w:val="24"/>
          <w:szCs w:val="24"/>
        </w:rPr>
      </w:pPr>
      <w:r>
        <w:rPr>
          <w:b/>
          <w:sz w:val="24"/>
          <w:szCs w:val="24"/>
        </w:rPr>
        <w:t>Fifty-</w:t>
      </w:r>
      <w:r w:rsidR="00AF1E15">
        <w:rPr>
          <w:b/>
          <w:sz w:val="24"/>
          <w:szCs w:val="24"/>
        </w:rPr>
        <w:t>S</w:t>
      </w:r>
      <w:r w:rsidR="00161C59">
        <w:rPr>
          <w:b/>
          <w:sz w:val="24"/>
          <w:szCs w:val="24"/>
        </w:rPr>
        <w:t>even</w:t>
      </w:r>
      <w:r w:rsidR="00AF1E15">
        <w:rPr>
          <w:b/>
          <w:sz w:val="24"/>
          <w:szCs w:val="24"/>
        </w:rPr>
        <w:t xml:space="preserve">th </w:t>
      </w:r>
      <w:r w:rsidR="00AF1E15" w:rsidRPr="003845C1">
        <w:rPr>
          <w:b/>
          <w:sz w:val="24"/>
          <w:szCs w:val="24"/>
        </w:rPr>
        <w:t>Session</w:t>
      </w:r>
    </w:p>
    <w:p w14:paraId="1612F7F1" w14:textId="77777777" w:rsidR="008B2CC1" w:rsidRPr="003845C1" w:rsidRDefault="0003534F" w:rsidP="00F9165B">
      <w:pPr>
        <w:spacing w:after="720"/>
        <w:outlineLvl w:val="1"/>
        <w:rPr>
          <w:b/>
          <w:sz w:val="24"/>
          <w:szCs w:val="24"/>
        </w:rPr>
      </w:pPr>
      <w:r>
        <w:rPr>
          <w:b/>
          <w:sz w:val="24"/>
          <w:szCs w:val="24"/>
        </w:rPr>
        <w:t xml:space="preserve">Geneva, </w:t>
      </w:r>
      <w:r w:rsidR="00AF1E15">
        <w:rPr>
          <w:b/>
          <w:sz w:val="24"/>
          <w:szCs w:val="24"/>
        </w:rPr>
        <w:t xml:space="preserve">February </w:t>
      </w:r>
      <w:r w:rsidR="00161C59">
        <w:rPr>
          <w:b/>
          <w:sz w:val="24"/>
          <w:szCs w:val="24"/>
        </w:rPr>
        <w:t>24 to 26</w:t>
      </w:r>
      <w:r w:rsidR="00AF1E15">
        <w:rPr>
          <w:b/>
          <w:sz w:val="24"/>
          <w:szCs w:val="24"/>
        </w:rPr>
        <w:t>, 202</w:t>
      </w:r>
      <w:r w:rsidR="00161C59">
        <w:rPr>
          <w:b/>
          <w:sz w:val="24"/>
          <w:szCs w:val="24"/>
        </w:rPr>
        <w:t>6</w:t>
      </w:r>
    </w:p>
    <w:p w14:paraId="70BE843B" w14:textId="1BC6BCCD" w:rsidR="008B2CC1" w:rsidRPr="003845C1" w:rsidRDefault="00031F32" w:rsidP="00DD7B7F">
      <w:pPr>
        <w:spacing w:after="360"/>
        <w:outlineLvl w:val="0"/>
        <w:rPr>
          <w:caps/>
          <w:sz w:val="24"/>
        </w:rPr>
      </w:pPr>
      <w:bookmarkStart w:id="3" w:name="TitleOfDoc"/>
      <w:r>
        <w:rPr>
          <w:sz w:val="24"/>
        </w:rPr>
        <w:t>REPORT</w:t>
      </w:r>
    </w:p>
    <w:p w14:paraId="57E3C7AA" w14:textId="35100CF1" w:rsidR="002928D3" w:rsidRPr="00F9165B" w:rsidRDefault="00D85A33" w:rsidP="001D4107">
      <w:pPr>
        <w:spacing w:after="1040"/>
        <w:rPr>
          <w:i/>
        </w:rPr>
      </w:pPr>
      <w:bookmarkStart w:id="4" w:name="Prepared"/>
      <w:bookmarkEnd w:id="3"/>
      <w:bookmarkEnd w:id="4"/>
      <w:r>
        <w:rPr>
          <w:i/>
        </w:rPr>
        <w:t>adopted by the Committee of Experts</w:t>
      </w:r>
    </w:p>
    <w:p w14:paraId="586FA4E4" w14:textId="09C7A88F" w:rsidR="002326AB" w:rsidRDefault="00031F32" w:rsidP="009C20D0">
      <w:pPr>
        <w:pStyle w:val="Heading1"/>
      </w:pPr>
      <w:r>
        <w:rPr>
          <w:caps w:val="0"/>
        </w:rPr>
        <w:t>INTRODUCTION</w:t>
      </w:r>
    </w:p>
    <w:p w14:paraId="1F3E8E42" w14:textId="6BD35EDD" w:rsidR="00767570" w:rsidRPr="00525F9F" w:rsidRDefault="00767570" w:rsidP="0024289B">
      <w:pPr>
        <w:pStyle w:val="ONUME"/>
      </w:pPr>
      <w:r w:rsidRPr="00362590">
        <w:t xml:space="preserve">The Committee of Experts of the IPC Union (hereinafter referred to as “the Committee”) held its fifty-seventh session in Geneva in hybrid format from February 24 to 26, 2026. </w:t>
      </w:r>
      <w:r w:rsidR="0088745A" w:rsidRPr="00362590">
        <w:t xml:space="preserve"> </w:t>
      </w:r>
      <w:r w:rsidRPr="00362590">
        <w:t xml:space="preserve">The following members of the Committee were represented at the session: </w:t>
      </w:r>
      <w:r w:rsidR="001E6F5D" w:rsidRPr="00362590">
        <w:t xml:space="preserve"> </w:t>
      </w:r>
      <w:r w:rsidRPr="00362590">
        <w:t xml:space="preserve">Albania, Austria, </w:t>
      </w:r>
      <w:r w:rsidR="0036099A" w:rsidRPr="00362590">
        <w:t xml:space="preserve">Azerbaijan, </w:t>
      </w:r>
      <w:r w:rsidR="00B27388">
        <w:t xml:space="preserve">Belarus, </w:t>
      </w:r>
      <w:r w:rsidRPr="00362590">
        <w:t>Brazil, Bulgaria, Canada, China, Croatia, Czech Republic, Denmark, Egypt, Estonia, Finland, France, Germany, Greece, Ireland, Israel, Japan, Mexico, Netherlands</w:t>
      </w:r>
      <w:r w:rsidR="00001FCF" w:rsidRPr="00362590">
        <w:t xml:space="preserve"> (Kingdom of the)</w:t>
      </w:r>
      <w:r w:rsidRPr="00362590">
        <w:t xml:space="preserve">, Norway, Peru, Poland, Portugal, Republic of Korea, Republic of Moldova, Romania, Russian Federation, Saudi Arabia, Serbia, Spain, Sweden, Switzerland, United Kingdom, United States of America, </w:t>
      </w:r>
      <w:r w:rsidRPr="003411AF">
        <w:t>Uruguay (</w:t>
      </w:r>
      <w:r w:rsidR="004B4620" w:rsidRPr="003411AF">
        <w:t>38</w:t>
      </w:r>
      <w:r w:rsidRPr="003411AF">
        <w:t>).</w:t>
      </w:r>
      <w:r w:rsidRPr="00362590">
        <w:t xml:space="preserve"> </w:t>
      </w:r>
      <w:r w:rsidR="008B6A9E" w:rsidRPr="00362590">
        <w:t xml:space="preserve"> El </w:t>
      </w:r>
      <w:r w:rsidRPr="00362590">
        <w:t xml:space="preserve">Salvador, </w:t>
      </w:r>
      <w:r w:rsidR="00844747" w:rsidRPr="00362590">
        <w:t xml:space="preserve">Iran (Islamic Republic of), </w:t>
      </w:r>
      <w:r w:rsidR="00312127" w:rsidRPr="00362590">
        <w:t>the Eurasian Patent Organization (EAPO</w:t>
      </w:r>
      <w:r w:rsidR="004B4620" w:rsidRPr="003411AF">
        <w:t>) and</w:t>
      </w:r>
      <w:r w:rsidR="00447EE1">
        <w:t xml:space="preserve"> </w:t>
      </w:r>
      <w:r w:rsidR="008B6A9E" w:rsidRPr="00362590">
        <w:t xml:space="preserve">the </w:t>
      </w:r>
      <w:r w:rsidRPr="00362590">
        <w:t>European Patent Office (EPO</w:t>
      </w:r>
      <w:r w:rsidR="0040725C">
        <w:t>)</w:t>
      </w:r>
      <w:r w:rsidR="006663FD">
        <w:t xml:space="preserve"> </w:t>
      </w:r>
      <w:r w:rsidR="006663FD" w:rsidRPr="00525F9F">
        <w:t>were also represented</w:t>
      </w:r>
      <w:r w:rsidRPr="00525F9F">
        <w:t xml:space="preserve">. </w:t>
      </w:r>
      <w:r w:rsidR="0088745A" w:rsidRPr="00525F9F">
        <w:t xml:space="preserve"> </w:t>
      </w:r>
      <w:r w:rsidRPr="00525F9F">
        <w:t>The list of participants appears as Annex I to this report.</w:t>
      </w:r>
    </w:p>
    <w:p w14:paraId="41E168DC" w14:textId="77777777" w:rsidR="0049155A" w:rsidRDefault="0049155A" w:rsidP="0049155A">
      <w:pPr>
        <w:pStyle w:val="ONUME"/>
        <w:numPr>
          <w:ilvl w:val="0"/>
          <w:numId w:val="0"/>
        </w:numPr>
        <w:spacing w:after="0"/>
      </w:pPr>
    </w:p>
    <w:p w14:paraId="74BBF3FC" w14:textId="4BEA5A1A" w:rsidR="009C20D0" w:rsidRDefault="00FE6C0B" w:rsidP="00767570">
      <w:pPr>
        <w:pStyle w:val="ONUME"/>
        <w:numPr>
          <w:ilvl w:val="0"/>
          <w:numId w:val="0"/>
        </w:numPr>
      </w:pPr>
      <w:r>
        <w:t>2</w:t>
      </w:r>
      <w:r w:rsidR="00F346E2">
        <w:t>.</w:t>
      </w:r>
      <w:r w:rsidR="00767570">
        <w:tab/>
      </w:r>
      <w:r w:rsidR="009C20D0">
        <w:t xml:space="preserve">The session was </w:t>
      </w:r>
      <w:proofErr w:type="gramStart"/>
      <w:r w:rsidR="009C20D0">
        <w:t>opened</w:t>
      </w:r>
      <w:proofErr w:type="gramEnd"/>
      <w:r w:rsidR="009C20D0">
        <w:t xml:space="preserve"> by Mr. K</w:t>
      </w:r>
      <w:r w:rsidR="00B51ABF">
        <w:rPr>
          <w:rFonts w:eastAsia="MS Mincho" w:hint="eastAsia"/>
          <w:lang w:eastAsia="ja-JP"/>
        </w:rPr>
        <w:t>en-Ichiro</w:t>
      </w:r>
      <w:r w:rsidR="009C20D0">
        <w:t xml:space="preserve"> </w:t>
      </w:r>
      <w:proofErr w:type="spellStart"/>
      <w:r w:rsidR="009C20D0">
        <w:t>Natsume</w:t>
      </w:r>
      <w:proofErr w:type="spellEnd"/>
      <w:r w:rsidR="009C20D0">
        <w:t>, Assistant Director General, who welcomed the participants.</w:t>
      </w:r>
    </w:p>
    <w:p w14:paraId="2EFFACA2" w14:textId="0DCA02F9" w:rsidR="009C20D0" w:rsidRDefault="00031F32" w:rsidP="009C20D0">
      <w:pPr>
        <w:pStyle w:val="Heading1"/>
      </w:pPr>
      <w:r w:rsidRPr="00031F32">
        <w:rPr>
          <w:caps w:val="0"/>
        </w:rPr>
        <w:t>OFFICERS</w:t>
      </w:r>
    </w:p>
    <w:p w14:paraId="624F72FD" w14:textId="05EC0E39" w:rsidR="00767570" w:rsidRDefault="00FE6C0B" w:rsidP="00767570">
      <w:r>
        <w:t>3</w:t>
      </w:r>
      <w:r w:rsidR="00F346E2">
        <w:t>.</w:t>
      </w:r>
      <w:r w:rsidR="00767570">
        <w:tab/>
        <w:t xml:space="preserve">The Committee unanimously elected Mr. Roberto Iasevoli (European Patent Office) as Chair and Mr. Oliver Steinkellner (Germany) and Mr. Masato Miyachi (Japan) as Vice-Chairs. </w:t>
      </w:r>
    </w:p>
    <w:p w14:paraId="471D8F74" w14:textId="77777777" w:rsidR="00767570" w:rsidRDefault="00767570" w:rsidP="00767570"/>
    <w:p w14:paraId="1CFB4761" w14:textId="308DAF8F" w:rsidR="00767570" w:rsidRDefault="00F346E2" w:rsidP="00767570">
      <w:r>
        <w:t>4.</w:t>
      </w:r>
      <w:r w:rsidR="00767570">
        <w:tab/>
        <w:t>Ms. Xu Ning (WIPO) acted as Secretary of the session.</w:t>
      </w:r>
    </w:p>
    <w:p w14:paraId="176FDD0B" w14:textId="5E19E90A" w:rsidR="009C20D0" w:rsidRDefault="00031F32" w:rsidP="009C20D0">
      <w:pPr>
        <w:pStyle w:val="Heading1"/>
      </w:pPr>
      <w:r>
        <w:rPr>
          <w:caps w:val="0"/>
        </w:rPr>
        <w:lastRenderedPageBreak/>
        <w:t>ADOPTION OF THE AGENDA</w:t>
      </w:r>
    </w:p>
    <w:p w14:paraId="16CFFC75" w14:textId="634DEE56" w:rsidR="009C20D0" w:rsidRDefault="00BA0DFC" w:rsidP="0049155A">
      <w:pPr>
        <w:pStyle w:val="ONUME"/>
        <w:numPr>
          <w:ilvl w:val="0"/>
          <w:numId w:val="0"/>
        </w:numPr>
        <w:spacing w:after="0"/>
      </w:pPr>
      <w:r>
        <w:t>5</w:t>
      </w:r>
      <w:r w:rsidR="00F346E2">
        <w:t>.</w:t>
      </w:r>
      <w:r w:rsidR="00767570">
        <w:tab/>
      </w:r>
      <w:r w:rsidR="009C20D0">
        <w:t xml:space="preserve">The Committee unanimously adopted the agenda, which appears as Annex II to </w:t>
      </w:r>
      <w:r w:rsidR="00D008A5">
        <w:t>this </w:t>
      </w:r>
      <w:r w:rsidR="009C20D0">
        <w:t>report.</w:t>
      </w:r>
    </w:p>
    <w:p w14:paraId="35C26591" w14:textId="77777777" w:rsidR="0049155A" w:rsidRDefault="0049155A" w:rsidP="0049155A">
      <w:pPr>
        <w:pStyle w:val="ONUME"/>
        <w:numPr>
          <w:ilvl w:val="0"/>
          <w:numId w:val="0"/>
        </w:numPr>
        <w:spacing w:after="0"/>
      </w:pPr>
    </w:p>
    <w:p w14:paraId="278C1460" w14:textId="3FBD3255" w:rsidR="009C20D0" w:rsidRDefault="00BA0DFC" w:rsidP="00767570">
      <w:pPr>
        <w:pStyle w:val="ONUME"/>
        <w:numPr>
          <w:ilvl w:val="0"/>
          <w:numId w:val="0"/>
        </w:numPr>
      </w:pPr>
      <w:r>
        <w:t>6</w:t>
      </w:r>
      <w:r w:rsidR="00F346E2">
        <w:t>.</w:t>
      </w:r>
      <w:r w:rsidR="00767570">
        <w:tab/>
      </w:r>
      <w:r w:rsidR="009C20D0">
        <w:t>As decided by the Governing Bodies of WIPO at their tenth series of meetings held from September 24 to October 2, 1979 (see document AB/X/32, paragraphs 51 and 52), the report of this session reflects only the conclusions of the Committee (decisions, recommendations, opinions, etc.) and does not, in particular, reflect the statements made by any participant, except where a reservation in relation to any specific conclusion of the Committee was expressed or repeated after the conclusion was reached.</w:t>
      </w:r>
    </w:p>
    <w:p w14:paraId="746B60E1" w14:textId="6A9A9D1E" w:rsidR="009C20D0" w:rsidRDefault="00031F32" w:rsidP="00B24876">
      <w:pPr>
        <w:pStyle w:val="Heading1"/>
      </w:pPr>
      <w:r>
        <w:rPr>
          <w:caps w:val="0"/>
        </w:rPr>
        <w:t xml:space="preserve">REPORT ON THE PROGRESS OF THE IPC REVISION PROGRAM </w:t>
      </w:r>
    </w:p>
    <w:p w14:paraId="43135068" w14:textId="617B98F8" w:rsidR="00767570" w:rsidRDefault="00FE6C0B" w:rsidP="00A975DA">
      <w:pPr>
        <w:tabs>
          <w:tab w:val="left" w:pos="567"/>
        </w:tabs>
      </w:pPr>
      <w:r>
        <w:t>7</w:t>
      </w:r>
      <w:r w:rsidR="00F346E2">
        <w:t>.</w:t>
      </w:r>
      <w:r w:rsidR="00767570">
        <w:tab/>
        <w:t xml:space="preserve">The Committee considered a report presented by the International Bureau on the progress of the IPC revision program (see Annex 27 </w:t>
      </w:r>
      <w:r w:rsidR="00767570" w:rsidRPr="00D975D8">
        <w:t xml:space="preserve">to project </w:t>
      </w:r>
      <w:hyperlink r:id="rId14" w:history="1">
        <w:r w:rsidR="00767570">
          <w:rPr>
            <w:rStyle w:val="Hyperlink"/>
          </w:rPr>
          <w:t>CE 462</w:t>
        </w:r>
      </w:hyperlink>
      <w:r w:rsidR="00767570">
        <w:t xml:space="preserve">). </w:t>
      </w:r>
      <w:r w:rsidR="00A7005E">
        <w:t xml:space="preserve"> </w:t>
      </w:r>
      <w:r w:rsidR="00767570">
        <w:t xml:space="preserve">The report provided </w:t>
      </w:r>
      <w:r w:rsidR="00767570" w:rsidRPr="00D975D8">
        <w:t xml:space="preserve">an update on the activities of the IPC Revision Working Group (hereinafter referred to as </w:t>
      </w:r>
      <w:r w:rsidR="00776AEB">
        <w:t>“</w:t>
      </w:r>
      <w:r w:rsidR="00767570" w:rsidRPr="00D975D8">
        <w:t>the Working Group</w:t>
      </w:r>
      <w:r w:rsidR="00776AEB">
        <w:t>”</w:t>
      </w:r>
      <w:r w:rsidR="00767570" w:rsidRPr="00D975D8">
        <w:t>) up to early 202</w:t>
      </w:r>
      <w:r w:rsidR="00767570">
        <w:t>6</w:t>
      </w:r>
      <w:r w:rsidR="00767570" w:rsidRPr="00D975D8">
        <w:t>.</w:t>
      </w:r>
    </w:p>
    <w:p w14:paraId="6891431A" w14:textId="77777777" w:rsidR="00767570" w:rsidRDefault="00767570" w:rsidP="00767570"/>
    <w:p w14:paraId="57006BC3" w14:textId="6033307A" w:rsidR="00767570" w:rsidRDefault="00F346E2" w:rsidP="00767570">
      <w:r>
        <w:t>8.</w:t>
      </w:r>
      <w:r w:rsidR="00767570">
        <w:tab/>
        <w:t xml:space="preserve">The Committee noted that the overall level of revision activity remained high, reflecting both the continuous evolution of technology and the ongoing maintenance requirements of the IPC. </w:t>
      </w:r>
      <w:r w:rsidR="00A7005E">
        <w:t xml:space="preserve"> </w:t>
      </w:r>
      <w:r w:rsidR="00767570">
        <w:t xml:space="preserve">The electrical field continued to account for a significant share of revision work, while the mechanical and the chemical fields also accounted for a substantial number of projects. </w:t>
      </w:r>
      <w:r w:rsidR="00A7005E">
        <w:t xml:space="preserve"> </w:t>
      </w:r>
      <w:r w:rsidR="00767570">
        <w:t>The Committee further noted that, in the last revision cycle,</w:t>
      </w:r>
      <w:r w:rsidR="00767570" w:rsidRPr="00D113FC">
        <w:t xml:space="preserve"> </w:t>
      </w:r>
      <w:r w:rsidR="00767570">
        <w:t xml:space="preserve">a significant increase was observed in </w:t>
      </w:r>
      <w:r w:rsidR="00767570" w:rsidRPr="00D113FC">
        <w:t xml:space="preserve">the number of revision projects </w:t>
      </w:r>
      <w:r w:rsidR="00767570">
        <w:t>under</w:t>
      </w:r>
      <w:r w:rsidR="00767570" w:rsidRPr="00D113FC">
        <w:t xml:space="preserve"> the framework of the IPC Revision Roadma</w:t>
      </w:r>
      <w:r w:rsidR="00767570">
        <w:t>p</w:t>
      </w:r>
      <w:r w:rsidR="00767570" w:rsidRPr="00D113FC">
        <w:t xml:space="preserve">. </w:t>
      </w:r>
      <w:r w:rsidR="00A7005E">
        <w:t xml:space="preserve"> </w:t>
      </w:r>
      <w:r w:rsidR="00767570" w:rsidRPr="00D113FC">
        <w:t>In this context, the number of C-projects increased considerably, whereas the number of F-projects remained relatively stable.</w:t>
      </w:r>
    </w:p>
    <w:p w14:paraId="42733B89" w14:textId="77777777" w:rsidR="00767570" w:rsidRDefault="00767570" w:rsidP="00767570"/>
    <w:p w14:paraId="46330AB4" w14:textId="02805798" w:rsidR="00767570" w:rsidRDefault="00F346E2" w:rsidP="00767570">
      <w:r>
        <w:t>9.</w:t>
      </w:r>
      <w:r w:rsidR="00767570">
        <w:tab/>
        <w:t xml:space="preserve">The Committee took note that the average duration of completing IPC revision projects remained relatively stable, while certain projects, </w:t>
      </w:r>
      <w:proofErr w:type="gramStart"/>
      <w:r w:rsidR="00767570">
        <w:t>in particular large</w:t>
      </w:r>
      <w:proofErr w:type="gramEnd"/>
      <w:r w:rsidR="00767570">
        <w:t xml:space="preserve"> or structurally complex ones, continued to span multiple years. </w:t>
      </w:r>
    </w:p>
    <w:p w14:paraId="26F1EBF9" w14:textId="77777777" w:rsidR="00767570" w:rsidRDefault="00767570" w:rsidP="00767570">
      <w:pPr>
        <w:rPr>
          <w:shd w:val="pct15" w:color="auto" w:fill="FFFFFF"/>
        </w:rPr>
      </w:pPr>
    </w:p>
    <w:p w14:paraId="29F687B9" w14:textId="78800D10" w:rsidR="00767570" w:rsidRDefault="00F346E2" w:rsidP="00767570">
      <w:r>
        <w:t>10.</w:t>
      </w:r>
      <w:r w:rsidR="00767570">
        <w:tab/>
        <w:t xml:space="preserve">In this context, the Committee exchanged views on possible approaches to improving project efficiency, including clearer definition of project scope at the outset, more focused mandates, and improved planning of revision timelines. </w:t>
      </w:r>
      <w:r w:rsidR="00637437">
        <w:t xml:space="preserve"> </w:t>
      </w:r>
      <w:r w:rsidR="00767570" w:rsidRPr="002C1044">
        <w:t xml:space="preserve">Recognizing the importance of maintaining high quality alongside quantity, the Committee </w:t>
      </w:r>
      <w:r w:rsidR="00767570">
        <w:t>invi</w:t>
      </w:r>
      <w:r w:rsidR="00767570" w:rsidRPr="002C1044">
        <w:t xml:space="preserve">ted the Working Group to </w:t>
      </w:r>
      <w:r w:rsidR="00767570">
        <w:t>reflect</w:t>
      </w:r>
      <w:r w:rsidR="00767570" w:rsidRPr="002C1044">
        <w:t xml:space="preserve"> both aspects in future revision </w:t>
      </w:r>
      <w:r w:rsidR="00767570">
        <w:t xml:space="preserve">work, </w:t>
      </w:r>
      <w:r w:rsidR="00767570" w:rsidRPr="006367EB">
        <w:t xml:space="preserve">including </w:t>
      </w:r>
      <w:r w:rsidR="00767570">
        <w:t>through</w:t>
      </w:r>
      <w:r w:rsidR="00767570" w:rsidRPr="006367EB">
        <w:t xml:space="preserve"> enhanced use of the IPC E-Forum and strengthen</w:t>
      </w:r>
      <w:r w:rsidR="00767570">
        <w:t>ing</w:t>
      </w:r>
      <w:r w:rsidR="00767570" w:rsidRPr="006367EB">
        <w:t xml:space="preserve"> the responsibilities of Rapporteurs</w:t>
      </w:r>
      <w:r w:rsidR="00767570" w:rsidRPr="002C1044">
        <w:t xml:space="preserve">. </w:t>
      </w:r>
      <w:r w:rsidR="00637437">
        <w:t xml:space="preserve"> </w:t>
      </w:r>
      <w:r w:rsidR="00767570">
        <w:t>The Committee emphasized that any measure aimed at accelerating revision work should remain compatible with existing working methods of the Working Group.</w:t>
      </w:r>
    </w:p>
    <w:p w14:paraId="2F64FA54" w14:textId="77777777" w:rsidR="00767570" w:rsidRDefault="00767570" w:rsidP="00767570"/>
    <w:p w14:paraId="71C19CFF" w14:textId="5EAD9414" w:rsidR="00767570" w:rsidRDefault="00F346E2" w:rsidP="00767570">
      <w:r>
        <w:t>11.</w:t>
      </w:r>
      <w:r w:rsidR="00767570">
        <w:tab/>
        <w:t xml:space="preserve">The Committee noted an increasing workload associated with definitions and maintenance-related activities and acknowledged their growing importance for ensuring consistent interpretation and application of the IPC. </w:t>
      </w:r>
      <w:r w:rsidR="00D95FD5">
        <w:t xml:space="preserve"> </w:t>
      </w:r>
      <w:r w:rsidR="00767570">
        <w:t xml:space="preserve">It was recognized that </w:t>
      </w:r>
      <w:r w:rsidR="002F33F8">
        <w:t xml:space="preserve">work on </w:t>
      </w:r>
      <w:r w:rsidR="00767570">
        <w:t>definition</w:t>
      </w:r>
      <w:r w:rsidR="002F33F8">
        <w:t>s</w:t>
      </w:r>
      <w:r w:rsidR="00767570">
        <w:t xml:space="preserve"> often requires sustained effort beyond the formal completion of revision projects</w:t>
      </w:r>
      <w:r w:rsidR="00D95FD5">
        <w:t xml:space="preserve">. </w:t>
      </w:r>
      <w:r w:rsidR="00767570">
        <w:t xml:space="preserve"> The Committee</w:t>
      </w:r>
      <w:r w:rsidR="00D95FD5">
        <w:t>,</w:t>
      </w:r>
      <w:r w:rsidR="00767570">
        <w:t xml:space="preserve"> therefore</w:t>
      </w:r>
      <w:r w:rsidR="00D95FD5">
        <w:t>,</w:t>
      </w:r>
      <w:r w:rsidR="00767570">
        <w:t xml:space="preserve"> discussed the need to manage such activities efficiently within existing resources and instructed the Working Group to strictly apply the general strategy for generating IPC definitions. </w:t>
      </w:r>
    </w:p>
    <w:p w14:paraId="7EF59B37" w14:textId="77777777" w:rsidR="00767570" w:rsidRDefault="00767570" w:rsidP="00767570"/>
    <w:p w14:paraId="3FEED9B3" w14:textId="338F644A" w:rsidR="00767570" w:rsidRDefault="00F346E2" w:rsidP="00767570">
      <w:r>
        <w:t>12.</w:t>
      </w:r>
      <w:r w:rsidR="00767570">
        <w:tab/>
        <w:t xml:space="preserve">The Committee further noted the role of new emerging technologies (NETs) in shaping revision priorities and acknowledged that the IPC revision program must remain sufficiently responsive to technological developments while preserving stability and predictability for users. </w:t>
      </w:r>
      <w:r w:rsidR="00D95FD5">
        <w:t xml:space="preserve"> </w:t>
      </w:r>
      <w:r w:rsidR="00767570">
        <w:t>In this regard, t</w:t>
      </w:r>
      <w:r w:rsidR="00767570" w:rsidRPr="00B02872">
        <w:t xml:space="preserve">he Committee encouraged </w:t>
      </w:r>
      <w:r w:rsidR="00D95FD5">
        <w:t>o</w:t>
      </w:r>
      <w:r w:rsidR="00D95FD5" w:rsidRPr="00B02872">
        <w:t xml:space="preserve">ffices </w:t>
      </w:r>
      <w:r w:rsidR="00767570" w:rsidRPr="00B02872">
        <w:t xml:space="preserve">to enhance their participation in the IPC revision </w:t>
      </w:r>
      <w:r w:rsidR="00767570">
        <w:t>process, including through</w:t>
      </w:r>
      <w:r w:rsidR="00767570" w:rsidRPr="00B02872">
        <w:t xml:space="preserve"> </w:t>
      </w:r>
      <w:r w:rsidR="00767570">
        <w:t xml:space="preserve">the </w:t>
      </w:r>
      <w:r w:rsidR="00767570" w:rsidRPr="00B02872">
        <w:t>submi</w:t>
      </w:r>
      <w:r w:rsidR="00767570">
        <w:t xml:space="preserve">ssion of </w:t>
      </w:r>
      <w:r w:rsidR="00767570" w:rsidRPr="00B02872">
        <w:t>revision requests</w:t>
      </w:r>
      <w:r w:rsidR="00767570">
        <w:t xml:space="preserve"> based on the</w:t>
      </w:r>
      <w:r w:rsidR="00767570" w:rsidRPr="00B02872">
        <w:t xml:space="preserve"> </w:t>
      </w:r>
      <w:r w:rsidR="007A0FE3" w:rsidRPr="00B02872">
        <w:t>IPC</w:t>
      </w:r>
      <w:r w:rsidR="007A0FE3">
        <w:t> </w:t>
      </w:r>
      <w:r w:rsidR="00767570" w:rsidRPr="00B02872">
        <w:t xml:space="preserve">Revision Roadmap candidates and </w:t>
      </w:r>
      <w:r w:rsidR="00767570">
        <w:t>the NETs</w:t>
      </w:r>
      <w:r w:rsidR="00767570" w:rsidRPr="00B02872">
        <w:t>.</w:t>
      </w:r>
    </w:p>
    <w:p w14:paraId="37A2B5D4" w14:textId="716DD528" w:rsidR="00767570" w:rsidRDefault="00F346E2" w:rsidP="00767570">
      <w:r>
        <w:lastRenderedPageBreak/>
        <w:t>13.</w:t>
      </w:r>
      <w:r w:rsidR="00767570">
        <w:tab/>
        <w:t>The Committee expressed its great satisfaction and appreciation for the efficient work carried out by the Working Group and for the enhanced structure and transparency of the report prepared by the International Bureau, in particular the presentation of both newly introduced and deleted IPC entries.</w:t>
      </w:r>
      <w:r w:rsidR="007A0FE3">
        <w:t xml:space="preserve"> </w:t>
      </w:r>
      <w:r w:rsidR="00767570">
        <w:t xml:space="preserve"> The Committee took note of the information provided and reaffirmed the continued importance of the IPC revision program as the core mechanism for maintaining the relevance and usefulness of the IPC. </w:t>
      </w:r>
    </w:p>
    <w:p w14:paraId="78264EFE" w14:textId="77777777" w:rsidR="00767570" w:rsidRPr="00114699" w:rsidRDefault="00767570" w:rsidP="00986D84">
      <w:pPr>
        <w:pStyle w:val="Heading1"/>
      </w:pPr>
      <w:r w:rsidRPr="00114699">
        <w:t xml:space="preserve">REPORT OF THE EXPERT GROUP ON SEMICONDUCTOR TECHNOLOGY (EGST) </w:t>
      </w:r>
    </w:p>
    <w:p w14:paraId="70B16353" w14:textId="706136BE" w:rsidR="00767570" w:rsidRDefault="00F346E2" w:rsidP="00767570">
      <w:r>
        <w:t>14.</w:t>
      </w:r>
      <w:r w:rsidR="00767570">
        <w:tab/>
        <w:t xml:space="preserve">The Committee considered an oral report of the EGST presented by the EPO, the leading </w:t>
      </w:r>
      <w:r w:rsidR="009A1110">
        <w:t xml:space="preserve">Office </w:t>
      </w:r>
      <w:r w:rsidR="00767570">
        <w:t xml:space="preserve">of the EGST. </w:t>
      </w:r>
    </w:p>
    <w:p w14:paraId="4E1EB953" w14:textId="77777777" w:rsidR="00767570" w:rsidRDefault="00767570" w:rsidP="00767570"/>
    <w:p w14:paraId="603C6D7F" w14:textId="36D6374D" w:rsidR="00767570" w:rsidRDefault="00F346E2" w:rsidP="00767570">
      <w:r>
        <w:t>15.</w:t>
      </w:r>
      <w:r w:rsidR="00767570">
        <w:tab/>
        <w:t>The Committee recalled that the EGST had been established to address major and rapidly evolving developments in semiconductor technology that could no longer be adequately accommodated within the existing IPC structure.</w:t>
      </w:r>
    </w:p>
    <w:p w14:paraId="42342DB1" w14:textId="77777777" w:rsidR="00767570" w:rsidRDefault="00767570" w:rsidP="00767570"/>
    <w:p w14:paraId="09419534" w14:textId="1AAB4A84" w:rsidR="00767570" w:rsidRDefault="00F346E2" w:rsidP="00767570">
      <w:r>
        <w:t>16.</w:t>
      </w:r>
      <w:r w:rsidR="00767570">
        <w:tab/>
        <w:t xml:space="preserve">The Committee noted that the work of the EGST had resulted in significant structural changes to the IPC, most notably the creation of the new IPC class </w:t>
      </w:r>
      <w:hyperlink r:id="rId15" w:history="1">
        <w:r w:rsidR="00767570" w:rsidRPr="00480859">
          <w:rPr>
            <w:rStyle w:val="Hyperlink"/>
          </w:rPr>
          <w:t>H10</w:t>
        </w:r>
      </w:hyperlink>
      <w:r w:rsidR="00767570">
        <w:t xml:space="preserve"> and its associated subclasses. </w:t>
      </w:r>
      <w:r w:rsidR="00890917">
        <w:t xml:space="preserve"> </w:t>
      </w:r>
      <w:r w:rsidR="00767570">
        <w:t xml:space="preserve">These changes were intended to provide a more coherent, future-oriented and scalable classification framework for semiconductor technologies, </w:t>
      </w:r>
      <w:r w:rsidR="002D6A0D">
        <w:t>considering</w:t>
      </w:r>
      <w:r w:rsidR="00767570">
        <w:t xml:space="preserve"> both current developments and anticipated technological evolution.</w:t>
      </w:r>
    </w:p>
    <w:p w14:paraId="64DBBFB9" w14:textId="77777777" w:rsidR="00767570" w:rsidRDefault="00767570" w:rsidP="00767570"/>
    <w:p w14:paraId="3405AD3B" w14:textId="7A1CBEED" w:rsidR="00767570" w:rsidRDefault="00F346E2" w:rsidP="00767570">
      <w:r>
        <w:t>17.</w:t>
      </w:r>
      <w:r w:rsidR="00767570">
        <w:tab/>
        <w:t xml:space="preserve">The Committee acknowledged the extensive scope and complexity of the work undertaken by the EGST. </w:t>
      </w:r>
      <w:r w:rsidR="00890917">
        <w:t xml:space="preserve"> </w:t>
      </w:r>
      <w:r w:rsidR="00767570">
        <w:t xml:space="preserve">In this context, the Committee noted that, while the length of the project was exceptional, it was largely attributable to the scale of the restructuring required and the strategic importance of semiconductors. </w:t>
      </w:r>
      <w:r w:rsidR="00890917">
        <w:t xml:space="preserve"> </w:t>
      </w:r>
      <w:r w:rsidR="00767570">
        <w:t xml:space="preserve">The Committee emphasized that the experience gained through the EGST provided valuable insights </w:t>
      </w:r>
      <w:r w:rsidR="002D6A0D">
        <w:t>into</w:t>
      </w:r>
      <w:r w:rsidR="00767570">
        <w:t xml:space="preserve"> the planning and management of future large-scale IPC revision projects.</w:t>
      </w:r>
    </w:p>
    <w:p w14:paraId="6C271C28" w14:textId="77777777" w:rsidR="00767570" w:rsidRDefault="00767570" w:rsidP="00767570"/>
    <w:p w14:paraId="58D372E5" w14:textId="655F0A37" w:rsidR="00767570" w:rsidRDefault="00F346E2" w:rsidP="00767570">
      <w:r>
        <w:t>18.</w:t>
      </w:r>
      <w:r w:rsidR="00767570">
        <w:tab/>
        <w:t>The Committee expressed its appreciation to the members of the EGST</w:t>
      </w:r>
      <w:r w:rsidR="002D6A0D">
        <w:t>, to</w:t>
      </w:r>
      <w:r w:rsidR="00767570" w:rsidRPr="00D404AB">
        <w:t xml:space="preserve"> the EPO, the leading </w:t>
      </w:r>
      <w:r w:rsidR="009A1110">
        <w:t>O</w:t>
      </w:r>
      <w:r w:rsidR="009A1110" w:rsidRPr="00D404AB">
        <w:t xml:space="preserve">ffice </w:t>
      </w:r>
      <w:r w:rsidR="00767570" w:rsidRPr="00D404AB">
        <w:t>of the EGST,</w:t>
      </w:r>
      <w:r w:rsidR="00767570">
        <w:t xml:space="preserve"> and </w:t>
      </w:r>
      <w:r w:rsidR="00890917">
        <w:t xml:space="preserve">to </w:t>
      </w:r>
      <w:r w:rsidR="00767570">
        <w:t>the International Bureau for their commitment and contributions over the course of project</w:t>
      </w:r>
      <w:r w:rsidR="00057DB5">
        <w:t xml:space="preserve"> </w:t>
      </w:r>
      <w:hyperlink r:id="rId16" w:history="1">
        <w:r w:rsidR="00057DB5">
          <w:rPr>
            <w:rStyle w:val="Hyperlink"/>
          </w:rPr>
          <w:t>CE 481</w:t>
        </w:r>
      </w:hyperlink>
      <w:r w:rsidR="00767570">
        <w:t xml:space="preserve">. </w:t>
      </w:r>
      <w:r w:rsidR="00670CAA">
        <w:t xml:space="preserve"> </w:t>
      </w:r>
      <w:r w:rsidR="00767570">
        <w:t>The Committee considered that the remarkable outcomes achieved justified the effort invested and constituted a significant milestone in the evolution of the IPC.</w:t>
      </w:r>
    </w:p>
    <w:p w14:paraId="71B119A1" w14:textId="77777777" w:rsidR="00767570" w:rsidRDefault="00767570" w:rsidP="00767570"/>
    <w:p w14:paraId="42EB9974" w14:textId="4F231237" w:rsidR="00767570" w:rsidRDefault="00F346E2" w:rsidP="00767570">
      <w:r>
        <w:t>19.</w:t>
      </w:r>
      <w:r w:rsidR="00767570">
        <w:tab/>
        <w:t xml:space="preserve">The Committee agreed to formally close project </w:t>
      </w:r>
      <w:hyperlink r:id="rId17" w:history="1">
        <w:r w:rsidR="00767570">
          <w:rPr>
            <w:rStyle w:val="Hyperlink"/>
          </w:rPr>
          <w:t>CE 481</w:t>
        </w:r>
      </w:hyperlink>
      <w:r w:rsidR="00767570">
        <w:t xml:space="preserve"> and noted that certain residual activities, in particular related to definitions and maintenance matters, would continue to be addressed under existing IPC procedures, without reopening the EGST project or </w:t>
      </w:r>
      <w:r w:rsidR="00767570" w:rsidRPr="00424A6A">
        <w:t>extending</w:t>
      </w:r>
      <w:r w:rsidR="00767570">
        <w:t xml:space="preserve"> </w:t>
      </w:r>
      <w:r w:rsidR="00AD186D">
        <w:t>its </w:t>
      </w:r>
      <w:r w:rsidR="00767570">
        <w:t>mandate.</w:t>
      </w:r>
    </w:p>
    <w:p w14:paraId="636ABDF2" w14:textId="77777777" w:rsidR="00767570" w:rsidRDefault="00767570" w:rsidP="00553F10">
      <w:pPr>
        <w:pStyle w:val="Heading1"/>
      </w:pPr>
      <w:r w:rsidRPr="009654BF">
        <w:t>REPORT ON THE PROGRESS OF THE CPC AND FI REVISION PROGRAMS</w:t>
      </w:r>
    </w:p>
    <w:p w14:paraId="1105DFB5" w14:textId="798CED49" w:rsidR="00767570" w:rsidRDefault="00F346E2" w:rsidP="00767570">
      <w:r>
        <w:t>20.</w:t>
      </w:r>
      <w:r w:rsidR="00767570">
        <w:tab/>
      </w:r>
      <w:r w:rsidR="00767570" w:rsidRPr="00510475">
        <w:t xml:space="preserve">The Committee noted presentations by the European Patent Office (EPO) and the United States </w:t>
      </w:r>
      <w:r w:rsidR="00396714">
        <w:t>of America</w:t>
      </w:r>
      <w:r w:rsidR="00767570" w:rsidRPr="00510475">
        <w:t xml:space="preserve"> on the progress of the Cooperative Patent Classification (CPC) revision program, as well as a presentation by </w:t>
      </w:r>
      <w:r w:rsidR="00767570">
        <w:t>Japan</w:t>
      </w:r>
      <w:r w:rsidR="00767570" w:rsidRPr="00510475">
        <w:t xml:space="preserve"> on developments related to the FI and F-term classification systems.</w:t>
      </w:r>
    </w:p>
    <w:p w14:paraId="23504B5C" w14:textId="77777777" w:rsidR="00767570" w:rsidRDefault="00767570" w:rsidP="00767570"/>
    <w:p w14:paraId="2963E0B9" w14:textId="3280B21E" w:rsidR="00767570" w:rsidRDefault="00F346E2" w:rsidP="00767570">
      <w:r>
        <w:t>21.</w:t>
      </w:r>
      <w:r w:rsidR="00767570">
        <w:tab/>
      </w:r>
      <w:r w:rsidR="002D6A0D" w:rsidRPr="00510475">
        <w:t>Regarding</w:t>
      </w:r>
      <w:r w:rsidR="00767570" w:rsidRPr="00510475">
        <w:t xml:space="preserve"> </w:t>
      </w:r>
      <w:r w:rsidR="00A176FE">
        <w:t xml:space="preserve">the </w:t>
      </w:r>
      <w:r w:rsidR="00767570" w:rsidRPr="00510475">
        <w:t xml:space="preserve">CPC, the Committee noted that revision activities continued at a high level and that efforts were made to maintain </w:t>
      </w:r>
      <w:r w:rsidR="00767570">
        <w:t>its</w:t>
      </w:r>
      <w:r w:rsidR="00767570" w:rsidRPr="00510475">
        <w:t xml:space="preserve"> alignment with the IPC </w:t>
      </w:r>
      <w:r w:rsidR="00767570">
        <w:t xml:space="preserve">2026.01 in the CPC </w:t>
      </w:r>
      <w:r w:rsidR="002918DF">
        <w:t>January </w:t>
      </w:r>
      <w:r w:rsidR="00767570">
        <w:t>1, 2026</w:t>
      </w:r>
      <w:r w:rsidR="002D6A0D">
        <w:t>-</w:t>
      </w:r>
      <w:r w:rsidR="00767570">
        <w:t>release</w:t>
      </w:r>
      <w:r w:rsidR="00767570" w:rsidRPr="00510475">
        <w:t xml:space="preserve">. </w:t>
      </w:r>
      <w:r w:rsidR="002918DF">
        <w:t xml:space="preserve"> </w:t>
      </w:r>
      <w:r w:rsidR="00767570" w:rsidRPr="00510475">
        <w:t>The presentations highlighted the operational aspects of CPC releases, including the regular update cycles and the management of reclassification tasks following structural changes.</w:t>
      </w:r>
    </w:p>
    <w:p w14:paraId="5B7D373F" w14:textId="77777777" w:rsidR="00767570" w:rsidRDefault="00767570" w:rsidP="00767570"/>
    <w:p w14:paraId="77B0D4FF" w14:textId="27ABFA46" w:rsidR="00767570" w:rsidRDefault="00F346E2" w:rsidP="002918DF">
      <w:pPr>
        <w:keepLines/>
      </w:pPr>
      <w:r>
        <w:lastRenderedPageBreak/>
        <w:t>22.</w:t>
      </w:r>
      <w:r w:rsidR="00767570">
        <w:tab/>
      </w:r>
      <w:r w:rsidR="00767570" w:rsidRPr="00510475">
        <w:t xml:space="preserve">The Committee noted that </w:t>
      </w:r>
      <w:r w:rsidR="002918DF">
        <w:t xml:space="preserve">the </w:t>
      </w:r>
      <w:r w:rsidR="00767570" w:rsidRPr="00510475">
        <w:t xml:space="preserve">CPC revisions are typically driven by examiner needs and technological developments, supported by defined business justifications. </w:t>
      </w:r>
      <w:r w:rsidR="002918DF">
        <w:t xml:space="preserve"> </w:t>
      </w:r>
      <w:r w:rsidR="00767570" w:rsidRPr="00510475">
        <w:t xml:space="preserve">It was underlined that, where appropriate, substantial CPC changes may lead to proposals for corresponding </w:t>
      </w:r>
      <w:r w:rsidR="002918DF" w:rsidRPr="00510475">
        <w:t>IPC</w:t>
      </w:r>
      <w:r w:rsidR="002918DF">
        <w:t> </w:t>
      </w:r>
      <w:r w:rsidR="00767570" w:rsidRPr="00510475">
        <w:t xml:space="preserve">revisions, thereby contributing to </w:t>
      </w:r>
      <w:r w:rsidR="00767570">
        <w:t xml:space="preserve">the </w:t>
      </w:r>
      <w:r w:rsidR="00767570" w:rsidRPr="00510475">
        <w:t xml:space="preserve">coherence between the two </w:t>
      </w:r>
      <w:r w:rsidR="00767570">
        <w:t xml:space="preserve">classification </w:t>
      </w:r>
      <w:r w:rsidR="00767570" w:rsidRPr="00510475">
        <w:t>systems.</w:t>
      </w:r>
    </w:p>
    <w:p w14:paraId="14957ACD" w14:textId="77777777" w:rsidR="00767570" w:rsidRDefault="00767570" w:rsidP="00767570"/>
    <w:p w14:paraId="55E838E4" w14:textId="6E2250A3" w:rsidR="00767570" w:rsidRDefault="00F346E2" w:rsidP="00767570">
      <w:r>
        <w:t>23.</w:t>
      </w:r>
      <w:r w:rsidR="00767570">
        <w:tab/>
      </w:r>
      <w:r w:rsidR="00767570" w:rsidRPr="00510475">
        <w:t xml:space="preserve">The Committee further noted the increasing use of </w:t>
      </w:r>
      <w:r w:rsidR="00767570">
        <w:t>artificial intelligence (</w:t>
      </w:r>
      <w:r w:rsidR="00767570" w:rsidRPr="00510475">
        <w:t>AI</w:t>
      </w:r>
      <w:r w:rsidR="00767570">
        <w:t>)</w:t>
      </w:r>
      <w:r w:rsidR="00767570" w:rsidRPr="00510475">
        <w:t xml:space="preserve">-assisted tools within CPC workflows, including for classification support, monitoring and quality assurance. </w:t>
      </w:r>
      <w:r w:rsidR="002918DF">
        <w:t xml:space="preserve"> </w:t>
      </w:r>
      <w:r w:rsidR="00767570" w:rsidRPr="00510475">
        <w:t xml:space="preserve">While recognizing the operational autonomy of </w:t>
      </w:r>
      <w:r w:rsidR="002918DF">
        <w:t xml:space="preserve">the </w:t>
      </w:r>
      <w:r w:rsidR="00767570" w:rsidRPr="00510475">
        <w:t xml:space="preserve">CPC, the Committee welcomed the continued coordination between </w:t>
      </w:r>
      <w:r w:rsidR="002918DF">
        <w:t xml:space="preserve">the </w:t>
      </w:r>
      <w:r w:rsidR="00767570" w:rsidRPr="00510475">
        <w:t>CPC and IPC processes.</w:t>
      </w:r>
    </w:p>
    <w:p w14:paraId="779555F2" w14:textId="77777777" w:rsidR="00767570" w:rsidRDefault="00767570" w:rsidP="00767570"/>
    <w:p w14:paraId="48DB5F37" w14:textId="375FD0AF" w:rsidR="00767570" w:rsidRDefault="00F346E2" w:rsidP="00767570">
      <w:r>
        <w:t>24.</w:t>
      </w:r>
      <w:r w:rsidR="00767570">
        <w:tab/>
      </w:r>
      <w:r w:rsidR="002D6A0D" w:rsidRPr="00510475">
        <w:t>Regarding</w:t>
      </w:r>
      <w:r w:rsidR="00767570" w:rsidRPr="00510475">
        <w:t xml:space="preserve"> the FI and F-term systems, the Committee noted the information provided by J</w:t>
      </w:r>
      <w:r w:rsidR="00767570">
        <w:t>apan</w:t>
      </w:r>
      <w:r w:rsidR="00767570" w:rsidRPr="00510475">
        <w:t xml:space="preserve"> on revision activities, maintenance and the relationship between FI/F-term and the IPC. </w:t>
      </w:r>
      <w:r w:rsidR="002918DF">
        <w:t xml:space="preserve"> </w:t>
      </w:r>
      <w:r w:rsidR="00767570" w:rsidRPr="007C1669">
        <w:t xml:space="preserve">The presentation illustrated the scale </w:t>
      </w:r>
      <w:r w:rsidR="00767570">
        <w:t xml:space="preserve">and frequency </w:t>
      </w:r>
      <w:r w:rsidR="00767570" w:rsidRPr="007C1669">
        <w:t xml:space="preserve">of annual FI/F-term revision activities and their </w:t>
      </w:r>
      <w:r w:rsidR="00767570">
        <w:t xml:space="preserve">synchronization </w:t>
      </w:r>
      <w:r w:rsidR="00767570" w:rsidRPr="007C1669">
        <w:t xml:space="preserve">with IPC updates. </w:t>
      </w:r>
    </w:p>
    <w:p w14:paraId="585820F1" w14:textId="77777777" w:rsidR="00767570" w:rsidRDefault="00767570" w:rsidP="00767570"/>
    <w:p w14:paraId="22E09966" w14:textId="69351B53" w:rsidR="00767570" w:rsidRDefault="00F346E2" w:rsidP="00767570">
      <w:pPr>
        <w:rPr>
          <w:b/>
          <w:bCs/>
        </w:rPr>
      </w:pPr>
      <w:r>
        <w:t>25.</w:t>
      </w:r>
      <w:r w:rsidR="00767570">
        <w:tab/>
      </w:r>
      <w:r w:rsidR="00767570" w:rsidRPr="007C1669">
        <w:t>The Committee noted the strategic role of FI and F-term classifications in supporting detailed search and analysis, as well as the efforts undertaken by J</w:t>
      </w:r>
      <w:r w:rsidR="00767570">
        <w:t>apan</w:t>
      </w:r>
      <w:r w:rsidR="00767570" w:rsidRPr="007C1669">
        <w:t xml:space="preserve"> to ensure consistency and interoperability with </w:t>
      </w:r>
      <w:r w:rsidR="002918DF">
        <w:t xml:space="preserve">the </w:t>
      </w:r>
      <w:r w:rsidR="00767570" w:rsidRPr="007C1669">
        <w:t xml:space="preserve">IPC and </w:t>
      </w:r>
      <w:r w:rsidR="002918DF">
        <w:t xml:space="preserve">the </w:t>
      </w:r>
      <w:r w:rsidR="00767570" w:rsidRPr="007C1669">
        <w:t xml:space="preserve">CPC, including through </w:t>
      </w:r>
      <w:r w:rsidR="00767570">
        <w:t>IPC-FI-CPC</w:t>
      </w:r>
      <w:r w:rsidR="00767570" w:rsidRPr="007C1669">
        <w:t xml:space="preserve"> scheme parallel</w:t>
      </w:r>
      <w:r w:rsidR="008960EB">
        <w:t> </w:t>
      </w:r>
      <w:r w:rsidR="00767570" w:rsidRPr="007C1669">
        <w:t>viewer</w:t>
      </w:r>
      <w:r w:rsidR="00767570">
        <w:t>.</w:t>
      </w:r>
      <w:r w:rsidR="00767570">
        <w:rPr>
          <w:b/>
          <w:bCs/>
        </w:rPr>
        <w:t xml:space="preserve"> </w:t>
      </w:r>
    </w:p>
    <w:p w14:paraId="0E54FE03" w14:textId="77777777" w:rsidR="00767570" w:rsidRDefault="00767570" w:rsidP="00767570">
      <w:pPr>
        <w:rPr>
          <w:b/>
          <w:bCs/>
        </w:rPr>
      </w:pPr>
    </w:p>
    <w:p w14:paraId="1D699E6C" w14:textId="073B74D8" w:rsidR="00767570" w:rsidRDefault="00F346E2" w:rsidP="00767570">
      <w:r>
        <w:t>26.</w:t>
      </w:r>
      <w:r w:rsidR="00767570">
        <w:tab/>
      </w:r>
      <w:r w:rsidR="00767570" w:rsidRPr="00510475">
        <w:t xml:space="preserve">The Committee welcomed </w:t>
      </w:r>
      <w:r w:rsidR="00767570">
        <w:t xml:space="preserve">and appreciated </w:t>
      </w:r>
      <w:r w:rsidR="00767570" w:rsidRPr="00510475">
        <w:t xml:space="preserve">the continued efforts </w:t>
      </w:r>
      <w:r w:rsidR="00767570">
        <w:t>by the EPO</w:t>
      </w:r>
      <w:r w:rsidR="00750009">
        <w:t xml:space="preserve">, </w:t>
      </w:r>
      <w:r w:rsidR="00750009" w:rsidRPr="00510475">
        <w:t xml:space="preserve">the United States </w:t>
      </w:r>
      <w:r w:rsidR="00750009">
        <w:t>of America</w:t>
      </w:r>
      <w:r w:rsidR="00767570">
        <w:t xml:space="preserve"> and Japan </w:t>
      </w:r>
      <w:r w:rsidR="00767570" w:rsidRPr="00510475">
        <w:t xml:space="preserve">to ensure consistency and </w:t>
      </w:r>
      <w:r w:rsidR="00767570">
        <w:t xml:space="preserve">coherence </w:t>
      </w:r>
      <w:r w:rsidR="00767570" w:rsidRPr="00510475">
        <w:t xml:space="preserve">between </w:t>
      </w:r>
      <w:r w:rsidR="00767570">
        <w:t>the IPC and IPC-based classification schemes and invited continued efforts to enhance and maintain such coherence</w:t>
      </w:r>
      <w:r w:rsidR="00767570" w:rsidRPr="00510475">
        <w:t>.</w:t>
      </w:r>
      <w:r w:rsidR="00767570">
        <w:t xml:space="preserve"> </w:t>
      </w:r>
    </w:p>
    <w:p w14:paraId="77EF49D5" w14:textId="77777777" w:rsidR="00767570" w:rsidRPr="008E5A6C" w:rsidRDefault="00767570" w:rsidP="00553F10">
      <w:pPr>
        <w:pStyle w:val="Heading1"/>
      </w:pPr>
      <w:r w:rsidRPr="008E5A6C">
        <w:t>AMENDMENTS TO THE GUIDE TO THE IPC AND OTHER BASIC IPC DOCUMENTS</w:t>
      </w:r>
    </w:p>
    <w:p w14:paraId="31F05DDA" w14:textId="1ABBA20D" w:rsidR="00767570" w:rsidRDefault="00F346E2" w:rsidP="00767570">
      <w:r>
        <w:t>27.</w:t>
      </w:r>
      <w:r w:rsidR="00767570">
        <w:tab/>
      </w:r>
      <w:r w:rsidR="00767570" w:rsidRPr="001B2DF9">
        <w:t xml:space="preserve">The Committee considered proposed amendments to the Guide to the IPC </w:t>
      </w:r>
      <w:r w:rsidR="00F05175">
        <w:t>(</w:t>
      </w:r>
      <w:r w:rsidR="00F05175" w:rsidRPr="00F05175">
        <w:t>hereinafter referred to as the “Guide”)</w:t>
      </w:r>
      <w:r w:rsidR="00F05175">
        <w:t xml:space="preserve"> </w:t>
      </w:r>
      <w:r w:rsidR="00767570" w:rsidRPr="001B2DF9">
        <w:t>and to the Guidelines for Revision of the IPC (</w:t>
      </w:r>
      <w:r w:rsidR="00AF63CF" w:rsidRPr="00AF63CF">
        <w:t xml:space="preserve">hereinafter referred to as the “Guidelines”) </w:t>
      </w:r>
      <w:r w:rsidR="00767570" w:rsidRPr="001B2DF9">
        <w:t>(</w:t>
      </w:r>
      <w:r w:rsidR="00767570">
        <w:t xml:space="preserve">see </w:t>
      </w:r>
      <w:r w:rsidR="00767570" w:rsidRPr="006A08AC">
        <w:t xml:space="preserve">projects </w:t>
      </w:r>
      <w:hyperlink r:id="rId18" w:history="1">
        <w:r w:rsidR="00767570" w:rsidRPr="00362590">
          <w:rPr>
            <w:rStyle w:val="Hyperlink"/>
          </w:rPr>
          <w:t>CE 454</w:t>
        </w:r>
      </w:hyperlink>
      <w:r w:rsidR="00767570" w:rsidRPr="006A08AC">
        <w:t xml:space="preserve"> and </w:t>
      </w:r>
      <w:hyperlink r:id="rId19" w:history="1">
        <w:r w:rsidR="00767570" w:rsidRPr="00362590">
          <w:rPr>
            <w:rStyle w:val="Hyperlink"/>
          </w:rPr>
          <w:t>CE 455</w:t>
        </w:r>
      </w:hyperlink>
      <w:r w:rsidR="006A08AC">
        <w:t>, respectively</w:t>
      </w:r>
      <w:r w:rsidR="00767570" w:rsidRPr="001B2DF9">
        <w:t xml:space="preserve">). </w:t>
      </w:r>
    </w:p>
    <w:p w14:paraId="63FCF1C9" w14:textId="77777777" w:rsidR="00767570" w:rsidRDefault="00767570" w:rsidP="00767570"/>
    <w:p w14:paraId="6D4D3634" w14:textId="293273A7" w:rsidR="00767570" w:rsidRDefault="00F346E2" w:rsidP="00767570">
      <w:r>
        <w:t>28.</w:t>
      </w:r>
      <w:r w:rsidR="00767570">
        <w:tab/>
      </w:r>
      <w:r w:rsidR="00767570" w:rsidRPr="001B2DF9">
        <w:t xml:space="preserve">The Committee discussed specific amendments concerning the presentation of classification principles, the treatment of indexing </w:t>
      </w:r>
      <w:r w:rsidR="00767570">
        <w:t>scheme</w:t>
      </w:r>
      <w:r w:rsidR="00767570" w:rsidRPr="001B2DF9">
        <w:t>s and the clarification of certain definition-related provisions.</w:t>
      </w:r>
      <w:r w:rsidR="00767570">
        <w:t xml:space="preserve"> </w:t>
      </w:r>
    </w:p>
    <w:p w14:paraId="6DE8A380" w14:textId="77777777" w:rsidR="00767570" w:rsidRDefault="00767570" w:rsidP="00767570"/>
    <w:p w14:paraId="46256A11" w14:textId="7E69F106" w:rsidR="00767570" w:rsidRDefault="00F346E2" w:rsidP="00767570">
      <w:r>
        <w:t>29.</w:t>
      </w:r>
      <w:r w:rsidR="00767570">
        <w:tab/>
      </w:r>
      <w:r w:rsidR="00767570" w:rsidRPr="00892BAB">
        <w:t xml:space="preserve">Discussions were based on Annex 117 to project </w:t>
      </w:r>
      <w:hyperlink r:id="rId20" w:history="1">
        <w:r w:rsidR="00767570" w:rsidRPr="00362590">
          <w:rPr>
            <w:rStyle w:val="Hyperlink"/>
          </w:rPr>
          <w:t>CE 454</w:t>
        </w:r>
      </w:hyperlink>
      <w:r w:rsidR="00767570" w:rsidRPr="006A08AC">
        <w:t xml:space="preserve">, </w:t>
      </w:r>
      <w:r w:rsidR="00767570" w:rsidRPr="00892BAB">
        <w:t xml:space="preserve">containing a rapporteur report prepared by the International Bureau, which included a consolidated compilation of proposed amendments, with comments, to the </w:t>
      </w:r>
      <w:r w:rsidR="00767570" w:rsidRPr="008F5593">
        <w:t>Guide</w:t>
      </w:r>
      <w:r w:rsidR="00767570" w:rsidRPr="00892BAB">
        <w:t xml:space="preserve">. </w:t>
      </w:r>
      <w:r w:rsidR="005A5E4A">
        <w:t xml:space="preserve"> </w:t>
      </w:r>
      <w:r w:rsidR="00767570" w:rsidRPr="00892BAB">
        <w:t>The compilation reflected contributions submitted in Annexes 114 to 116 to the project file, originating from the EPO, the International Bureau and the Republic of Korea.</w:t>
      </w:r>
      <w:r w:rsidR="00767570">
        <w:t xml:space="preserve"> </w:t>
      </w:r>
    </w:p>
    <w:p w14:paraId="61392F59" w14:textId="77777777" w:rsidR="00767570" w:rsidRDefault="00767570" w:rsidP="00767570"/>
    <w:p w14:paraId="2462EDB6" w14:textId="6443441F" w:rsidR="00767570" w:rsidRDefault="00F346E2" w:rsidP="00767570">
      <w:r>
        <w:t>30.</w:t>
      </w:r>
      <w:r w:rsidR="00767570">
        <w:tab/>
      </w:r>
      <w:r w:rsidR="00767570" w:rsidRPr="00892BAB">
        <w:t>The Committee considered the proposed amendments aimed at clarifying and ensuring internal coherence of the Guide, alignment with established IPC revision practices and improved usability for both classification and search purposes.</w:t>
      </w:r>
      <w:r w:rsidR="00767570">
        <w:t xml:space="preserve"> </w:t>
      </w:r>
    </w:p>
    <w:p w14:paraId="796331B5" w14:textId="77777777" w:rsidR="00767570" w:rsidRDefault="00767570" w:rsidP="00767570"/>
    <w:p w14:paraId="0246294D" w14:textId="3B1F13D4" w:rsidR="00767570" w:rsidRDefault="00A31A17" w:rsidP="00767570">
      <w:r>
        <w:t>31.</w:t>
      </w:r>
      <w:r w:rsidR="00767570">
        <w:tab/>
        <w:t>T</w:t>
      </w:r>
      <w:r w:rsidR="00767570" w:rsidRPr="00892BAB">
        <w:t xml:space="preserve">he Committee adopted, with some modifications, </w:t>
      </w:r>
      <w:r w:rsidR="00767570" w:rsidRPr="00D16368">
        <w:t xml:space="preserve">the amendments to the heading on the first page and to paragraphs 40, </w:t>
      </w:r>
      <w:r w:rsidR="006F4D09">
        <w:t xml:space="preserve">58, </w:t>
      </w:r>
      <w:r w:rsidR="00767570" w:rsidRPr="00D16368">
        <w:t>107</w:t>
      </w:r>
      <w:r w:rsidR="00767570" w:rsidRPr="00F62323">
        <w:rPr>
          <w:i/>
          <w:iCs/>
        </w:rPr>
        <w:t>bis</w:t>
      </w:r>
      <w:r w:rsidR="00172068">
        <w:rPr>
          <w:i/>
          <w:iCs/>
        </w:rPr>
        <w:t xml:space="preserve"> </w:t>
      </w:r>
      <w:r w:rsidR="00172068" w:rsidRPr="00362590">
        <w:t>and</w:t>
      </w:r>
      <w:r w:rsidR="00767570" w:rsidRPr="00D16368">
        <w:t xml:space="preserve"> 111</w:t>
      </w:r>
      <w:r w:rsidR="00767570" w:rsidRPr="00F62323">
        <w:rPr>
          <w:i/>
          <w:iCs/>
        </w:rPr>
        <w:t>bis</w:t>
      </w:r>
      <w:r w:rsidR="00767570" w:rsidRPr="00D16368">
        <w:rPr>
          <w:b/>
          <w:bCs/>
        </w:rPr>
        <w:t xml:space="preserve"> </w:t>
      </w:r>
      <w:r w:rsidR="00767570" w:rsidRPr="00D16368">
        <w:t>of the Guide</w:t>
      </w:r>
      <w:r w:rsidR="00767570" w:rsidRPr="00892BAB">
        <w:t xml:space="preserve">, </w:t>
      </w:r>
      <w:r w:rsidR="00767570">
        <w:t xml:space="preserve">which appear in </w:t>
      </w:r>
      <w:r w:rsidR="00767570" w:rsidRPr="00525F9F">
        <w:t>Annexes</w:t>
      </w:r>
      <w:r w:rsidR="00EF6358" w:rsidRPr="00525F9F">
        <w:t> </w:t>
      </w:r>
      <w:r w:rsidR="00767570" w:rsidRPr="00525F9F">
        <w:t>118 and 119 to</w:t>
      </w:r>
      <w:r w:rsidR="00767570" w:rsidRPr="00892BAB">
        <w:t xml:space="preserve"> the project file. </w:t>
      </w:r>
      <w:r w:rsidR="00B461FD">
        <w:t xml:space="preserve"> </w:t>
      </w:r>
      <w:r w:rsidR="00767570" w:rsidRPr="00892BAB">
        <w:t>The adopted amendments will be incorporated into the 202</w:t>
      </w:r>
      <w:r w:rsidR="00767570">
        <w:t>6</w:t>
      </w:r>
      <w:r w:rsidR="00767570" w:rsidRPr="00892BAB">
        <w:t xml:space="preserve"> version of the Guide to the IPC.</w:t>
      </w:r>
    </w:p>
    <w:p w14:paraId="0664A511" w14:textId="620F9872" w:rsidR="00767570" w:rsidRDefault="00767570" w:rsidP="00767570"/>
    <w:p w14:paraId="58AB1BB4" w14:textId="243E428F" w:rsidR="00767570" w:rsidRDefault="00644933" w:rsidP="00767570">
      <w:r>
        <w:t>32.</w:t>
      </w:r>
      <w:r w:rsidR="00767570">
        <w:tab/>
        <w:t xml:space="preserve">The Committee invited offices to further review paragraphs 81 and 183 of the Guide and to propose amendments to ensure the consistent use of terminology for categories of subject matter throughout the Guide, </w:t>
      </w:r>
      <w:r w:rsidR="002D6A0D">
        <w:t>considering</w:t>
      </w:r>
      <w:r w:rsidR="00767570">
        <w:t xml:space="preserve"> the discussions held during this session concerning the categories of “process</w:t>
      </w:r>
      <w:r w:rsidR="0023546C">
        <w:t>”</w:t>
      </w:r>
      <w:r w:rsidR="00767570">
        <w:t xml:space="preserve"> vs </w:t>
      </w:r>
      <w:r w:rsidR="0023546C">
        <w:t>“</w:t>
      </w:r>
      <w:r w:rsidR="00767570">
        <w:t xml:space="preserve">method”. </w:t>
      </w:r>
    </w:p>
    <w:p w14:paraId="22AC33A6" w14:textId="77777777" w:rsidR="00767570" w:rsidRDefault="00767570" w:rsidP="00767570"/>
    <w:p w14:paraId="3752B317" w14:textId="44A11CC8" w:rsidR="00767570" w:rsidRDefault="00644933" w:rsidP="00767570">
      <w:r>
        <w:lastRenderedPageBreak/>
        <w:t>33.</w:t>
      </w:r>
      <w:r w:rsidR="00767570">
        <w:tab/>
      </w:r>
      <w:r w:rsidR="00767570" w:rsidRPr="00892BAB">
        <w:t xml:space="preserve">Discussions were </w:t>
      </w:r>
      <w:r w:rsidR="00767570">
        <w:t xml:space="preserve">also </w:t>
      </w:r>
      <w:r w:rsidR="00767570" w:rsidRPr="00892BAB">
        <w:t xml:space="preserve">based on Annex 123 to project </w:t>
      </w:r>
      <w:hyperlink r:id="rId21" w:history="1">
        <w:r w:rsidR="00767570" w:rsidRPr="000F3C5D">
          <w:rPr>
            <w:rStyle w:val="Hyperlink"/>
          </w:rPr>
          <w:t>CE 455</w:t>
        </w:r>
      </w:hyperlink>
      <w:r w:rsidR="00767570" w:rsidRPr="000F3C5D">
        <w:t>,</w:t>
      </w:r>
      <w:r w:rsidR="00767570" w:rsidRPr="00892BAB">
        <w:t xml:space="preserve"> containing a rapporteur report prepared by the International Bureau, which provided a consolidated compilation of proposed amendments, with comments, to the Guidelines. </w:t>
      </w:r>
      <w:r w:rsidR="00E910E7">
        <w:t xml:space="preserve"> </w:t>
      </w:r>
      <w:r w:rsidR="00767570" w:rsidRPr="00892BAB">
        <w:t xml:space="preserve">The compilation was based on proposals and comments submitted in Annexes 112 to 122 to the project file by the EPO, the Republic of Korea, the United Kingdom and the </w:t>
      </w:r>
      <w:r w:rsidR="000A59D6" w:rsidRPr="00892BAB">
        <w:t>International</w:t>
      </w:r>
      <w:r w:rsidR="000A59D6">
        <w:t> </w:t>
      </w:r>
      <w:r w:rsidR="00767570" w:rsidRPr="00892BAB">
        <w:t>Bureau.</w:t>
      </w:r>
    </w:p>
    <w:p w14:paraId="7818C74D" w14:textId="77777777" w:rsidR="00767570" w:rsidRDefault="00767570" w:rsidP="00767570"/>
    <w:p w14:paraId="7AAD5D02" w14:textId="6340B7BC" w:rsidR="00767570" w:rsidRDefault="00644933" w:rsidP="00767570">
      <w:r>
        <w:t>34.</w:t>
      </w:r>
      <w:r w:rsidR="00767570">
        <w:tab/>
      </w:r>
      <w:r w:rsidR="00767570" w:rsidRPr="00892BAB">
        <w:t xml:space="preserve">The Committee </w:t>
      </w:r>
      <w:r w:rsidR="00767570">
        <w:t>discussed intensively</w:t>
      </w:r>
      <w:r w:rsidR="00767570" w:rsidRPr="00892BAB">
        <w:t xml:space="preserve"> the proposed amendments concerning</w:t>
      </w:r>
      <w:r w:rsidR="002D6A0D" w:rsidRPr="00892BAB">
        <w:t xml:space="preserve"> the</w:t>
      </w:r>
      <w:r w:rsidR="00767570" w:rsidRPr="00892BAB">
        <w:t xml:space="preserve"> revision strategies, </w:t>
      </w:r>
      <w:r w:rsidR="00767570">
        <w:t xml:space="preserve">scheme </w:t>
      </w:r>
      <w:r w:rsidR="00767570" w:rsidRPr="00892BAB">
        <w:t xml:space="preserve">drafting practices, use of references and notes, guidance headings, indexing schemes and consistency with the principles set out in the Guide. </w:t>
      </w:r>
      <w:r w:rsidR="000A59D6">
        <w:t xml:space="preserve"> </w:t>
      </w:r>
      <w:r w:rsidR="00767570" w:rsidRPr="00892BAB">
        <w:t xml:space="preserve">The discussions </w:t>
      </w:r>
      <w:r w:rsidR="00767570">
        <w:t xml:space="preserve">improved a shared understanding among offices </w:t>
      </w:r>
      <w:r w:rsidR="00767570" w:rsidRPr="00892BAB">
        <w:t xml:space="preserve">to ensure clarity, predictability and consistency of revision </w:t>
      </w:r>
      <w:r w:rsidR="00767570">
        <w:t xml:space="preserve">and classification </w:t>
      </w:r>
      <w:r w:rsidR="00767570" w:rsidRPr="00892BAB">
        <w:t>practices.</w:t>
      </w:r>
    </w:p>
    <w:p w14:paraId="268874B8" w14:textId="77777777" w:rsidR="00767570" w:rsidRDefault="00767570" w:rsidP="00767570"/>
    <w:p w14:paraId="67D605E4" w14:textId="47C6A4A3" w:rsidR="00767570" w:rsidRDefault="00644933" w:rsidP="00767570">
      <w:r>
        <w:t>35.</w:t>
      </w:r>
      <w:r w:rsidR="00767570">
        <w:tab/>
      </w:r>
      <w:r w:rsidR="00767570" w:rsidRPr="00892BAB">
        <w:t xml:space="preserve">The Committee adopted, with some modifications, the proposed </w:t>
      </w:r>
      <w:r w:rsidR="00767570" w:rsidRPr="00B71314">
        <w:t xml:space="preserve">amendments </w:t>
      </w:r>
      <w:r w:rsidR="00767570" w:rsidRPr="009A04D7">
        <w:t>to the heading on the first page and to paragraphs 30, 40</w:t>
      </w:r>
      <w:r w:rsidR="00A357FA">
        <w:t xml:space="preserve"> and</w:t>
      </w:r>
      <w:r w:rsidR="00767570" w:rsidRPr="009A04D7">
        <w:t xml:space="preserve"> 41 of the Guidelines as well as to paragraph 7 of Appendix II</w:t>
      </w:r>
      <w:r w:rsidR="00293B21">
        <w:t xml:space="preserve"> and</w:t>
      </w:r>
      <w:r w:rsidR="00767570" w:rsidRPr="009A04D7">
        <w:t xml:space="preserve"> pages 3, 4</w:t>
      </w:r>
      <w:r w:rsidR="008177B7">
        <w:t>, 5</w:t>
      </w:r>
      <w:r w:rsidR="00767570" w:rsidRPr="009A04D7">
        <w:t xml:space="preserve"> and 6 of Appendix VI to the Guidelines</w:t>
      </w:r>
      <w:r w:rsidR="00767570" w:rsidRPr="00892BAB">
        <w:t xml:space="preserve">, </w:t>
      </w:r>
      <w:r w:rsidR="00767570">
        <w:t>which appear</w:t>
      </w:r>
      <w:r w:rsidR="00767570" w:rsidRPr="00892BAB">
        <w:t xml:space="preserve"> in </w:t>
      </w:r>
      <w:r w:rsidR="00767570" w:rsidRPr="00743C81">
        <w:rPr>
          <w:color w:val="000000" w:themeColor="text1"/>
        </w:rPr>
        <w:t xml:space="preserve">Annexes 127 and 128 </w:t>
      </w:r>
      <w:r w:rsidR="00767570" w:rsidRPr="00892BAB">
        <w:t xml:space="preserve">to the project file. </w:t>
      </w:r>
      <w:r w:rsidR="0088745A">
        <w:t xml:space="preserve"> </w:t>
      </w:r>
      <w:r w:rsidR="00767570" w:rsidRPr="00892BAB">
        <w:t>The adopted amendments will be included in the 202</w:t>
      </w:r>
      <w:r w:rsidR="00767570">
        <w:t>6</w:t>
      </w:r>
      <w:r w:rsidR="00767570" w:rsidRPr="00892BAB">
        <w:t xml:space="preserve"> version of the Guidelines for Revision of </w:t>
      </w:r>
      <w:r w:rsidR="009E5CE3" w:rsidRPr="00892BAB">
        <w:t>the</w:t>
      </w:r>
      <w:r w:rsidR="009E5CE3">
        <w:t> </w:t>
      </w:r>
      <w:r w:rsidR="00767570" w:rsidRPr="00892BAB">
        <w:t>IPC.</w:t>
      </w:r>
    </w:p>
    <w:p w14:paraId="7EEB31B0" w14:textId="77777777" w:rsidR="00767570" w:rsidRDefault="00767570" w:rsidP="00767570"/>
    <w:p w14:paraId="18ACF8E3" w14:textId="7A3B65F8" w:rsidR="00767570" w:rsidRDefault="00644933" w:rsidP="00767570">
      <w:r>
        <w:t>36.</w:t>
      </w:r>
      <w:r w:rsidR="00767570">
        <w:tab/>
        <w:t xml:space="preserve">The Committee considered a proposal </w:t>
      </w:r>
      <w:r w:rsidR="00767570" w:rsidRPr="001A6BF3">
        <w:t>concerning the hyphenation of the expressions “first place” and “last place” in the standard wording of priority rules</w:t>
      </w:r>
      <w:r w:rsidR="00767570">
        <w:t xml:space="preserve"> used in the Guide and Guidelines and decided to maintain the current form without </w:t>
      </w:r>
      <w:r w:rsidR="00767570" w:rsidRPr="001A6BF3">
        <w:t>hyphenation</w:t>
      </w:r>
      <w:r w:rsidR="00767570">
        <w:t xml:space="preserve">. </w:t>
      </w:r>
      <w:r w:rsidR="007013FA">
        <w:t xml:space="preserve"> </w:t>
      </w:r>
      <w:r w:rsidR="00767570">
        <w:t>The Committee also invited the International Bureau to compile a comprehensive list of places where the expression</w:t>
      </w:r>
      <w:r w:rsidR="002F33F8">
        <w:t>s</w:t>
      </w:r>
      <w:r w:rsidR="00767570">
        <w:t xml:space="preserve"> of </w:t>
      </w:r>
      <w:r w:rsidR="002F33F8">
        <w:t xml:space="preserve">“first place </w:t>
      </w:r>
      <w:r w:rsidR="00767570" w:rsidRPr="001A6BF3">
        <w:t>priority rule</w:t>
      </w:r>
      <w:r w:rsidR="002F33F8">
        <w:t>” and “last place priority rule”</w:t>
      </w:r>
      <w:r w:rsidR="00767570">
        <w:t xml:space="preserve"> </w:t>
      </w:r>
      <w:r w:rsidR="002D6A0D">
        <w:t>appear</w:t>
      </w:r>
      <w:r w:rsidR="00767570">
        <w:t xml:space="preserve"> incomplete or inconsistent in the scheme and definitions, for consideration by the Working Group.</w:t>
      </w:r>
    </w:p>
    <w:p w14:paraId="2AAFE1A8" w14:textId="77777777" w:rsidR="00767570" w:rsidRDefault="00767570" w:rsidP="00767570"/>
    <w:p w14:paraId="3ED4D603" w14:textId="6DEE1A11" w:rsidR="00767570" w:rsidRDefault="00644933" w:rsidP="00767570">
      <w:r>
        <w:t>37.</w:t>
      </w:r>
      <w:r w:rsidR="00767570">
        <w:tab/>
        <w:t>In view of the approved hypothetical example of two informative references under subclass B60H in paragraph 40 of the Guidelines, the Committee noted that a proposal to incorporate these two refe</w:t>
      </w:r>
      <w:r w:rsidR="00FB6A8F">
        <w:t>re</w:t>
      </w:r>
      <w:r w:rsidR="00767570">
        <w:t>nces into the definition of subclass B60H would be submitted to the Working Group for its approval</w:t>
      </w:r>
      <w:r w:rsidR="00D53C5F">
        <w:t xml:space="preserve">. </w:t>
      </w:r>
      <w:r w:rsidR="00767570" w:rsidRPr="00F35977">
        <w:t xml:space="preserve"> Consequently, the term </w:t>
      </w:r>
      <w:r w:rsidR="00767570">
        <w:t>“</w:t>
      </w:r>
      <w:r w:rsidR="00767570" w:rsidRPr="00F35977">
        <w:t>hypothetical example</w:t>
      </w:r>
      <w:r w:rsidR="00767570">
        <w:t>”</w:t>
      </w:r>
      <w:r w:rsidR="00767570" w:rsidRPr="00F35977">
        <w:t xml:space="preserve"> would be removed from the Guidelines</w:t>
      </w:r>
      <w:r w:rsidR="00767570" w:rsidRPr="001B2DF9">
        <w:t>.</w:t>
      </w:r>
    </w:p>
    <w:p w14:paraId="0622F7C0" w14:textId="3FBDD788" w:rsidR="00767570" w:rsidRPr="00114699" w:rsidRDefault="00767570" w:rsidP="00986D84">
      <w:pPr>
        <w:pStyle w:val="Heading1"/>
      </w:pPr>
      <w:r w:rsidRPr="00114699">
        <w:t xml:space="preserve">INTEGRATION OF NEW EMERGING TECHNOLOGIES </w:t>
      </w:r>
      <w:r w:rsidR="00553F10">
        <w:t>(</w:t>
      </w:r>
      <w:r w:rsidR="00B54625">
        <w:t>NET</w:t>
      </w:r>
      <w:r w:rsidR="003E071A">
        <w:rPr>
          <w:caps w:val="0"/>
        </w:rPr>
        <w:t>s</w:t>
      </w:r>
      <w:r w:rsidR="00553F10">
        <w:t>)</w:t>
      </w:r>
      <w:r w:rsidR="00B54625">
        <w:t xml:space="preserve"> </w:t>
      </w:r>
      <w:r w:rsidRPr="00114699">
        <w:t xml:space="preserve">INTO THE IPC </w:t>
      </w:r>
      <w:r w:rsidR="00D60DC2" w:rsidRPr="00114699">
        <w:t>REVISION</w:t>
      </w:r>
      <w:r w:rsidR="00D60DC2">
        <w:t> </w:t>
      </w:r>
      <w:r w:rsidRPr="00114699">
        <w:t>ROADMAP</w:t>
      </w:r>
    </w:p>
    <w:p w14:paraId="06873F3E" w14:textId="0DD6F65F" w:rsidR="00767570" w:rsidRDefault="00B520D4" w:rsidP="00767570">
      <w:r>
        <w:t>38.</w:t>
      </w:r>
      <w:r w:rsidR="00767570">
        <w:tab/>
        <w:t xml:space="preserve">Discussions were based on Annex 7 </w:t>
      </w:r>
      <w:r w:rsidR="00767570" w:rsidRPr="00233633">
        <w:t xml:space="preserve">to project </w:t>
      </w:r>
      <w:hyperlink r:id="rId22" w:history="1">
        <w:r w:rsidR="00767570">
          <w:rPr>
            <w:rStyle w:val="Hyperlink"/>
          </w:rPr>
          <w:t>CE 551</w:t>
        </w:r>
      </w:hyperlink>
      <w:r w:rsidR="00767570">
        <w:t>, prepared by the International Bureau, containing a proposal on d</w:t>
      </w:r>
      <w:r w:rsidR="00767570" w:rsidRPr="00233633">
        <w:t xml:space="preserve">eveloping an IPC NET Catalogue and its </w:t>
      </w:r>
      <w:r w:rsidR="00767570">
        <w:t>p</w:t>
      </w:r>
      <w:r w:rsidR="00767570" w:rsidRPr="00233633">
        <w:t xml:space="preserve">ossible </w:t>
      </w:r>
      <w:r w:rsidR="00767570">
        <w:t>i</w:t>
      </w:r>
      <w:r w:rsidR="00767570" w:rsidRPr="00233633">
        <w:t>ntegration into the IPC Revision Roadmap</w:t>
      </w:r>
      <w:r w:rsidR="00767570">
        <w:t xml:space="preserve">. </w:t>
      </w:r>
    </w:p>
    <w:p w14:paraId="3C49C331" w14:textId="77777777" w:rsidR="00767570" w:rsidRDefault="00767570" w:rsidP="00767570"/>
    <w:p w14:paraId="0D91F3BC" w14:textId="02B0627F" w:rsidR="00767570" w:rsidRDefault="00B520D4" w:rsidP="00767570">
      <w:r>
        <w:t>39.</w:t>
      </w:r>
      <w:r w:rsidR="00767570">
        <w:tab/>
        <w:t>The Committee recalled its general agreement with the concept of an initial proposal by the International Bureau at its 55</w:t>
      </w:r>
      <w:r w:rsidR="00767570" w:rsidRPr="000E3FEF">
        <w:rPr>
          <w:vertAlign w:val="superscript"/>
        </w:rPr>
        <w:t>th</w:t>
      </w:r>
      <w:r w:rsidR="00767570">
        <w:t xml:space="preserve"> session aimed at enhancing the</w:t>
      </w:r>
      <w:r w:rsidR="00767570" w:rsidRPr="000E3FEF">
        <w:t xml:space="preserve"> transparency and visibility of the NETs in the context of the </w:t>
      </w:r>
      <w:r w:rsidR="00767570">
        <w:t>Revision Roadmap and</w:t>
      </w:r>
      <w:r w:rsidR="00CD3440">
        <w:t>,</w:t>
      </w:r>
      <w:r w:rsidR="00767570">
        <w:t xml:space="preserve"> c</w:t>
      </w:r>
      <w:r w:rsidR="00767570" w:rsidRPr="000E3FEF">
        <w:t xml:space="preserve">onsequently, </w:t>
      </w:r>
      <w:r w:rsidR="00767570">
        <w:t xml:space="preserve">this approach </w:t>
      </w:r>
      <w:r w:rsidR="00767570" w:rsidRPr="000E3FEF">
        <w:t>would help visualize the revision activities by the Working Group in the NET</w:t>
      </w:r>
      <w:r w:rsidR="00767570">
        <w:t>-</w:t>
      </w:r>
      <w:r w:rsidR="00767570" w:rsidRPr="000E3FEF">
        <w:t>related areas.</w:t>
      </w:r>
      <w:r w:rsidR="00767570">
        <w:t xml:space="preserve"> </w:t>
      </w:r>
      <w:r w:rsidR="001913ED">
        <w:t xml:space="preserve"> </w:t>
      </w:r>
      <w:r w:rsidR="00767570">
        <w:t xml:space="preserve">At the same time, the Committee noted certain concerns previously expressed regarding two divergent points of view: </w:t>
      </w:r>
      <w:r w:rsidR="001913ED">
        <w:t xml:space="preserve"> </w:t>
      </w:r>
      <w:r w:rsidR="00767570">
        <w:t xml:space="preserve">first, </w:t>
      </w:r>
      <w:r w:rsidR="00767570" w:rsidRPr="000E3FEF">
        <w:t>the possible mis-categorization of NETs in the absence of objective criteria for their identification</w:t>
      </w:r>
      <w:r w:rsidR="00767570">
        <w:t xml:space="preserve">; </w:t>
      </w:r>
      <w:r w:rsidR="00C05CB9">
        <w:t xml:space="preserve"> </w:t>
      </w:r>
      <w:r w:rsidR="00767570">
        <w:t>and</w:t>
      </w:r>
      <w:r w:rsidR="00225260">
        <w:t>,</w:t>
      </w:r>
      <w:r w:rsidR="00767570">
        <w:t xml:space="preserve"> second, </w:t>
      </w:r>
      <w:r w:rsidR="00767570" w:rsidRPr="000E3FEF">
        <w:t xml:space="preserve">whether it </w:t>
      </w:r>
      <w:r w:rsidR="00767570">
        <w:t xml:space="preserve">would be </w:t>
      </w:r>
      <w:r w:rsidR="00767570" w:rsidRPr="000E3FEF">
        <w:t>worth</w:t>
      </w:r>
      <w:r w:rsidR="00767570">
        <w:t>while</w:t>
      </w:r>
      <w:r w:rsidR="00767570" w:rsidRPr="000E3FEF">
        <w:t xml:space="preserve"> </w:t>
      </w:r>
      <w:r w:rsidR="00767570">
        <w:t>to invest significant</w:t>
      </w:r>
      <w:r w:rsidR="00767570" w:rsidRPr="000E3FEF">
        <w:t xml:space="preserve"> effort in developing potential objective criteria for NET identification, </w:t>
      </w:r>
      <w:r w:rsidR="00767570">
        <w:t xml:space="preserve">given that such criteria would be </w:t>
      </w:r>
      <w:r w:rsidR="00767570" w:rsidRPr="000E3FEF">
        <w:t xml:space="preserve">indicative, </w:t>
      </w:r>
      <w:r w:rsidR="00767570">
        <w:t>rather than</w:t>
      </w:r>
      <w:r w:rsidR="00767570" w:rsidRPr="000E3FEF">
        <w:t xml:space="preserve"> binding.</w:t>
      </w:r>
    </w:p>
    <w:p w14:paraId="35E7CCAD" w14:textId="77777777" w:rsidR="00767570" w:rsidRDefault="00767570" w:rsidP="00767570"/>
    <w:p w14:paraId="15B59675" w14:textId="5C09B3C2" w:rsidR="00C34924" w:rsidRDefault="00B520D4">
      <w:r>
        <w:t>40.</w:t>
      </w:r>
      <w:r w:rsidR="00767570">
        <w:tab/>
        <w:t xml:space="preserve">The Committee noted that the International Bureau, in its proposal presented in Annex 7, had put forward an IPC NET Catalogue comprising 11 top-level NET categories. </w:t>
      </w:r>
      <w:r w:rsidR="00133488">
        <w:t xml:space="preserve"> </w:t>
      </w:r>
      <w:r w:rsidR="00767570">
        <w:t>These categories were based on the commonly agree</w:t>
      </w:r>
      <w:r w:rsidR="00133488">
        <w:t>d</w:t>
      </w:r>
      <w:r w:rsidR="00767570">
        <w:t xml:space="preserve"> definition of NETs, their key defining features, such as novelty, rapid growth, </w:t>
      </w:r>
      <w:r w:rsidR="00767570" w:rsidRPr="00CD6CDF">
        <w:t>characteristics</w:t>
      </w:r>
      <w:r w:rsidR="00767570">
        <w:t xml:space="preserve"> and </w:t>
      </w:r>
      <w:r w:rsidR="00767570" w:rsidRPr="003330DC">
        <w:t xml:space="preserve">supporting evidence deriving from the </w:t>
      </w:r>
      <w:r w:rsidR="00C34924">
        <w:br/>
      </w:r>
      <w:r w:rsidR="00C34924">
        <w:br w:type="page"/>
      </w:r>
    </w:p>
    <w:p w14:paraId="62C64566" w14:textId="366D9CDF" w:rsidR="00767570" w:rsidRDefault="00767570" w:rsidP="00767570">
      <w:r w:rsidRPr="003330DC">
        <w:lastRenderedPageBreak/>
        <w:t xml:space="preserve">statistical analysis of the IPC Revision Roadmap Candidates data and, as </w:t>
      </w:r>
      <w:r>
        <w:t>well as</w:t>
      </w:r>
      <w:r w:rsidR="00313EF2">
        <w:t>,</w:t>
      </w:r>
      <w:r>
        <w:t xml:space="preserve"> where </w:t>
      </w:r>
      <w:r w:rsidRPr="003330DC">
        <w:t>appropriate, AI-based analytical approaches</w:t>
      </w:r>
      <w:r>
        <w:t xml:space="preserve"> and technical experts</w:t>
      </w:r>
      <w:r w:rsidR="002714C5">
        <w:t>’</w:t>
      </w:r>
      <w:r>
        <w:t xml:space="preserve"> review at a later stage</w:t>
      </w:r>
      <w:r w:rsidRPr="003330DC">
        <w:t xml:space="preserve">. </w:t>
      </w:r>
      <w:r>
        <w:t xml:space="preserve"> The Committee further noted certain indicative and non-exhaustive sub-categories, associated with IPC places, were also proposed within each of the 11 top-level categories.  </w:t>
      </w:r>
    </w:p>
    <w:p w14:paraId="33402E57" w14:textId="7B421302" w:rsidR="00767570" w:rsidRDefault="00767570" w:rsidP="00767570"/>
    <w:p w14:paraId="403E9E8A" w14:textId="4034B240" w:rsidR="00767570" w:rsidRDefault="00B520D4" w:rsidP="00767570">
      <w:r>
        <w:t>4</w:t>
      </w:r>
      <w:r w:rsidR="000C780D">
        <w:t>1</w:t>
      </w:r>
      <w:r>
        <w:t>.</w:t>
      </w:r>
      <w:r w:rsidR="00767570">
        <w:tab/>
      </w:r>
      <w:r w:rsidR="00767570" w:rsidRPr="00A52014">
        <w:t xml:space="preserve">The Committee </w:t>
      </w:r>
      <w:r w:rsidR="00767570">
        <w:t xml:space="preserve">welcomed the proposal and expressed </w:t>
      </w:r>
      <w:r w:rsidR="00C47D61">
        <w:t xml:space="preserve">appreciation </w:t>
      </w:r>
      <w:r w:rsidR="00767570">
        <w:t>for the Internation</w:t>
      </w:r>
      <w:r w:rsidR="00A31065">
        <w:t>al</w:t>
      </w:r>
      <w:r w:rsidR="00767570">
        <w:t xml:space="preserve"> Bureau</w:t>
      </w:r>
      <w:r w:rsidR="002714C5">
        <w:t>’</w:t>
      </w:r>
      <w:r w:rsidR="00767570">
        <w:t>s efforts and engaged</w:t>
      </w:r>
      <w:r w:rsidR="00767570" w:rsidRPr="00A52014">
        <w:t xml:space="preserve"> in depth </w:t>
      </w:r>
      <w:r w:rsidR="00767570">
        <w:t>discussion on the IPC NET Catalogue, including its</w:t>
      </w:r>
      <w:r w:rsidR="00767570" w:rsidRPr="00A52014">
        <w:t xml:space="preserve"> </w:t>
      </w:r>
      <w:r w:rsidR="00767570">
        <w:t xml:space="preserve">potential </w:t>
      </w:r>
      <w:r w:rsidR="00767570" w:rsidRPr="00A52014">
        <w:t xml:space="preserve">integration into the IPC Revision Roadmap. </w:t>
      </w:r>
    </w:p>
    <w:p w14:paraId="0FD932C6" w14:textId="77777777" w:rsidR="00767570" w:rsidRDefault="00767570" w:rsidP="00767570"/>
    <w:p w14:paraId="7F0651F1" w14:textId="6306D2B6" w:rsidR="00767570" w:rsidRDefault="00B520D4" w:rsidP="00767570">
      <w:r>
        <w:t>4</w:t>
      </w:r>
      <w:r w:rsidR="000C780D">
        <w:t>2</w:t>
      </w:r>
      <w:r>
        <w:t>.</w:t>
      </w:r>
      <w:r w:rsidR="00767570">
        <w:tab/>
      </w:r>
      <w:r w:rsidR="00767570" w:rsidRPr="00A52014">
        <w:t xml:space="preserve">The Committee </w:t>
      </w:r>
      <w:r w:rsidR="00767570">
        <w:t xml:space="preserve">approved the </w:t>
      </w:r>
      <w:r w:rsidR="00767570" w:rsidRPr="00A52014">
        <w:t>proposal</w:t>
      </w:r>
      <w:r w:rsidR="00767570">
        <w:t xml:space="preserve"> of the IPC NET Catalogue comprising 11 top-level categories and invited further refinement of the sub-categories and their corresponding </w:t>
      </w:r>
      <w:r w:rsidR="00D04069">
        <w:t>IPC </w:t>
      </w:r>
      <w:r w:rsidR="00767570">
        <w:t xml:space="preserve">places.  In view of the rapid development of the NETs, the Committee agreed that the IPC NET Catalogue should be </w:t>
      </w:r>
      <w:r w:rsidR="00767570" w:rsidRPr="00A52014">
        <w:t>updated and communicated in a flexible manner</w:t>
      </w:r>
      <w:r w:rsidR="00767570">
        <w:t xml:space="preserve">, </w:t>
      </w:r>
      <w:r w:rsidR="00767570" w:rsidRPr="001A4C06">
        <w:t>for example twice a year in alignment with updates to the IPC Revision Roadmap candidates, or more frequently where appropriate</w:t>
      </w:r>
      <w:r w:rsidR="00767570">
        <w:t xml:space="preserve">. </w:t>
      </w:r>
      <w:r w:rsidR="00DA4665">
        <w:t xml:space="preserve"> </w:t>
      </w:r>
      <w:r w:rsidR="00767570">
        <w:t xml:space="preserve">This would also ensure </w:t>
      </w:r>
      <w:r w:rsidR="00767570" w:rsidRPr="00A52014">
        <w:t xml:space="preserve">that the IPC remains responsive to rapidly </w:t>
      </w:r>
      <w:r w:rsidR="00DA4665" w:rsidRPr="00A52014">
        <w:t>evolving</w:t>
      </w:r>
      <w:r w:rsidR="00DA4665">
        <w:t> </w:t>
      </w:r>
      <w:r w:rsidR="00767570" w:rsidRPr="00A52014">
        <w:t>technologies</w:t>
      </w:r>
      <w:r w:rsidR="00767570">
        <w:t xml:space="preserve">. </w:t>
      </w:r>
    </w:p>
    <w:p w14:paraId="6DF45844" w14:textId="77777777" w:rsidR="00767570" w:rsidRDefault="00767570" w:rsidP="00767570"/>
    <w:p w14:paraId="3082989E" w14:textId="0FB52AC2" w:rsidR="00767570" w:rsidRDefault="00B520D4" w:rsidP="00767570">
      <w:r>
        <w:t>4</w:t>
      </w:r>
      <w:r w:rsidR="000C780D">
        <w:t>3</w:t>
      </w:r>
      <w:r>
        <w:t>.</w:t>
      </w:r>
      <w:r w:rsidR="00767570">
        <w:tab/>
        <w:t xml:space="preserve">The Committee further decided to integrate </w:t>
      </w:r>
      <w:r w:rsidR="00DA4665">
        <w:t xml:space="preserve">the </w:t>
      </w:r>
      <w:r w:rsidR="00767570">
        <w:t>IPC NET Catalogue, including its sub-categories and corresponding IPC places</w:t>
      </w:r>
      <w:r w:rsidR="00DA4665">
        <w:t>,</w:t>
      </w:r>
      <w:r w:rsidR="00767570">
        <w:t xml:space="preserve"> into the </w:t>
      </w:r>
      <w:r w:rsidR="002F33F8">
        <w:t xml:space="preserve">existing Excel file used for the IPC Revision Roadmap candidates under project </w:t>
      </w:r>
      <w:hyperlink r:id="rId23" w:history="1">
        <w:r w:rsidR="002F33F8">
          <w:rPr>
            <w:rStyle w:val="Hyperlink"/>
          </w:rPr>
          <w:t>CE 456</w:t>
        </w:r>
      </w:hyperlink>
      <w:r w:rsidR="002F33F8">
        <w:t xml:space="preserve">. </w:t>
      </w:r>
      <w:r w:rsidR="003F3D2E">
        <w:t xml:space="preserve"> </w:t>
      </w:r>
      <w:r w:rsidR="002F33F8" w:rsidRPr="00D5778F">
        <w:t xml:space="preserve">To that end, the Excel file </w:t>
      </w:r>
      <w:r w:rsidR="002F33F8">
        <w:t>w</w:t>
      </w:r>
      <w:r w:rsidR="002F33F8" w:rsidRPr="00D5778F">
        <w:t>ill be expanded to include a separate tab dedicated to the IPC NET Catalogue</w:t>
      </w:r>
      <w:r w:rsidR="00130C70">
        <w:t>.</w:t>
      </w:r>
      <w:r w:rsidR="00767570">
        <w:t xml:space="preserve">  </w:t>
      </w:r>
      <w:r w:rsidR="00767570" w:rsidRPr="00A52014">
        <w:t xml:space="preserve">The Committee agreed that </w:t>
      </w:r>
      <w:r w:rsidR="00767570">
        <w:t>the IPC NET Catalogue would facilitate early tagging of NET-related subject matter, enhance</w:t>
      </w:r>
      <w:r w:rsidR="00767570" w:rsidRPr="006C49D6">
        <w:t xml:space="preserve"> the visibility and transparency of </w:t>
      </w:r>
      <w:r w:rsidR="00767570">
        <w:t>NET trends within the IPC revision program and support more evidence-based prioritization of future IPC revisions</w:t>
      </w:r>
      <w:r w:rsidR="00767570" w:rsidRPr="006C49D6">
        <w:t>.</w:t>
      </w:r>
      <w:r w:rsidR="00767570">
        <w:t xml:space="preserve"> </w:t>
      </w:r>
      <w:r w:rsidR="00DA4665">
        <w:t xml:space="preserve"> </w:t>
      </w:r>
      <w:r w:rsidR="00767570">
        <w:t xml:space="preserve">At the same time, the Catalogue would remain non-binding and serve only as </w:t>
      </w:r>
      <w:r w:rsidR="00DA4665">
        <w:t>indicative </w:t>
      </w:r>
      <w:r w:rsidR="00767570">
        <w:t>information.</w:t>
      </w:r>
    </w:p>
    <w:p w14:paraId="4608B88B" w14:textId="77777777" w:rsidR="00767570" w:rsidRDefault="00767570" w:rsidP="00767570"/>
    <w:p w14:paraId="1D25A7DD" w14:textId="66B8E538" w:rsidR="00767570" w:rsidRDefault="00B520D4" w:rsidP="00767570">
      <w:pPr>
        <w:rPr>
          <w:b/>
          <w:bCs/>
        </w:rPr>
      </w:pPr>
      <w:r>
        <w:t>4</w:t>
      </w:r>
      <w:r w:rsidR="000C780D">
        <w:t>4</w:t>
      </w:r>
      <w:r>
        <w:t>.</w:t>
      </w:r>
      <w:r w:rsidR="00767570">
        <w:tab/>
      </w:r>
      <w:r w:rsidR="00767570" w:rsidRPr="006C49D6">
        <w:t xml:space="preserve">The Committee agreed that, </w:t>
      </w:r>
      <w:r w:rsidR="00767570">
        <w:t>upon its readiness</w:t>
      </w:r>
      <w:r w:rsidR="00767570" w:rsidRPr="006C49D6">
        <w:t xml:space="preserve">, the International Bureau would prepare a document presenting the </w:t>
      </w:r>
      <w:r w:rsidR="00767570">
        <w:t>IPC NET Catalogue</w:t>
      </w:r>
      <w:r w:rsidR="00767570" w:rsidRPr="006C49D6">
        <w:t xml:space="preserve"> in a format suitable for public access on the </w:t>
      </w:r>
      <w:r w:rsidR="00FC5BA3" w:rsidRPr="006C49D6">
        <w:t>WIPO</w:t>
      </w:r>
      <w:r w:rsidR="00FC5BA3">
        <w:t> </w:t>
      </w:r>
      <w:r w:rsidR="00767570" w:rsidRPr="006C49D6">
        <w:t xml:space="preserve">website to facilitate broader awareness and understanding of emerging </w:t>
      </w:r>
      <w:r w:rsidR="002D6A0D" w:rsidRPr="006C49D6">
        <w:t>technolog</w:t>
      </w:r>
      <w:r w:rsidR="002D6A0D">
        <w:t>ical</w:t>
      </w:r>
      <w:r w:rsidR="00767570" w:rsidRPr="006C49D6">
        <w:t xml:space="preserve"> trends relevant to the IPC.</w:t>
      </w:r>
    </w:p>
    <w:p w14:paraId="48A5812E" w14:textId="77777777" w:rsidR="00767570" w:rsidRPr="00114699" w:rsidRDefault="00767570" w:rsidP="00A975DA">
      <w:pPr>
        <w:pStyle w:val="Heading1"/>
      </w:pPr>
      <w:r w:rsidRPr="00114699">
        <w:t>SECONDARY CLASSIFICATION AND INDEXING SCHEMES IN THE IPC</w:t>
      </w:r>
    </w:p>
    <w:p w14:paraId="1059AEE2" w14:textId="16D938F4" w:rsidR="00767570" w:rsidRDefault="00B520D4" w:rsidP="00767570">
      <w:r>
        <w:t>4</w:t>
      </w:r>
      <w:r w:rsidR="000C780D">
        <w:t>5</w:t>
      </w:r>
      <w:r>
        <w:t>.</w:t>
      </w:r>
      <w:r w:rsidR="00767570">
        <w:tab/>
        <w:t xml:space="preserve">Discussions were based on rapporteur proposals prepared by China and comments from Brazil, the EPO and Germany, regarding the role of secondary classification and indexing schemes within the IPC framework (see Annexes 17 to 22 to project </w:t>
      </w:r>
      <w:hyperlink r:id="rId24" w:history="1">
        <w:r w:rsidR="00767570">
          <w:rPr>
            <w:rStyle w:val="Hyperlink"/>
          </w:rPr>
          <w:t>CE 552</w:t>
        </w:r>
      </w:hyperlink>
      <w:r w:rsidR="00767570">
        <w:t xml:space="preserve">). </w:t>
      </w:r>
    </w:p>
    <w:p w14:paraId="295094A2" w14:textId="77777777" w:rsidR="00767570" w:rsidRDefault="00767570" w:rsidP="00767570"/>
    <w:p w14:paraId="5B96E087" w14:textId="40AE866E" w:rsidR="00767570" w:rsidRDefault="00B520D4" w:rsidP="00767570">
      <w:r>
        <w:t>4</w:t>
      </w:r>
      <w:r w:rsidR="000C780D">
        <w:t>6</w:t>
      </w:r>
      <w:r>
        <w:t>.</w:t>
      </w:r>
      <w:r w:rsidR="00767570">
        <w:tab/>
        <w:t>The Committee recalled earlier work undertaking to clarify the function and presentation of supplementary classification mechanisms and their relationship to the classification scheme.</w:t>
      </w:r>
    </w:p>
    <w:p w14:paraId="523A1F80" w14:textId="77777777" w:rsidR="00767570" w:rsidRDefault="00767570" w:rsidP="00767570"/>
    <w:p w14:paraId="46307F5F" w14:textId="6CE7CFD0" w:rsidR="00767570" w:rsidRDefault="00494503" w:rsidP="00767570">
      <w:r>
        <w:t>4</w:t>
      </w:r>
      <w:r w:rsidR="000C780D">
        <w:t>7</w:t>
      </w:r>
      <w:r>
        <w:t>.</w:t>
      </w:r>
      <w:r w:rsidR="00767570">
        <w:tab/>
        <w:t xml:space="preserve">The Committee emphasized that secondary classification schemes and indexing schemes should support the effective use of the IPC. </w:t>
      </w:r>
    </w:p>
    <w:p w14:paraId="51A5AC70" w14:textId="77777777" w:rsidR="00767570" w:rsidRDefault="00767570" w:rsidP="00767570"/>
    <w:p w14:paraId="4D9341AB" w14:textId="1D1688C8" w:rsidR="00767570" w:rsidRPr="000F3C5D" w:rsidRDefault="00494503" w:rsidP="00767570">
      <w:r>
        <w:t>4</w:t>
      </w:r>
      <w:r w:rsidR="000C780D">
        <w:t>8</w:t>
      </w:r>
      <w:r>
        <w:t>.</w:t>
      </w:r>
      <w:r w:rsidR="00767570">
        <w:tab/>
        <w:t xml:space="preserve">The Committee approved the proposed </w:t>
      </w:r>
      <w:r w:rsidR="002F33F8">
        <w:t xml:space="preserve">table providing guidance about </w:t>
      </w:r>
      <w:r w:rsidR="00767570">
        <w:t xml:space="preserve">secondary classification schemes contained in Annex 22 and decided that it would replace the </w:t>
      </w:r>
      <w:r w:rsidR="002F33F8">
        <w:t>table</w:t>
      </w:r>
      <w:r w:rsidR="00767570">
        <w:t xml:space="preserve"> currently set out in paragraph 107</w:t>
      </w:r>
      <w:r w:rsidR="00767570" w:rsidRPr="00362590">
        <w:rPr>
          <w:i/>
        </w:rPr>
        <w:t>bis</w:t>
      </w:r>
      <w:r w:rsidR="00767570">
        <w:t xml:space="preserve"> of the Guide (see </w:t>
      </w:r>
      <w:r w:rsidR="00767570" w:rsidRPr="000F3C5D">
        <w:t xml:space="preserve">paragraph 31 above). </w:t>
      </w:r>
    </w:p>
    <w:p w14:paraId="1CD831FF" w14:textId="77777777" w:rsidR="00767570" w:rsidRPr="000F3C5D" w:rsidRDefault="00767570" w:rsidP="00767570"/>
    <w:p w14:paraId="254B1504" w14:textId="1E3B8A34" w:rsidR="00767570" w:rsidRPr="003C2562" w:rsidRDefault="000C780D" w:rsidP="00362590">
      <w:pPr>
        <w:pStyle w:val="Exampleunder1symbol"/>
        <w:tabs>
          <w:tab w:val="clear" w:pos="1701"/>
          <w:tab w:val="left" w:pos="567"/>
        </w:tabs>
        <w:ind w:left="0" w:firstLine="0"/>
        <w:rPr>
          <w:lang w:val="en-GB"/>
        </w:rPr>
      </w:pPr>
      <w:r>
        <w:rPr>
          <w:color w:val="auto"/>
        </w:rPr>
        <w:t>49</w:t>
      </w:r>
      <w:r w:rsidR="00494503">
        <w:rPr>
          <w:color w:val="auto"/>
        </w:rPr>
        <w:t>.</w:t>
      </w:r>
      <w:r w:rsidR="00767570" w:rsidRPr="000F3C5D">
        <w:rPr>
          <w:color w:val="auto"/>
        </w:rPr>
        <w:tab/>
        <w:t>The Committee further approved, with some modifications, the proposed list of indexing schemes contained in Annex 20 (see paragraph 31 above</w:t>
      </w:r>
      <w:r w:rsidR="00767570">
        <w:t xml:space="preserve">). </w:t>
      </w:r>
      <w:r w:rsidR="00DC04B9">
        <w:t xml:space="preserve"> </w:t>
      </w:r>
      <w:r w:rsidR="00767570">
        <w:t xml:space="preserve">The Committee decided that this list would be made </w:t>
      </w:r>
      <w:r w:rsidR="00767570" w:rsidRPr="001812CC">
        <w:t xml:space="preserve">accessible </w:t>
      </w:r>
      <w:r w:rsidR="00767570">
        <w:t>through</w:t>
      </w:r>
      <w:r w:rsidR="00767570" w:rsidRPr="001812CC">
        <w:t xml:space="preserve"> the IPC Publication on the WIPO website</w:t>
      </w:r>
      <w:r w:rsidR="00767570">
        <w:t xml:space="preserve">. </w:t>
      </w:r>
    </w:p>
    <w:p w14:paraId="4C71F067" w14:textId="77777777" w:rsidR="00767570" w:rsidRPr="001812CC" w:rsidRDefault="00767570" w:rsidP="00767570">
      <w:pPr>
        <w:rPr>
          <w:lang w:val="en-GB"/>
        </w:rPr>
      </w:pPr>
    </w:p>
    <w:p w14:paraId="4A2070DD" w14:textId="66B9D11D" w:rsidR="00767570" w:rsidRDefault="00494503" w:rsidP="00767570">
      <w:r>
        <w:t>5</w:t>
      </w:r>
      <w:r w:rsidR="000C780D">
        <w:t>0</w:t>
      </w:r>
      <w:r>
        <w:t>.</w:t>
      </w:r>
      <w:r w:rsidR="00767570">
        <w:tab/>
      </w:r>
      <w:r w:rsidR="00767570" w:rsidRPr="00A52014">
        <w:t xml:space="preserve">In this context, the Committee </w:t>
      </w:r>
      <w:r w:rsidR="00767570">
        <w:t>decided to create</w:t>
      </w:r>
      <w:r w:rsidR="00767570" w:rsidRPr="00A52014">
        <w:t xml:space="preserve"> a new </w:t>
      </w:r>
      <w:r w:rsidR="00767570">
        <w:t xml:space="preserve">maintenance </w:t>
      </w:r>
      <w:r w:rsidR="00767570" w:rsidRPr="00A52014">
        <w:t xml:space="preserve">project </w:t>
      </w:r>
      <w:hyperlink r:id="rId25" w:history="1">
        <w:r w:rsidR="00767570">
          <w:rPr>
            <w:rStyle w:val="Hyperlink"/>
          </w:rPr>
          <w:t>M 850</w:t>
        </w:r>
      </w:hyperlink>
      <w:r w:rsidR="00767570">
        <w:t>, with Germany as Rapporteur,</w:t>
      </w:r>
      <w:r w:rsidR="00767570" w:rsidRPr="00A52014">
        <w:t xml:space="preserve"> to </w:t>
      </w:r>
      <w:r w:rsidR="00767570">
        <w:t>r</w:t>
      </w:r>
      <w:r w:rsidR="00767570" w:rsidRPr="001A4A3D">
        <w:t xml:space="preserve">eview </w:t>
      </w:r>
      <w:r w:rsidR="00767570" w:rsidRPr="00FE7D70">
        <w:t xml:space="preserve">notes </w:t>
      </w:r>
      <w:r w:rsidR="00767570">
        <w:t>referring</w:t>
      </w:r>
      <w:r w:rsidR="00767570" w:rsidRPr="00FE7D70">
        <w:t xml:space="preserve"> to indexing schemes </w:t>
      </w:r>
      <w:r w:rsidR="00767570" w:rsidRPr="001A4A3D">
        <w:t>in the IPC scheme and definitions</w:t>
      </w:r>
      <w:r w:rsidR="00767570">
        <w:t>.</w:t>
      </w:r>
    </w:p>
    <w:p w14:paraId="60E08F89" w14:textId="77777777" w:rsidR="00767570" w:rsidRDefault="00767570" w:rsidP="00767570">
      <w:pPr>
        <w:rPr>
          <w:b/>
          <w:bCs/>
        </w:rPr>
      </w:pPr>
    </w:p>
    <w:p w14:paraId="5996B922" w14:textId="491CFC51" w:rsidR="00767570" w:rsidRDefault="00494503" w:rsidP="00767570">
      <w:r>
        <w:lastRenderedPageBreak/>
        <w:t>5</w:t>
      </w:r>
      <w:r w:rsidR="000C780D">
        <w:t>1</w:t>
      </w:r>
      <w:r>
        <w:t>.</w:t>
      </w:r>
      <w:r w:rsidR="00767570">
        <w:tab/>
        <w:t xml:space="preserve">The Committee expressed appreciation to China, as Rapporteur of this project, as well as to all commenting offices, for the considerable efforts contributed to this final achievement and concluded that project </w:t>
      </w:r>
      <w:hyperlink r:id="rId26" w:history="1">
        <w:r w:rsidR="00767570">
          <w:rPr>
            <w:rStyle w:val="Hyperlink"/>
          </w:rPr>
          <w:t>CE 552</w:t>
        </w:r>
      </w:hyperlink>
      <w:r w:rsidR="00767570">
        <w:t xml:space="preserve"> would be considered completed.</w:t>
      </w:r>
    </w:p>
    <w:p w14:paraId="064927F2" w14:textId="77777777" w:rsidR="00767570" w:rsidRPr="00114699" w:rsidRDefault="00767570" w:rsidP="00A975DA">
      <w:pPr>
        <w:pStyle w:val="Heading1"/>
      </w:pPr>
      <w:r w:rsidRPr="00114699">
        <w:t>RECLASSIFICATION STATUS REPORT AND RELATED ISSUES</w:t>
      </w:r>
    </w:p>
    <w:p w14:paraId="3F8E132E" w14:textId="30875D3F" w:rsidR="00767570" w:rsidRDefault="00494503" w:rsidP="00767570">
      <w:r>
        <w:t>5</w:t>
      </w:r>
      <w:r w:rsidR="000C780D">
        <w:t>2</w:t>
      </w:r>
      <w:r>
        <w:t>.</w:t>
      </w:r>
      <w:r w:rsidR="00767570">
        <w:tab/>
        <w:t xml:space="preserve">The Committee considered reports on the status of IPC reclassification activities under projects </w:t>
      </w:r>
      <w:hyperlink r:id="rId27" w:history="1">
        <w:r w:rsidR="00767570">
          <w:rPr>
            <w:rStyle w:val="Hyperlink"/>
          </w:rPr>
          <w:t>CE 532</w:t>
        </w:r>
      </w:hyperlink>
      <w:r w:rsidR="00767570">
        <w:t xml:space="preserve"> and </w:t>
      </w:r>
      <w:hyperlink r:id="rId28" w:history="1">
        <w:r w:rsidR="00767570">
          <w:rPr>
            <w:rStyle w:val="Hyperlink"/>
          </w:rPr>
          <w:t>CE 562</w:t>
        </w:r>
      </w:hyperlink>
      <w:r w:rsidR="00767570">
        <w:t xml:space="preserve">. </w:t>
      </w:r>
      <w:r w:rsidR="004C32B0">
        <w:t xml:space="preserve"> </w:t>
      </w:r>
      <w:r w:rsidR="00767570">
        <w:t>The reports provided an overview of progress achieved since the previous session, the volume of remaining reclassification work and the distribution of reclassification activities across technical fields.</w:t>
      </w:r>
    </w:p>
    <w:p w14:paraId="77E67B50" w14:textId="77777777" w:rsidR="00767570" w:rsidRDefault="00767570" w:rsidP="00767570"/>
    <w:p w14:paraId="4882A241" w14:textId="601F35B7" w:rsidR="00767570" w:rsidRDefault="00494503" w:rsidP="00767570">
      <w:r>
        <w:t>5</w:t>
      </w:r>
      <w:r w:rsidR="000C780D">
        <w:t>3</w:t>
      </w:r>
      <w:r>
        <w:t>.</w:t>
      </w:r>
      <w:r w:rsidR="00767570">
        <w:tab/>
        <w:t xml:space="preserve">The discussion addressed challenges associated with large-scale reclassification, particularly in areas affected by major structural revisions. </w:t>
      </w:r>
      <w:r w:rsidR="004C32B0">
        <w:t xml:space="preserve"> </w:t>
      </w:r>
      <w:r w:rsidR="00767570">
        <w:t>Several delegations highlighted differences in reclassification approaches among offices and the importance of maintaining consistency and reliability of classification data across the IPC.</w:t>
      </w:r>
    </w:p>
    <w:p w14:paraId="37D53D2D" w14:textId="77777777" w:rsidR="00767570" w:rsidRDefault="00767570" w:rsidP="00767570"/>
    <w:p w14:paraId="56976995" w14:textId="04693C4E" w:rsidR="00767570" w:rsidRDefault="00494503" w:rsidP="00767570">
      <w:r>
        <w:t>5</w:t>
      </w:r>
      <w:r w:rsidR="000C780D">
        <w:t>4</w:t>
      </w:r>
      <w:r>
        <w:t>.</w:t>
      </w:r>
      <w:r w:rsidR="00767570">
        <w:tab/>
        <w:t xml:space="preserve">The Committee discussed the increasing use of automation and AI-assisted tools to support reclassification activities. </w:t>
      </w:r>
      <w:r w:rsidR="001C7C7C">
        <w:t xml:space="preserve"> </w:t>
      </w:r>
      <w:r w:rsidR="00767570">
        <w:t>While recognizing the potential of such tools to improve efficiency and manage workload, the Committee stressed the importance of appropriate quality control, transparency and human oversight in reclassification processes.</w:t>
      </w:r>
    </w:p>
    <w:p w14:paraId="20214CA8" w14:textId="77777777" w:rsidR="00767570" w:rsidRDefault="00767570" w:rsidP="00767570"/>
    <w:p w14:paraId="09BA6E65" w14:textId="2ED8309D" w:rsidR="00767570" w:rsidRDefault="00494503" w:rsidP="00767570">
      <w:r>
        <w:t>5</w:t>
      </w:r>
      <w:r w:rsidR="000C780D">
        <w:t>5</w:t>
      </w:r>
      <w:r>
        <w:t>.</w:t>
      </w:r>
      <w:r w:rsidR="00767570">
        <w:tab/>
        <w:t xml:space="preserve">The Committee took note of the report of the test results of AI-based reclassification, as documented in Annex 7 to the project </w:t>
      </w:r>
      <w:hyperlink r:id="rId29" w:history="1">
        <w:r w:rsidR="00767570">
          <w:rPr>
            <w:rStyle w:val="Hyperlink"/>
          </w:rPr>
          <w:t>CE 532</w:t>
        </w:r>
      </w:hyperlink>
      <w:r w:rsidR="00767570">
        <w:t xml:space="preserve">.  In this context, the Committee invited </w:t>
      </w:r>
      <w:r w:rsidR="00807B82">
        <w:t>offices</w:t>
      </w:r>
      <w:r w:rsidR="00767570">
        <w:t xml:space="preserve">, on a voluntary basis, to review the test results, including by making use of the illustrative testing scenario described in Annex 8 or by applying any other appropriate review approach. </w:t>
      </w:r>
    </w:p>
    <w:p w14:paraId="1CBC1DDF" w14:textId="77777777" w:rsidR="00767570" w:rsidRDefault="00767570" w:rsidP="00767570"/>
    <w:p w14:paraId="5029D66F" w14:textId="2C5AA77F" w:rsidR="00767570" w:rsidRDefault="00494503" w:rsidP="00767570">
      <w:r>
        <w:t>5</w:t>
      </w:r>
      <w:r w:rsidR="000C780D">
        <w:t>6</w:t>
      </w:r>
      <w:r>
        <w:t>.</w:t>
      </w:r>
      <w:r w:rsidR="00767570">
        <w:tab/>
        <w:t>Offices were invited to submit comments on the test results and on the testing methodology, including feedback on the example scenario, with a view to improving mutual understanding of the outcomes and limitations of such AI-based activities.</w:t>
      </w:r>
    </w:p>
    <w:p w14:paraId="4F3936F7" w14:textId="77777777" w:rsidR="005711EE" w:rsidRDefault="005711EE" w:rsidP="00767570"/>
    <w:p w14:paraId="70142D93" w14:textId="06864AF6" w:rsidR="00767570" w:rsidRDefault="00494503" w:rsidP="00767570">
      <w:r>
        <w:t>5</w:t>
      </w:r>
      <w:r w:rsidR="000C780D">
        <w:t>7</w:t>
      </w:r>
      <w:r>
        <w:t>.</w:t>
      </w:r>
      <w:r w:rsidR="00767570">
        <w:tab/>
        <w:t xml:space="preserve">The International Bureau confirmed that the purpose of the testing exercise was purely informational and aimed at familiarizing </w:t>
      </w:r>
      <w:r w:rsidR="005711EE">
        <w:t xml:space="preserve">offices </w:t>
      </w:r>
      <w:r w:rsidR="00767570">
        <w:t xml:space="preserve">with the conducted activity, and that the test results were not intended to be used for actual reclassification or for operational </w:t>
      </w:r>
      <w:proofErr w:type="spellStart"/>
      <w:r w:rsidR="00767570">
        <w:t>decision</w:t>
      </w:r>
      <w:r w:rsidR="00BD0D1D">
        <w:t>­</w:t>
      </w:r>
      <w:r w:rsidR="00767570">
        <w:t>making</w:t>
      </w:r>
      <w:proofErr w:type="spellEnd"/>
      <w:r w:rsidR="00767570">
        <w:t>.</w:t>
      </w:r>
    </w:p>
    <w:p w14:paraId="6A86B484" w14:textId="77777777" w:rsidR="00767570" w:rsidRDefault="00767570" w:rsidP="00767570"/>
    <w:p w14:paraId="512544A8" w14:textId="0ED06A33" w:rsidR="00767570" w:rsidRDefault="00494503" w:rsidP="00767570">
      <w:r>
        <w:t>5</w:t>
      </w:r>
      <w:r w:rsidR="000C780D">
        <w:t>8</w:t>
      </w:r>
      <w:r>
        <w:t>.</w:t>
      </w:r>
      <w:r w:rsidR="00767570">
        <w:tab/>
        <w:t xml:space="preserve">The Committee noted improved reclassification activities in the reclassification status report contained in Annex 2 under project </w:t>
      </w:r>
      <w:hyperlink r:id="rId30" w:history="1">
        <w:r w:rsidR="00767570">
          <w:rPr>
            <w:rStyle w:val="Hyperlink"/>
          </w:rPr>
          <w:t>CE 562</w:t>
        </w:r>
      </w:hyperlink>
      <w:r w:rsidR="00767570">
        <w:t xml:space="preserve">, prepared by the International Bureau. </w:t>
      </w:r>
      <w:r w:rsidR="006535C3">
        <w:t xml:space="preserve"> </w:t>
      </w:r>
      <w:r w:rsidR="00767570">
        <w:t>The Committee recalled its previous decision to apply d</w:t>
      </w:r>
      <w:r w:rsidR="00767570" w:rsidRPr="008B3289">
        <w:t xml:space="preserve">efault </w:t>
      </w:r>
      <w:r w:rsidR="00767570">
        <w:t>t</w:t>
      </w:r>
      <w:r w:rsidR="00767570" w:rsidRPr="008B3289">
        <w:t>ransfer</w:t>
      </w:r>
      <w:r w:rsidR="00767570">
        <w:t>s (DTs)</w:t>
      </w:r>
      <w:r w:rsidR="00767570" w:rsidRPr="008B3289">
        <w:t xml:space="preserve"> for IPC versions 2009.01 to 2015.01 to improve search efficiency and reduce the backlog</w:t>
      </w:r>
      <w:r w:rsidR="00767570">
        <w:t xml:space="preserve">. </w:t>
      </w:r>
      <w:r w:rsidR="00D86849">
        <w:t xml:space="preserve"> </w:t>
      </w:r>
      <w:r w:rsidR="00767570">
        <w:t xml:space="preserve">Having noted that the International Bureau, with help from the EPO, intended to carry out reclassification data </w:t>
      </w:r>
      <w:proofErr w:type="gramStart"/>
      <w:r w:rsidR="00767570">
        <w:t>clean</w:t>
      </w:r>
      <w:r w:rsidR="003A6D60">
        <w:t>­</w:t>
      </w:r>
      <w:r w:rsidR="00767570">
        <w:t>up</w:t>
      </w:r>
      <w:proofErr w:type="gramEnd"/>
      <w:r w:rsidR="00767570">
        <w:t xml:space="preserve"> before implementing </w:t>
      </w:r>
      <w:r w:rsidR="003A6D60">
        <w:t xml:space="preserve">the </w:t>
      </w:r>
      <w:r w:rsidR="00767570">
        <w:t>DTs in August 2026, as well as the improved reclassification status for IPC version 20</w:t>
      </w:r>
      <w:r w:rsidR="004260EF">
        <w:t>1</w:t>
      </w:r>
      <w:r w:rsidR="00767570">
        <w:t>6.01, the Committee decided to include IPC version 20</w:t>
      </w:r>
      <w:r w:rsidR="006647B1">
        <w:t>1</w:t>
      </w:r>
      <w:r w:rsidR="00767570">
        <w:t>6.01 into the DTs implementation.</w:t>
      </w:r>
    </w:p>
    <w:p w14:paraId="05422559" w14:textId="77777777" w:rsidR="0020258B" w:rsidRDefault="0020258B" w:rsidP="00767570"/>
    <w:p w14:paraId="1DC7BC5F" w14:textId="609E6C8D" w:rsidR="00767570" w:rsidRDefault="000C780D" w:rsidP="00767570">
      <w:pPr>
        <w:pStyle w:val="ONUME"/>
        <w:numPr>
          <w:ilvl w:val="0"/>
          <w:numId w:val="0"/>
        </w:numPr>
      </w:pPr>
      <w:r>
        <w:t>59</w:t>
      </w:r>
      <w:r w:rsidR="00494503">
        <w:t>.</w:t>
      </w:r>
      <w:r w:rsidR="00767570">
        <w:tab/>
      </w:r>
      <w:r w:rsidR="00767570" w:rsidRPr="008B3289">
        <w:t>The Committee noted</w:t>
      </w:r>
      <w:r w:rsidR="00767570">
        <w:t>, with gratitude,</w:t>
      </w:r>
      <w:r w:rsidR="00767570" w:rsidRPr="008B3289">
        <w:t xml:space="preserve"> the </w:t>
      </w:r>
      <w:r w:rsidR="00767570">
        <w:t xml:space="preserve">intention of the EPO </w:t>
      </w:r>
      <w:r w:rsidR="00767570" w:rsidRPr="007060C8">
        <w:t>to</w:t>
      </w:r>
      <w:r w:rsidR="00767570">
        <w:t xml:space="preserve"> investigate the possible</w:t>
      </w:r>
      <w:r w:rsidR="00767570" w:rsidRPr="007060C8">
        <w:t xml:space="preserve"> propagat</w:t>
      </w:r>
      <w:r w:rsidR="00767570">
        <w:t xml:space="preserve">ing of </w:t>
      </w:r>
      <w:r w:rsidR="00767570" w:rsidRPr="007060C8">
        <w:t xml:space="preserve">CPC </w:t>
      </w:r>
      <w:r w:rsidR="00767570">
        <w:t>reclassification data</w:t>
      </w:r>
      <w:r w:rsidR="00767570" w:rsidRPr="007060C8">
        <w:t xml:space="preserve"> into </w:t>
      </w:r>
      <w:r w:rsidR="00767570">
        <w:t xml:space="preserve">the </w:t>
      </w:r>
      <w:r w:rsidR="00767570" w:rsidRPr="007060C8">
        <w:t>IPC</w:t>
      </w:r>
      <w:r w:rsidR="00767570">
        <w:t xml:space="preserve"> via CPC-IPC concordance, as an alternative approach to complement IPC reclassification activities.</w:t>
      </w:r>
    </w:p>
    <w:p w14:paraId="249D09E7" w14:textId="3E762769" w:rsidR="00553F10" w:rsidRPr="00553F10" w:rsidRDefault="00031F32" w:rsidP="00553F10">
      <w:pPr>
        <w:pStyle w:val="Heading1"/>
      </w:pPr>
      <w:r w:rsidRPr="00553F10">
        <w:rPr>
          <w:caps w:val="0"/>
        </w:rPr>
        <w:t>EXPERIENCE FROM OFFICES ON COMPUTER ASSISTED (E.G. AI-BASED) CLASSIFICATION AND RELATED</w:t>
      </w:r>
      <w:r>
        <w:rPr>
          <w:caps w:val="0"/>
        </w:rPr>
        <w:t xml:space="preserve"> </w:t>
      </w:r>
      <w:r w:rsidRPr="00553F10">
        <w:rPr>
          <w:caps w:val="0"/>
        </w:rPr>
        <w:t>SYSTEMS AND TOOLS</w:t>
      </w:r>
    </w:p>
    <w:p w14:paraId="40C8B05B" w14:textId="1F074B05" w:rsidR="00BB148D" w:rsidRDefault="00494503" w:rsidP="00BB148D">
      <w:bookmarkStart w:id="5" w:name="_Hlk223366912"/>
      <w:r>
        <w:t>6</w:t>
      </w:r>
      <w:r w:rsidR="000C780D">
        <w:t>0</w:t>
      </w:r>
      <w:r>
        <w:t>.</w:t>
      </w:r>
      <w:r w:rsidR="00767570">
        <w:tab/>
        <w:t>The Committee noted a series of presentations by several offices on their experience with computer-</w:t>
      </w:r>
      <w:proofErr w:type="gramStart"/>
      <w:r w:rsidR="00767570">
        <w:t xml:space="preserve">assisted </w:t>
      </w:r>
      <w:r w:rsidR="00B51ABF">
        <w:rPr>
          <w:rFonts w:eastAsia="MS Mincho" w:hint="eastAsia"/>
          <w:lang w:eastAsia="ja-JP"/>
        </w:rPr>
        <w:t>including</w:t>
      </w:r>
      <w:proofErr w:type="gramEnd"/>
      <w:r w:rsidR="00767570">
        <w:t xml:space="preserve"> AI-based classification tools. </w:t>
      </w:r>
      <w:r w:rsidR="005D29AE">
        <w:t xml:space="preserve"> </w:t>
      </w:r>
      <w:r w:rsidR="00767570">
        <w:t>The presentations illustrated different stages of development and deployment, ranging from experimental pilots to tools integrated into operational classification and examination workflows.</w:t>
      </w:r>
    </w:p>
    <w:p w14:paraId="30D55E03" w14:textId="07328B03" w:rsidR="00767570" w:rsidRDefault="00494503" w:rsidP="00BB148D">
      <w:pPr>
        <w:rPr>
          <w:rFonts w:eastAsia="Times New Roman"/>
        </w:rPr>
      </w:pPr>
      <w:r>
        <w:rPr>
          <w:rFonts w:eastAsia="Times New Roman"/>
        </w:rPr>
        <w:lastRenderedPageBreak/>
        <w:t>6</w:t>
      </w:r>
      <w:r w:rsidR="000C780D">
        <w:rPr>
          <w:rFonts w:eastAsia="Times New Roman"/>
        </w:rPr>
        <w:t>1</w:t>
      </w:r>
      <w:r>
        <w:rPr>
          <w:rFonts w:eastAsia="Times New Roman"/>
        </w:rPr>
        <w:t>.</w:t>
      </w:r>
      <w:r w:rsidR="00767570" w:rsidRPr="00D46FF3">
        <w:rPr>
          <w:rFonts w:eastAsia="Times New Roman"/>
        </w:rPr>
        <w:tab/>
      </w:r>
      <w:r w:rsidR="00EF2773">
        <w:rPr>
          <w:rFonts w:eastAsia="Times New Roman"/>
        </w:rPr>
        <w:t>Saudi Arabia</w:t>
      </w:r>
      <w:r w:rsidR="00767570" w:rsidRPr="007C1669">
        <w:rPr>
          <w:rFonts w:eastAsia="Times New Roman"/>
        </w:rPr>
        <w:t xml:space="preserve"> presented </w:t>
      </w:r>
      <w:r w:rsidR="00767570" w:rsidRPr="007C1669">
        <w:rPr>
          <w:rFonts w:eastAsia="Times New Roman"/>
          <w:i/>
          <w:iCs/>
        </w:rPr>
        <w:t>SAIPER</w:t>
      </w:r>
      <w:r w:rsidR="00767570" w:rsidRPr="007C1669">
        <w:rPr>
          <w:rFonts w:eastAsia="Times New Roman"/>
        </w:rPr>
        <w:t xml:space="preserve">, an AI-assisted IPC classification system specifically designed to address the linguistic and structural challenges of Arabic patent texts. </w:t>
      </w:r>
      <w:r w:rsidR="00C17557">
        <w:rPr>
          <w:rFonts w:eastAsia="Times New Roman"/>
        </w:rPr>
        <w:t xml:space="preserve"> </w:t>
      </w:r>
      <w:r w:rsidR="00767570" w:rsidRPr="007C1669">
        <w:rPr>
          <w:rFonts w:eastAsia="Times New Roman"/>
        </w:rPr>
        <w:t xml:space="preserve">The system </w:t>
      </w:r>
      <w:r w:rsidR="00767570">
        <w:rPr>
          <w:rFonts w:eastAsia="Times New Roman"/>
        </w:rPr>
        <w:t>is based</w:t>
      </w:r>
      <w:r w:rsidR="00767570" w:rsidRPr="007C1669">
        <w:rPr>
          <w:rFonts w:eastAsia="Times New Roman"/>
        </w:rPr>
        <w:t xml:space="preserve"> on </w:t>
      </w:r>
      <w:r w:rsidR="002D6A0D">
        <w:rPr>
          <w:rFonts w:eastAsia="Times New Roman"/>
        </w:rPr>
        <w:t>hybrid</w:t>
      </w:r>
      <w:r w:rsidR="00767570" w:rsidRPr="007C1669">
        <w:rPr>
          <w:rFonts w:eastAsia="Times New Roman"/>
        </w:rPr>
        <w:t xml:space="preserve"> architecture combining local large language model (LLM) translation</w:t>
      </w:r>
      <w:r w:rsidR="00767570">
        <w:rPr>
          <w:rFonts w:eastAsia="Times New Roman"/>
        </w:rPr>
        <w:t xml:space="preserve"> with</w:t>
      </w:r>
      <w:r w:rsidR="00767570" w:rsidRPr="007C1669">
        <w:rPr>
          <w:rFonts w:eastAsia="Times New Roman"/>
        </w:rPr>
        <w:t xml:space="preserve"> semantic retrieval and ranking techniques, while maintaining full examiner control and transparency. </w:t>
      </w:r>
      <w:r w:rsidR="00E30FD3">
        <w:rPr>
          <w:rFonts w:eastAsia="Times New Roman"/>
        </w:rPr>
        <w:t xml:space="preserve"> </w:t>
      </w:r>
      <w:r w:rsidR="00767570" w:rsidRPr="007C1669">
        <w:rPr>
          <w:rFonts w:eastAsia="Times New Roman"/>
        </w:rPr>
        <w:t>Pilot results demonstrated a significant reduction in classification time and</w:t>
      </w:r>
      <w:r w:rsidR="00767570">
        <w:rPr>
          <w:rFonts w:eastAsia="Times New Roman"/>
        </w:rPr>
        <w:t xml:space="preserve"> a high level of</w:t>
      </w:r>
      <w:r w:rsidR="00767570" w:rsidRPr="007C1669">
        <w:rPr>
          <w:rFonts w:eastAsia="Times New Roman"/>
        </w:rPr>
        <w:t xml:space="preserve"> accuracy at </w:t>
      </w:r>
      <w:r w:rsidR="00767570">
        <w:rPr>
          <w:rFonts w:eastAsia="Times New Roman"/>
        </w:rPr>
        <w:t xml:space="preserve">the </w:t>
      </w:r>
      <w:r w:rsidR="00767570" w:rsidRPr="007C1669">
        <w:rPr>
          <w:rFonts w:eastAsia="Times New Roman"/>
        </w:rPr>
        <w:t xml:space="preserve">IPC subgroup level, </w:t>
      </w:r>
      <w:r w:rsidR="00767570">
        <w:rPr>
          <w:rFonts w:eastAsia="Times New Roman"/>
        </w:rPr>
        <w:t>highlight</w:t>
      </w:r>
      <w:r w:rsidR="00767570" w:rsidRPr="007C1669">
        <w:rPr>
          <w:rFonts w:eastAsia="Times New Roman"/>
        </w:rPr>
        <w:t xml:space="preserve">ing the importance of language-aware solutions for </w:t>
      </w:r>
      <w:r w:rsidR="00767570">
        <w:rPr>
          <w:rFonts w:eastAsia="Times New Roman"/>
        </w:rPr>
        <w:t xml:space="preserve">promoting more </w:t>
      </w:r>
      <w:r w:rsidR="00767570" w:rsidRPr="007C1669">
        <w:rPr>
          <w:rFonts w:eastAsia="Times New Roman"/>
        </w:rPr>
        <w:t xml:space="preserve">inclusive global </w:t>
      </w:r>
      <w:r w:rsidR="00767570">
        <w:rPr>
          <w:rFonts w:eastAsia="Times New Roman"/>
        </w:rPr>
        <w:t>use of the IPC</w:t>
      </w:r>
      <w:r w:rsidR="00767570" w:rsidRPr="007C1669">
        <w:rPr>
          <w:rFonts w:eastAsia="Times New Roman"/>
        </w:rPr>
        <w:t xml:space="preserve">. </w:t>
      </w:r>
    </w:p>
    <w:p w14:paraId="2F51D26B" w14:textId="77777777" w:rsidR="00BB148D" w:rsidRPr="007C1669" w:rsidRDefault="00BB148D" w:rsidP="00BB148D">
      <w:pPr>
        <w:rPr>
          <w:rFonts w:eastAsia="Times New Roman"/>
        </w:rPr>
      </w:pPr>
    </w:p>
    <w:p w14:paraId="04846B24" w14:textId="0CCD7505" w:rsidR="00767570" w:rsidRDefault="00494503" w:rsidP="00BB148D">
      <w:pPr>
        <w:rPr>
          <w:rFonts w:eastAsia="Times New Roman"/>
        </w:rPr>
      </w:pPr>
      <w:r>
        <w:rPr>
          <w:rFonts w:eastAsia="Times New Roman"/>
        </w:rPr>
        <w:t>6</w:t>
      </w:r>
      <w:r w:rsidR="000C780D">
        <w:rPr>
          <w:rFonts w:eastAsia="Times New Roman"/>
        </w:rPr>
        <w:t>2</w:t>
      </w:r>
      <w:r>
        <w:rPr>
          <w:rFonts w:eastAsia="Times New Roman"/>
        </w:rPr>
        <w:t>.</w:t>
      </w:r>
      <w:r w:rsidR="00767570">
        <w:rPr>
          <w:rFonts w:eastAsia="Times New Roman"/>
        </w:rPr>
        <w:tab/>
      </w:r>
      <w:r w:rsidR="00767570" w:rsidRPr="00D46FF3">
        <w:rPr>
          <w:rFonts w:eastAsia="Times New Roman"/>
        </w:rPr>
        <w:t>J</w:t>
      </w:r>
      <w:r w:rsidR="00767570">
        <w:rPr>
          <w:rFonts w:eastAsia="Times New Roman"/>
        </w:rPr>
        <w:t>apan</w:t>
      </w:r>
      <w:r w:rsidR="00767570" w:rsidRPr="007C1669">
        <w:rPr>
          <w:rFonts w:eastAsia="Times New Roman"/>
        </w:rPr>
        <w:t xml:space="preserve"> reported on the development of </w:t>
      </w:r>
      <w:r w:rsidR="00767570" w:rsidRPr="007C1669">
        <w:rPr>
          <w:rFonts w:eastAsia="Times New Roman"/>
          <w:i/>
          <w:iCs/>
        </w:rPr>
        <w:t>GAIA-Index</w:t>
      </w:r>
      <w:r w:rsidR="00767570" w:rsidRPr="007C1669">
        <w:rPr>
          <w:rFonts w:eastAsia="Times New Roman"/>
        </w:rPr>
        <w:t xml:space="preserve">, an AI-based system aimed at the automatic generation and assignment of search indexes to support prior-art searches. </w:t>
      </w:r>
      <w:r w:rsidR="00E30FD3">
        <w:rPr>
          <w:rFonts w:eastAsia="Times New Roman"/>
        </w:rPr>
        <w:t xml:space="preserve"> </w:t>
      </w:r>
      <w:r w:rsidR="00767570" w:rsidRPr="007C1669">
        <w:rPr>
          <w:rFonts w:eastAsia="Times New Roman"/>
        </w:rPr>
        <w:t xml:space="preserve">This approach </w:t>
      </w:r>
      <w:r w:rsidR="00767570">
        <w:rPr>
          <w:rFonts w:eastAsia="Times New Roman"/>
        </w:rPr>
        <w:t>seeks</w:t>
      </w:r>
      <w:r w:rsidR="00767570" w:rsidRPr="007C1669">
        <w:rPr>
          <w:rFonts w:eastAsia="Times New Roman"/>
        </w:rPr>
        <w:t xml:space="preserve"> </w:t>
      </w:r>
      <w:r w:rsidR="00767570">
        <w:rPr>
          <w:rFonts w:eastAsia="Times New Roman"/>
        </w:rPr>
        <w:t>to</w:t>
      </w:r>
      <w:r w:rsidR="00767570" w:rsidRPr="007C1669">
        <w:rPr>
          <w:rFonts w:eastAsia="Times New Roman"/>
        </w:rPr>
        <w:t xml:space="preserve"> reduc</w:t>
      </w:r>
      <w:r w:rsidR="00767570">
        <w:rPr>
          <w:rFonts w:eastAsia="Times New Roman"/>
        </w:rPr>
        <w:t>e</w:t>
      </w:r>
      <w:r w:rsidR="00767570" w:rsidRPr="007C1669">
        <w:rPr>
          <w:rFonts w:eastAsia="Times New Roman"/>
        </w:rPr>
        <w:t xml:space="preserve"> the cost and variability </w:t>
      </w:r>
      <w:r w:rsidR="00767570">
        <w:rPr>
          <w:rFonts w:eastAsia="Times New Roman"/>
        </w:rPr>
        <w:t>associated with</w:t>
      </w:r>
      <w:r w:rsidR="00767570" w:rsidRPr="007C1669">
        <w:rPr>
          <w:rFonts w:eastAsia="Times New Roman"/>
        </w:rPr>
        <w:t xml:space="preserve"> manual classification while enabling rapid adaptation to emerging technologies. </w:t>
      </w:r>
      <w:r w:rsidR="00E30FD3">
        <w:rPr>
          <w:rFonts w:eastAsia="Times New Roman"/>
        </w:rPr>
        <w:t xml:space="preserve"> </w:t>
      </w:r>
      <w:r w:rsidR="00767570" w:rsidRPr="007C1669">
        <w:rPr>
          <w:rFonts w:eastAsia="Times New Roman"/>
        </w:rPr>
        <w:t>J</w:t>
      </w:r>
      <w:r w:rsidR="00767570">
        <w:rPr>
          <w:rFonts w:eastAsia="Times New Roman"/>
        </w:rPr>
        <w:t>apan</w:t>
      </w:r>
      <w:r w:rsidR="00767570" w:rsidRPr="007C1669">
        <w:rPr>
          <w:rFonts w:eastAsia="Times New Roman"/>
        </w:rPr>
        <w:t xml:space="preserve"> emphasized that the system is designed to complement examiner expertise and to support strategic </w:t>
      </w:r>
      <w:r w:rsidR="00767570">
        <w:rPr>
          <w:rFonts w:eastAsia="Times New Roman"/>
        </w:rPr>
        <w:t>considerations regarding</w:t>
      </w:r>
      <w:r w:rsidR="00767570" w:rsidRPr="007C1669">
        <w:rPr>
          <w:rFonts w:eastAsia="Times New Roman"/>
        </w:rPr>
        <w:t xml:space="preserve"> the future use and </w:t>
      </w:r>
      <w:r w:rsidR="00767570">
        <w:rPr>
          <w:rFonts w:eastAsia="Times New Roman"/>
        </w:rPr>
        <w:t xml:space="preserve">possible </w:t>
      </w:r>
      <w:r w:rsidR="00767570" w:rsidRPr="007C1669">
        <w:rPr>
          <w:rFonts w:eastAsia="Times New Roman"/>
        </w:rPr>
        <w:t xml:space="preserve">simplification of classification schemes in different technical fields. </w:t>
      </w:r>
    </w:p>
    <w:p w14:paraId="7B7CF3A8" w14:textId="77777777" w:rsidR="00BB148D" w:rsidRPr="007C1669" w:rsidRDefault="00BB148D" w:rsidP="00BB148D">
      <w:pPr>
        <w:rPr>
          <w:rFonts w:eastAsia="Times New Roman"/>
        </w:rPr>
      </w:pPr>
    </w:p>
    <w:p w14:paraId="670EF395" w14:textId="73B66A53" w:rsidR="00767570" w:rsidRDefault="00494503" w:rsidP="00BB148D">
      <w:pPr>
        <w:rPr>
          <w:rFonts w:eastAsia="Times New Roman"/>
        </w:rPr>
      </w:pPr>
      <w:r>
        <w:rPr>
          <w:rFonts w:eastAsia="Times New Roman"/>
        </w:rPr>
        <w:t>6</w:t>
      </w:r>
      <w:r w:rsidR="000C780D">
        <w:rPr>
          <w:rFonts w:eastAsia="Times New Roman"/>
        </w:rPr>
        <w:t>3</w:t>
      </w:r>
      <w:r>
        <w:rPr>
          <w:rFonts w:eastAsia="Times New Roman"/>
        </w:rPr>
        <w:t>.</w:t>
      </w:r>
      <w:r w:rsidR="00767570">
        <w:rPr>
          <w:rFonts w:eastAsia="Times New Roman"/>
        </w:rPr>
        <w:tab/>
      </w:r>
      <w:r w:rsidR="00767570" w:rsidRPr="00577A73">
        <w:rPr>
          <w:rFonts w:eastAsia="Times New Roman"/>
        </w:rPr>
        <w:t xml:space="preserve">The </w:t>
      </w:r>
      <w:r w:rsidR="00767570">
        <w:rPr>
          <w:rFonts w:eastAsia="Times New Roman"/>
        </w:rPr>
        <w:t>Republic of Korea</w:t>
      </w:r>
      <w:r w:rsidR="00767570" w:rsidRPr="007C1669">
        <w:rPr>
          <w:rFonts w:eastAsia="Times New Roman"/>
        </w:rPr>
        <w:t xml:space="preserve"> described its AI-assisted classification and reclassification tools for </w:t>
      </w:r>
      <w:proofErr w:type="spellStart"/>
      <w:r w:rsidR="00767570" w:rsidRPr="007C1669">
        <w:rPr>
          <w:rFonts w:eastAsia="Times New Roman"/>
        </w:rPr>
        <w:t>frontfile</w:t>
      </w:r>
      <w:proofErr w:type="spellEnd"/>
      <w:r w:rsidR="00767570" w:rsidRPr="007C1669">
        <w:rPr>
          <w:rFonts w:eastAsia="Times New Roman"/>
        </w:rPr>
        <w:t xml:space="preserve"> and backfile processing</w:t>
      </w:r>
      <w:r w:rsidR="00767570">
        <w:rPr>
          <w:rFonts w:eastAsia="Times New Roman"/>
        </w:rPr>
        <w:t>, respectively</w:t>
      </w:r>
      <w:r w:rsidR="00767570" w:rsidRPr="007C1669">
        <w:rPr>
          <w:rFonts w:eastAsia="Times New Roman"/>
        </w:rPr>
        <w:t xml:space="preserve">. </w:t>
      </w:r>
      <w:r w:rsidR="00146EDF">
        <w:rPr>
          <w:rFonts w:eastAsia="Times New Roman"/>
        </w:rPr>
        <w:t xml:space="preserve"> </w:t>
      </w:r>
      <w:r w:rsidR="00767570" w:rsidRPr="007C1669">
        <w:rPr>
          <w:rFonts w:eastAsia="Times New Roman"/>
        </w:rPr>
        <w:t xml:space="preserve">The systems combine machine-learning-based recommendations with expert-defined contextual inputs, allowing flexible </w:t>
      </w:r>
      <w:r w:rsidR="00767570">
        <w:rPr>
          <w:rFonts w:eastAsia="Times New Roman"/>
        </w:rPr>
        <w:t xml:space="preserve">deployment </w:t>
      </w:r>
      <w:r w:rsidR="00767570" w:rsidRPr="007C1669">
        <w:rPr>
          <w:rFonts w:eastAsia="Times New Roman"/>
        </w:rPr>
        <w:t xml:space="preserve">depending on data availability and technical complexity. </w:t>
      </w:r>
      <w:r w:rsidR="00146EDF">
        <w:rPr>
          <w:rFonts w:eastAsia="Times New Roman"/>
        </w:rPr>
        <w:t xml:space="preserve"> </w:t>
      </w:r>
      <w:r w:rsidR="00472AED" w:rsidRPr="00577A73">
        <w:rPr>
          <w:rFonts w:eastAsia="Times New Roman"/>
        </w:rPr>
        <w:t xml:space="preserve">The </w:t>
      </w:r>
      <w:r w:rsidR="00472AED">
        <w:rPr>
          <w:rFonts w:eastAsia="Times New Roman"/>
        </w:rPr>
        <w:t>Republic of Korea</w:t>
      </w:r>
      <w:r w:rsidR="00472AED" w:rsidRPr="007C1669">
        <w:rPr>
          <w:rFonts w:eastAsia="Times New Roman"/>
        </w:rPr>
        <w:t xml:space="preserve"> </w:t>
      </w:r>
      <w:r w:rsidR="00767570" w:rsidRPr="007C1669">
        <w:rPr>
          <w:rFonts w:eastAsia="Times New Roman"/>
        </w:rPr>
        <w:t xml:space="preserve">highlighted the role of AI tools in supporting large-scale reclassification activities while preserving expert validation as a key quality safeguard. </w:t>
      </w:r>
      <w:r w:rsidR="003648C0">
        <w:rPr>
          <w:rFonts w:eastAsia="Times New Roman"/>
        </w:rPr>
        <w:t xml:space="preserve"> </w:t>
      </w:r>
      <w:r w:rsidR="00472AED" w:rsidRPr="00577A73">
        <w:rPr>
          <w:rFonts w:eastAsia="Times New Roman"/>
        </w:rPr>
        <w:t xml:space="preserve">The </w:t>
      </w:r>
      <w:r w:rsidR="00472AED">
        <w:rPr>
          <w:rFonts w:eastAsia="Times New Roman"/>
        </w:rPr>
        <w:t>Republic of Korea</w:t>
      </w:r>
      <w:r w:rsidR="00472AED" w:rsidRPr="007C1669">
        <w:rPr>
          <w:rFonts w:eastAsia="Times New Roman"/>
        </w:rPr>
        <w:t xml:space="preserve"> </w:t>
      </w:r>
      <w:r w:rsidR="00767570">
        <w:rPr>
          <w:rFonts w:eastAsia="Times New Roman"/>
        </w:rPr>
        <w:t xml:space="preserve">further informed the Committee that the </w:t>
      </w:r>
      <w:r w:rsidR="00767570" w:rsidRPr="007C1669">
        <w:rPr>
          <w:rFonts w:eastAsia="Times New Roman"/>
        </w:rPr>
        <w:t xml:space="preserve">AI-assisted </w:t>
      </w:r>
      <w:r w:rsidR="00767570">
        <w:rPr>
          <w:rFonts w:eastAsia="Times New Roman"/>
        </w:rPr>
        <w:t>re</w:t>
      </w:r>
      <w:r w:rsidR="00767570" w:rsidRPr="007C1669">
        <w:rPr>
          <w:rFonts w:eastAsia="Times New Roman"/>
        </w:rPr>
        <w:t>classification</w:t>
      </w:r>
      <w:r w:rsidR="00767570">
        <w:rPr>
          <w:rFonts w:eastAsia="Times New Roman"/>
        </w:rPr>
        <w:t xml:space="preserve"> tool </w:t>
      </w:r>
      <w:r w:rsidR="004834BB">
        <w:rPr>
          <w:rFonts w:eastAsia="Times New Roman"/>
        </w:rPr>
        <w:t xml:space="preserve">was </w:t>
      </w:r>
      <w:r w:rsidR="00767570">
        <w:rPr>
          <w:rFonts w:eastAsia="Times New Roman"/>
        </w:rPr>
        <w:t>under pilot stage.</w:t>
      </w:r>
    </w:p>
    <w:p w14:paraId="23777B4E" w14:textId="77777777" w:rsidR="00BB148D" w:rsidRPr="007C1669" w:rsidRDefault="00BB148D" w:rsidP="00BB148D">
      <w:pPr>
        <w:rPr>
          <w:rFonts w:eastAsia="Times New Roman"/>
        </w:rPr>
      </w:pPr>
    </w:p>
    <w:p w14:paraId="43A37B1D" w14:textId="532EE45D" w:rsidR="00767570" w:rsidRDefault="00494503" w:rsidP="00BB148D">
      <w:pPr>
        <w:rPr>
          <w:rFonts w:eastAsia="Times New Roman"/>
        </w:rPr>
      </w:pPr>
      <w:r>
        <w:rPr>
          <w:rFonts w:eastAsia="Times New Roman"/>
        </w:rPr>
        <w:t>6</w:t>
      </w:r>
      <w:r w:rsidR="000C780D">
        <w:rPr>
          <w:rFonts w:eastAsia="Times New Roman"/>
        </w:rPr>
        <w:t>4</w:t>
      </w:r>
      <w:r>
        <w:rPr>
          <w:rFonts w:eastAsia="Times New Roman"/>
        </w:rPr>
        <w:t>.</w:t>
      </w:r>
      <w:r w:rsidR="00767570">
        <w:rPr>
          <w:rFonts w:eastAsia="Times New Roman"/>
        </w:rPr>
        <w:tab/>
        <w:t xml:space="preserve">The </w:t>
      </w:r>
      <w:r w:rsidR="00767570" w:rsidRPr="00D46FF3">
        <w:rPr>
          <w:rFonts w:eastAsia="Times New Roman"/>
        </w:rPr>
        <w:t>EPO</w:t>
      </w:r>
      <w:r w:rsidR="00767570" w:rsidRPr="007C1669">
        <w:rPr>
          <w:rFonts w:eastAsia="Times New Roman"/>
        </w:rPr>
        <w:t xml:space="preserve"> provided an overview of the use of AI within CPC-related workflows, including </w:t>
      </w:r>
      <w:r w:rsidR="00767570">
        <w:rPr>
          <w:rFonts w:eastAsia="Times New Roman"/>
        </w:rPr>
        <w:t xml:space="preserve">CPC text </w:t>
      </w:r>
      <w:proofErr w:type="gramStart"/>
      <w:r w:rsidR="00767570">
        <w:rPr>
          <w:rFonts w:eastAsia="Times New Roman"/>
        </w:rPr>
        <w:t>categorizer</w:t>
      </w:r>
      <w:proofErr w:type="gramEnd"/>
      <w:r w:rsidR="00767570">
        <w:rPr>
          <w:rFonts w:eastAsia="Times New Roman"/>
        </w:rPr>
        <w:t xml:space="preserve"> for </w:t>
      </w:r>
      <w:r w:rsidR="00767570" w:rsidRPr="007C1669">
        <w:rPr>
          <w:rFonts w:eastAsia="Times New Roman"/>
        </w:rPr>
        <w:t>pre-classification</w:t>
      </w:r>
      <w:r w:rsidR="00767570">
        <w:rPr>
          <w:rFonts w:eastAsia="Times New Roman"/>
        </w:rPr>
        <w:t xml:space="preserve"> or</w:t>
      </w:r>
      <w:r w:rsidR="00767570" w:rsidRPr="007C1669">
        <w:rPr>
          <w:rFonts w:eastAsia="Times New Roman"/>
        </w:rPr>
        <w:t xml:space="preserve"> CPC symbol </w:t>
      </w:r>
      <w:r w:rsidR="00767570">
        <w:rPr>
          <w:rFonts w:eastAsia="Times New Roman"/>
        </w:rPr>
        <w:t>suggestions for the EPO internal usage</w:t>
      </w:r>
      <w:r w:rsidR="00767570" w:rsidRPr="007C1669">
        <w:rPr>
          <w:rFonts w:eastAsia="Times New Roman"/>
        </w:rPr>
        <w:t xml:space="preserve"> and AI-supported tagging of specific schemes such as Y02 and Y04. </w:t>
      </w:r>
      <w:r w:rsidR="008E0B67">
        <w:rPr>
          <w:rFonts w:eastAsia="Times New Roman"/>
        </w:rPr>
        <w:t xml:space="preserve"> </w:t>
      </w:r>
      <w:r w:rsidR="00767570" w:rsidRPr="007C1669">
        <w:rPr>
          <w:rFonts w:eastAsia="Times New Roman"/>
        </w:rPr>
        <w:t>AI</w:t>
      </w:r>
      <w:r w:rsidR="00767570">
        <w:rPr>
          <w:rFonts w:eastAsia="Times New Roman"/>
        </w:rPr>
        <w:t xml:space="preserve">-assisted </w:t>
      </w:r>
      <w:r w:rsidR="00767570" w:rsidRPr="007C1669">
        <w:rPr>
          <w:rFonts w:eastAsia="Times New Roman"/>
        </w:rPr>
        <w:t xml:space="preserve">tools are used to support routing, classification and reclassification tasks, with continuous model updates and examiner oversight. </w:t>
      </w:r>
      <w:r w:rsidR="008E0B67">
        <w:rPr>
          <w:rFonts w:eastAsia="Times New Roman"/>
        </w:rPr>
        <w:t xml:space="preserve"> </w:t>
      </w:r>
      <w:r w:rsidR="00767570" w:rsidRPr="007C1669">
        <w:rPr>
          <w:rFonts w:eastAsia="Times New Roman"/>
        </w:rPr>
        <w:t xml:space="preserve">The EPO underlined that AI </w:t>
      </w:r>
      <w:r w:rsidR="00767570">
        <w:rPr>
          <w:rFonts w:eastAsia="Times New Roman"/>
        </w:rPr>
        <w:t>functions as</w:t>
      </w:r>
      <w:r w:rsidR="00767570" w:rsidRPr="007C1669">
        <w:rPr>
          <w:rFonts w:eastAsia="Times New Roman"/>
        </w:rPr>
        <w:t xml:space="preserve"> an assistive technology integrated into established quality</w:t>
      </w:r>
      <w:r w:rsidR="00767570">
        <w:rPr>
          <w:rFonts w:eastAsia="Times New Roman"/>
        </w:rPr>
        <w:t>-</w:t>
      </w:r>
      <w:r w:rsidR="00767570" w:rsidRPr="007C1669">
        <w:rPr>
          <w:rFonts w:eastAsia="Times New Roman"/>
        </w:rPr>
        <w:t xml:space="preserve">control frameworks and aligned with CPC governance principles. </w:t>
      </w:r>
    </w:p>
    <w:p w14:paraId="68E1FE7F" w14:textId="77777777" w:rsidR="00BB148D" w:rsidRPr="007C1669" w:rsidRDefault="00BB148D" w:rsidP="00BB148D">
      <w:pPr>
        <w:rPr>
          <w:rFonts w:eastAsia="Times New Roman"/>
        </w:rPr>
      </w:pPr>
    </w:p>
    <w:p w14:paraId="71B6D528" w14:textId="7947E45F" w:rsidR="00767570" w:rsidRDefault="00494503" w:rsidP="00BB148D">
      <w:r>
        <w:t>6</w:t>
      </w:r>
      <w:r w:rsidR="000C780D">
        <w:t>5</w:t>
      </w:r>
      <w:r>
        <w:t>.</w:t>
      </w:r>
      <w:r w:rsidR="00767570">
        <w:tab/>
        <w:t xml:space="preserve">The Committee took note of the information provided and of the common challenges identified across offices, including issues related to accuracy, explainability and governance. </w:t>
      </w:r>
      <w:r w:rsidR="003211C0">
        <w:t xml:space="preserve"> </w:t>
      </w:r>
      <w:r w:rsidR="00767570">
        <w:t xml:space="preserve">The Committee welcomed continued sharing of experience in this area. </w:t>
      </w:r>
    </w:p>
    <w:p w14:paraId="33C79E11" w14:textId="77777777" w:rsidR="003211C0" w:rsidRDefault="003211C0" w:rsidP="00BB148D"/>
    <w:p w14:paraId="0E1C66A1" w14:textId="63F81979" w:rsidR="00767570" w:rsidRDefault="00494503" w:rsidP="00BB148D">
      <w:r>
        <w:t>6</w:t>
      </w:r>
      <w:r w:rsidR="000C780D">
        <w:t>6</w:t>
      </w:r>
      <w:r>
        <w:t>.</w:t>
      </w:r>
      <w:r w:rsidR="00767570">
        <w:tab/>
        <w:t xml:space="preserve">The Committee </w:t>
      </w:r>
      <w:r w:rsidR="00767570" w:rsidRPr="00A1498D">
        <w:t xml:space="preserve">noted that such exchanges constitute a valuable contribution to the ongoing discussions on the role </w:t>
      </w:r>
      <w:r w:rsidR="00767570">
        <w:t xml:space="preserve">and impact </w:t>
      </w:r>
      <w:r w:rsidR="00767570" w:rsidRPr="00A1498D">
        <w:t xml:space="preserve">of </w:t>
      </w:r>
      <w:r w:rsidR="00767570">
        <w:t>AI</w:t>
      </w:r>
      <w:r w:rsidR="00767570" w:rsidRPr="00A1498D">
        <w:t xml:space="preserve"> </w:t>
      </w:r>
      <w:r w:rsidR="00767570">
        <w:t xml:space="preserve">in </w:t>
      </w:r>
      <w:r w:rsidR="00767570" w:rsidRPr="00A1498D">
        <w:t>patent classification</w:t>
      </w:r>
      <w:r w:rsidR="00767570">
        <w:t xml:space="preserve"> (see </w:t>
      </w:r>
      <w:r w:rsidR="00767570" w:rsidRPr="000F3C5D">
        <w:t>paragraphs</w:t>
      </w:r>
      <w:r w:rsidR="000F3C5D" w:rsidRPr="000F3C5D">
        <w:t> </w:t>
      </w:r>
      <w:r w:rsidR="00767570" w:rsidRPr="000F3C5D">
        <w:t xml:space="preserve">67 </w:t>
      </w:r>
      <w:r w:rsidR="00643167" w:rsidRPr="000F3C5D">
        <w:t>to </w:t>
      </w:r>
      <w:r w:rsidR="00767570" w:rsidRPr="000F3C5D">
        <w:t>72</w:t>
      </w:r>
      <w:r w:rsidR="00643167" w:rsidRPr="000F3C5D">
        <w:t>,</w:t>
      </w:r>
      <w:r w:rsidR="00767570" w:rsidRPr="000F3C5D">
        <w:t xml:space="preserve"> below).</w:t>
      </w:r>
    </w:p>
    <w:bookmarkEnd w:id="5"/>
    <w:p w14:paraId="7299F525" w14:textId="77777777" w:rsidR="00767570" w:rsidRPr="00114699" w:rsidRDefault="00767570" w:rsidP="00A975DA">
      <w:pPr>
        <w:pStyle w:val="Heading1"/>
      </w:pPr>
      <w:r w:rsidRPr="00114699">
        <w:t>IMPACT OF AI AND AI-ASSISTED TOOLS ON PATENT CLASSIFICATION</w:t>
      </w:r>
    </w:p>
    <w:p w14:paraId="175E714C" w14:textId="0DA53BAF" w:rsidR="00767570" w:rsidRDefault="00494503" w:rsidP="00767570">
      <w:r>
        <w:t>6</w:t>
      </w:r>
      <w:r w:rsidR="000C780D">
        <w:t>7</w:t>
      </w:r>
      <w:r>
        <w:t>.</w:t>
      </w:r>
      <w:r w:rsidR="00767570">
        <w:tab/>
        <w:t xml:space="preserve">Discussions were based on a proposal prepared by the International Bureau (see Annex 5 to project </w:t>
      </w:r>
      <w:hyperlink r:id="rId31" w:history="1">
        <w:r w:rsidR="00767570">
          <w:rPr>
            <w:rStyle w:val="Hyperlink"/>
          </w:rPr>
          <w:t>CE 579</w:t>
        </w:r>
      </w:hyperlink>
      <w:r w:rsidR="00767570">
        <w:t xml:space="preserve">) containing suggested brainstorming discussion topics with guiding questions about the impacts </w:t>
      </w:r>
      <w:r w:rsidR="00767570" w:rsidRPr="00360B26">
        <w:t xml:space="preserve">of AI and AI-Assisted </w:t>
      </w:r>
      <w:r w:rsidR="00767570">
        <w:t>t</w:t>
      </w:r>
      <w:r w:rsidR="00767570" w:rsidRPr="00360B26">
        <w:t xml:space="preserve">ools on </w:t>
      </w:r>
      <w:r w:rsidR="00767570">
        <w:t>p</w:t>
      </w:r>
      <w:r w:rsidR="00767570" w:rsidRPr="00360B26">
        <w:t xml:space="preserve">atent </w:t>
      </w:r>
      <w:r w:rsidR="00767570">
        <w:t>c</w:t>
      </w:r>
      <w:r w:rsidR="00767570" w:rsidRPr="00360B26">
        <w:t>lassification</w:t>
      </w:r>
      <w:r w:rsidR="00767570">
        <w:t xml:space="preserve">. </w:t>
      </w:r>
    </w:p>
    <w:p w14:paraId="5B7CFF33" w14:textId="77777777" w:rsidR="00767570" w:rsidRDefault="00767570" w:rsidP="00767570"/>
    <w:p w14:paraId="1D2D36F8" w14:textId="28FF44C4" w:rsidR="00767570" w:rsidRDefault="00494503" w:rsidP="00767570">
      <w:r>
        <w:t>6</w:t>
      </w:r>
      <w:r w:rsidR="000C780D">
        <w:t>8</w:t>
      </w:r>
      <w:r>
        <w:t>.</w:t>
      </w:r>
      <w:r w:rsidR="00767570">
        <w:tab/>
        <w:t xml:space="preserve">The Committee welcomed the proposal and noted that the proposal served as a good support document for an open, in-depth and </w:t>
      </w:r>
      <w:r w:rsidR="00767570" w:rsidRPr="005500BA">
        <w:t xml:space="preserve">exploratory </w:t>
      </w:r>
      <w:r w:rsidR="00767570">
        <w:t xml:space="preserve">strategic discussion </w:t>
      </w:r>
      <w:r w:rsidR="00767570" w:rsidRPr="005500BA">
        <w:t>on the potential impacts of AI and AI-assisted tools on patent classification</w:t>
      </w:r>
      <w:r w:rsidR="00767570">
        <w:t>, such as the IPC scheme structure and granularity</w:t>
      </w:r>
      <w:r w:rsidR="000D219A">
        <w:t xml:space="preserve"> and</w:t>
      </w:r>
      <w:r w:rsidR="00767570">
        <w:t xml:space="preserve"> </w:t>
      </w:r>
      <w:r w:rsidR="007D05E9">
        <w:t xml:space="preserve">the </w:t>
      </w:r>
      <w:r w:rsidR="00767570">
        <w:t xml:space="preserve">use of AI in IPC revision reclassifications activities. </w:t>
      </w:r>
      <w:r w:rsidR="002F6438">
        <w:t xml:space="preserve"> </w:t>
      </w:r>
      <w:r w:rsidR="00767570">
        <w:t>The discussion addressed the evolving role of AI across the classification lifecycle, including classification, reclassification, search and translation.</w:t>
      </w:r>
    </w:p>
    <w:p w14:paraId="5DA4826B" w14:textId="77777777" w:rsidR="00767570" w:rsidRDefault="00767570" w:rsidP="00767570"/>
    <w:p w14:paraId="39ECD3BC" w14:textId="69DC92C4" w:rsidR="004A70DC" w:rsidRDefault="000C780D" w:rsidP="00767570">
      <w:r>
        <w:t>69</w:t>
      </w:r>
      <w:r w:rsidR="00494503">
        <w:t>.</w:t>
      </w:r>
      <w:r w:rsidR="00767570">
        <w:tab/>
        <w:t>The Committee emphasized that AI-assisted tools should remain assistive in nature, with human expertise retaining a central role in classification decision-making.</w:t>
      </w:r>
    </w:p>
    <w:p w14:paraId="4313ADEE" w14:textId="77777777" w:rsidR="004A70DC" w:rsidRDefault="004A70DC" w:rsidP="00767570"/>
    <w:p w14:paraId="6AA29112" w14:textId="26713984" w:rsidR="00767570" w:rsidRDefault="00494503" w:rsidP="00767570">
      <w:r>
        <w:lastRenderedPageBreak/>
        <w:t>7</w:t>
      </w:r>
      <w:r w:rsidR="000C780D">
        <w:t>0</w:t>
      </w:r>
      <w:r>
        <w:t>.</w:t>
      </w:r>
      <w:r w:rsidR="00767570">
        <w:tab/>
        <w:t xml:space="preserve">The Committee </w:t>
      </w:r>
      <w:r w:rsidR="00767570" w:rsidRPr="00AC5339">
        <w:t>considered that the exchange of views had been useful in identifying opportunities, challenges and open questions</w:t>
      </w:r>
      <w:r w:rsidR="00767570">
        <w:t xml:space="preserve"> and recognized the need for continued reflection on how the IPC should evolve in an AI-supported environment, while </w:t>
      </w:r>
      <w:r w:rsidR="00767570" w:rsidRPr="007626EB">
        <w:t>reaffirm</w:t>
      </w:r>
      <w:r w:rsidR="00767570">
        <w:t>ing</w:t>
      </w:r>
      <w:r w:rsidR="00767570" w:rsidRPr="007626EB">
        <w:t xml:space="preserve"> the importance of maintaining the IPC as a stable, reliable and internationally harmonized classification system.</w:t>
      </w:r>
    </w:p>
    <w:p w14:paraId="38B7A85F" w14:textId="77777777" w:rsidR="00767570" w:rsidRDefault="00767570" w:rsidP="00767570"/>
    <w:p w14:paraId="79A45C97" w14:textId="780CEBFF" w:rsidR="00767570" w:rsidRDefault="00494503" w:rsidP="00767570">
      <w:r>
        <w:t>7</w:t>
      </w:r>
      <w:r w:rsidR="000C780D">
        <w:t>1</w:t>
      </w:r>
      <w:r>
        <w:t>.</w:t>
      </w:r>
      <w:r w:rsidR="00767570">
        <w:tab/>
        <w:t xml:space="preserve">The Committee also agreed to establish a Task Force to further examine the implications of AI and AI-assisted tools for IPC governance, working methods and future development. </w:t>
      </w:r>
      <w:r w:rsidR="003304FF">
        <w:t xml:space="preserve"> </w:t>
      </w:r>
      <w:r w:rsidR="00767570" w:rsidRPr="009224B5">
        <w:t xml:space="preserve">The Committee agreed that </w:t>
      </w:r>
      <w:r w:rsidR="00767570">
        <w:t xml:space="preserve">any of </w:t>
      </w:r>
      <w:r w:rsidR="00767570" w:rsidRPr="009224B5">
        <w:t xml:space="preserve">its members could join the Task Force </w:t>
      </w:r>
      <w:r w:rsidR="00767570" w:rsidRPr="007626EB">
        <w:t>on a voluntary basis</w:t>
      </w:r>
      <w:r w:rsidR="00767570" w:rsidRPr="009224B5">
        <w:t xml:space="preserve"> at any later stage</w:t>
      </w:r>
      <w:r w:rsidR="00767570" w:rsidRPr="007626EB">
        <w:t>.</w:t>
      </w:r>
      <w:r w:rsidR="00767570">
        <w:t xml:space="preserve"> </w:t>
      </w:r>
      <w:r w:rsidR="003304FF">
        <w:t xml:space="preserve"> </w:t>
      </w:r>
      <w:r w:rsidR="00696208">
        <w:t>The n</w:t>
      </w:r>
      <w:r w:rsidR="00767570">
        <w:t xml:space="preserve">ew project </w:t>
      </w:r>
      <w:hyperlink r:id="rId32" w:history="1">
        <w:r w:rsidR="00767570">
          <w:rPr>
            <w:rStyle w:val="Hyperlink"/>
          </w:rPr>
          <w:t>CE 571</w:t>
        </w:r>
      </w:hyperlink>
      <w:r w:rsidR="00767570">
        <w:t xml:space="preserve"> was created on the IPC e-forum </w:t>
      </w:r>
      <w:r w:rsidR="00767570" w:rsidRPr="00C94EB2">
        <w:t>to facilitate</w:t>
      </w:r>
      <w:r w:rsidR="002F33F8">
        <w:t xml:space="preserve"> and steer</w:t>
      </w:r>
      <w:r w:rsidR="00767570" w:rsidRPr="00C94EB2">
        <w:t xml:space="preserve"> the discussion, with the International Bureau as Rapporteur.</w:t>
      </w:r>
    </w:p>
    <w:p w14:paraId="71AC6623" w14:textId="77777777" w:rsidR="00767570" w:rsidRDefault="00767570" w:rsidP="00767570"/>
    <w:p w14:paraId="31811321" w14:textId="339DD6D3" w:rsidR="00767570" w:rsidRDefault="00494503" w:rsidP="00767570">
      <w:r>
        <w:t>7</w:t>
      </w:r>
      <w:r w:rsidR="000C780D">
        <w:t>2</w:t>
      </w:r>
      <w:r>
        <w:t>.</w:t>
      </w:r>
      <w:r w:rsidR="00767570">
        <w:tab/>
        <w:t xml:space="preserve">The Committee invited the International Bureau to prepare a separate document compiling a set of topics with guiding questions, based on the elements outlined in Annex 5 to project </w:t>
      </w:r>
      <w:hyperlink r:id="rId33" w:history="1">
        <w:r w:rsidR="00767570">
          <w:rPr>
            <w:rStyle w:val="Hyperlink"/>
          </w:rPr>
          <w:t>CE 579</w:t>
        </w:r>
      </w:hyperlink>
      <w:r w:rsidR="00767570">
        <w:t xml:space="preserve">, to support more focused and consistent exchanges among </w:t>
      </w:r>
      <w:r w:rsidR="002C31AD">
        <w:t>offices</w:t>
      </w:r>
      <w:r w:rsidR="00767570">
        <w:t>.</w:t>
      </w:r>
    </w:p>
    <w:p w14:paraId="48AB99BD" w14:textId="77777777" w:rsidR="00767570" w:rsidRDefault="00767570" w:rsidP="00767570"/>
    <w:p w14:paraId="3FC79FA5" w14:textId="5793B1B4" w:rsidR="00767570" w:rsidRDefault="00494503" w:rsidP="00767570">
      <w:r>
        <w:t>7</w:t>
      </w:r>
      <w:r w:rsidR="000C780D">
        <w:t>3</w:t>
      </w:r>
      <w:r>
        <w:t>.</w:t>
      </w:r>
      <w:r w:rsidR="00767570">
        <w:tab/>
        <w:t xml:space="preserve">The Committee concluded that continued discussions on these topics would help ensure that </w:t>
      </w:r>
      <w:r w:rsidR="00767570" w:rsidRPr="00C94EB2">
        <w:t>IPC</w:t>
      </w:r>
      <w:r w:rsidR="00767570">
        <w:t xml:space="preserve"> </w:t>
      </w:r>
      <w:r w:rsidR="00767570" w:rsidRPr="00C94EB2">
        <w:t>remain</w:t>
      </w:r>
      <w:r w:rsidR="00767570">
        <w:t>s</w:t>
      </w:r>
      <w:r w:rsidR="00767570" w:rsidRPr="00C94EB2">
        <w:t xml:space="preserve"> responsive, predictable and future-ready in an increasingly AI-driven </w:t>
      </w:r>
      <w:r w:rsidR="002D6A0D" w:rsidRPr="00C94EB2">
        <w:t>innovative</w:t>
      </w:r>
      <w:r w:rsidR="00767570" w:rsidRPr="00C94EB2">
        <w:t xml:space="preserve"> landscape.</w:t>
      </w:r>
    </w:p>
    <w:p w14:paraId="684461CB" w14:textId="77777777" w:rsidR="00767570" w:rsidRPr="00114699" w:rsidRDefault="00767570" w:rsidP="00A975DA">
      <w:pPr>
        <w:pStyle w:val="Heading1"/>
      </w:pPr>
      <w:r w:rsidRPr="00114699">
        <w:t xml:space="preserve">OTHER ISSUES </w:t>
      </w:r>
    </w:p>
    <w:p w14:paraId="22689552" w14:textId="4A3F05C0" w:rsidR="00767570" w:rsidRDefault="00494503" w:rsidP="00767570">
      <w:r>
        <w:t>7</w:t>
      </w:r>
      <w:r w:rsidR="000C780D">
        <w:t>4</w:t>
      </w:r>
      <w:r>
        <w:t>.</w:t>
      </w:r>
      <w:r w:rsidR="00767570">
        <w:tab/>
      </w:r>
      <w:r w:rsidR="00767570" w:rsidRPr="00A52014">
        <w:t xml:space="preserve">The Committee noted a proposal by the </w:t>
      </w:r>
      <w:r w:rsidR="00767570">
        <w:t xml:space="preserve">EPO in Annex 13 of project </w:t>
      </w:r>
      <w:hyperlink r:id="rId34" w:history="1">
        <w:r w:rsidR="00767570">
          <w:rPr>
            <w:rStyle w:val="Hyperlink"/>
          </w:rPr>
          <w:t>CE 445</w:t>
        </w:r>
      </w:hyperlink>
      <w:r w:rsidR="00767570" w:rsidRPr="00A52014">
        <w:t xml:space="preserve"> </w:t>
      </w:r>
      <w:r w:rsidR="00767570">
        <w:t>concerning a request for</w:t>
      </w:r>
      <w:r w:rsidR="00767570" w:rsidRPr="00A52014">
        <w:t xml:space="preserve"> introduc</w:t>
      </w:r>
      <w:r w:rsidR="00767570">
        <w:t>ing</w:t>
      </w:r>
      <w:r w:rsidR="00767570" w:rsidRPr="00A52014">
        <w:t xml:space="preserve"> a “Favorites” functionality in the IPC e-forum, aimed at improving usability and facilitating access to frequently consulted discussion threads and documents. </w:t>
      </w:r>
      <w:r w:rsidR="004C07FD">
        <w:t xml:space="preserve"> </w:t>
      </w:r>
      <w:r w:rsidR="00767570" w:rsidRPr="00A52014">
        <w:t>The proposal was noted as a potential enhancement of the e-forum user experience.</w:t>
      </w:r>
    </w:p>
    <w:p w14:paraId="79AF2FCB" w14:textId="77777777" w:rsidR="00767570" w:rsidRPr="00A52014" w:rsidRDefault="00767570" w:rsidP="00767570">
      <w:pPr>
        <w:rPr>
          <w:b/>
          <w:bCs/>
        </w:rPr>
      </w:pPr>
    </w:p>
    <w:p w14:paraId="213525D6" w14:textId="33308C3A" w:rsidR="00767570" w:rsidRDefault="00494503" w:rsidP="00767570">
      <w:r>
        <w:t>7</w:t>
      </w:r>
      <w:r w:rsidR="00F43E60">
        <w:t>5</w:t>
      </w:r>
      <w:r>
        <w:t>.</w:t>
      </w:r>
      <w:r w:rsidR="00767570">
        <w:tab/>
      </w:r>
      <w:r w:rsidR="00767570" w:rsidRPr="00A52014">
        <w:t>The Committee also noted a request by Germany</w:t>
      </w:r>
      <w:r w:rsidR="009512E0">
        <w:t>,</w:t>
      </w:r>
      <w:r w:rsidR="00767570" w:rsidRPr="00A52014">
        <w:t xml:space="preserve"> </w:t>
      </w:r>
      <w:r w:rsidR="00767570">
        <w:t xml:space="preserve">presented in Annex 14 of project </w:t>
      </w:r>
      <w:hyperlink r:id="rId35" w:history="1">
        <w:r w:rsidR="004C07FD">
          <w:rPr>
            <w:rStyle w:val="Hyperlink"/>
          </w:rPr>
          <w:t>CE 445</w:t>
        </w:r>
      </w:hyperlink>
      <w:r w:rsidR="00767570">
        <w:t>, concern</w:t>
      </w:r>
      <w:r w:rsidR="00767570" w:rsidRPr="00A52014">
        <w:t xml:space="preserve">ing </w:t>
      </w:r>
      <w:r w:rsidR="00767570">
        <w:t xml:space="preserve">the possibility of granting read-only </w:t>
      </w:r>
      <w:r w:rsidR="00767570" w:rsidRPr="00A52014">
        <w:t>access to the IP</w:t>
      </w:r>
      <w:r w:rsidR="00767570">
        <w:t>5</w:t>
      </w:r>
      <w:r w:rsidR="00767570" w:rsidRPr="00A52014">
        <w:t xml:space="preserve"> e-forum for </w:t>
      </w:r>
      <w:r w:rsidR="00767570">
        <w:t>offices that are not members of the IP5</w:t>
      </w:r>
      <w:r w:rsidR="00767570" w:rsidRPr="00A52014">
        <w:t xml:space="preserve">. </w:t>
      </w:r>
    </w:p>
    <w:p w14:paraId="59FEA5B7" w14:textId="77777777" w:rsidR="00767570" w:rsidRPr="00A52014" w:rsidRDefault="00767570" w:rsidP="00767570">
      <w:pPr>
        <w:rPr>
          <w:b/>
          <w:bCs/>
        </w:rPr>
      </w:pPr>
    </w:p>
    <w:p w14:paraId="0EF93B51" w14:textId="0F43FD72" w:rsidR="00767570" w:rsidRDefault="00494503" w:rsidP="00767570">
      <w:r>
        <w:t>7</w:t>
      </w:r>
      <w:r w:rsidR="00F43E60">
        <w:t>6</w:t>
      </w:r>
      <w:r>
        <w:t>.</w:t>
      </w:r>
      <w:r w:rsidR="00767570">
        <w:tab/>
      </w:r>
      <w:r w:rsidR="00767570" w:rsidRPr="00A52014">
        <w:t xml:space="preserve">The Committee </w:t>
      </w:r>
      <w:r w:rsidR="00767570">
        <w:t>agreed that, f</w:t>
      </w:r>
      <w:r w:rsidR="00767570" w:rsidRPr="007737D0">
        <w:t>or the sake of the coherence of the discussion</w:t>
      </w:r>
      <w:r w:rsidR="00767570">
        <w:t xml:space="preserve"> of F-projects in both IP5 and IPC phase</w:t>
      </w:r>
      <w:r w:rsidR="009512E0">
        <w:t>s</w:t>
      </w:r>
      <w:r w:rsidR="00767570">
        <w:t xml:space="preserve">, </w:t>
      </w:r>
      <w:r w:rsidR="00767570" w:rsidRPr="007737D0">
        <w:t>consolidated R</w:t>
      </w:r>
      <w:r w:rsidR="00767570">
        <w:t>apporteur</w:t>
      </w:r>
      <w:r w:rsidR="00767570" w:rsidRPr="007737D0">
        <w:t xml:space="preserve"> report</w:t>
      </w:r>
      <w:r w:rsidR="00767570">
        <w:t>s</w:t>
      </w:r>
      <w:r w:rsidR="00767570" w:rsidRPr="007737D0">
        <w:t xml:space="preserve"> summariz</w:t>
      </w:r>
      <w:r w:rsidR="00767570">
        <w:t>ing</w:t>
      </w:r>
      <w:r w:rsidR="00767570" w:rsidRPr="007737D0">
        <w:t xml:space="preserve"> discussions </w:t>
      </w:r>
      <w:r w:rsidR="00767570">
        <w:t xml:space="preserve">held </w:t>
      </w:r>
      <w:r w:rsidR="00767570" w:rsidRPr="007737D0">
        <w:t>at</w:t>
      </w:r>
      <w:r w:rsidR="00767570">
        <w:t xml:space="preserve"> the</w:t>
      </w:r>
      <w:r w:rsidR="00767570" w:rsidRPr="007737D0">
        <w:t xml:space="preserve"> IP5</w:t>
      </w:r>
      <w:r w:rsidR="00767570">
        <w:t xml:space="preserve"> phase, including the key issues addressed</w:t>
      </w:r>
      <w:r w:rsidR="0062575E">
        <w:t>,</w:t>
      </w:r>
      <w:r w:rsidR="00767570">
        <w:t xml:space="preserve"> should be provided once such F-projects were promoted to the IPC phase.</w:t>
      </w:r>
    </w:p>
    <w:p w14:paraId="3B938046" w14:textId="77777777" w:rsidR="00767570" w:rsidRDefault="00767570" w:rsidP="00767570"/>
    <w:p w14:paraId="0A654B3A" w14:textId="243D08F7" w:rsidR="00767570" w:rsidRDefault="00D73695" w:rsidP="00767570">
      <w:pPr>
        <w:rPr>
          <w:b/>
          <w:bCs/>
        </w:rPr>
      </w:pPr>
      <w:r>
        <w:t>7</w:t>
      </w:r>
      <w:r w:rsidR="00F43E60">
        <w:t>7.</w:t>
      </w:r>
      <w:r w:rsidR="00767570">
        <w:tab/>
        <w:t xml:space="preserve">The Committee further noted that the request for </w:t>
      </w:r>
      <w:proofErr w:type="gramStart"/>
      <w:r w:rsidR="0021399C">
        <w:t xml:space="preserve">the </w:t>
      </w:r>
      <w:r w:rsidR="00767570">
        <w:t>read</w:t>
      </w:r>
      <w:proofErr w:type="gramEnd"/>
      <w:r w:rsidR="00767570">
        <w:t xml:space="preserve">-only access would be considered and formally confirmed later by the </w:t>
      </w:r>
      <w:proofErr w:type="spellStart"/>
      <w:r w:rsidR="00767570">
        <w:t>FiveIPOffices</w:t>
      </w:r>
      <w:proofErr w:type="spellEnd"/>
      <w:r w:rsidR="00767570">
        <w:t xml:space="preserve">. </w:t>
      </w:r>
      <w:r w:rsidR="0021399C">
        <w:t xml:space="preserve"> </w:t>
      </w:r>
      <w:r w:rsidR="00767570">
        <w:t>T</w:t>
      </w:r>
      <w:r w:rsidR="00767570" w:rsidRPr="00A52014">
        <w:t xml:space="preserve">he International Bureau </w:t>
      </w:r>
      <w:r w:rsidR="00767570">
        <w:t>was invited to investigate the technical feasibility of implementing such read-only access function for the IP5 e-forum.</w:t>
      </w:r>
    </w:p>
    <w:p w14:paraId="6B039768" w14:textId="299CA222" w:rsidR="00767570" w:rsidRPr="009654BF" w:rsidRDefault="00767570" w:rsidP="00A975DA">
      <w:pPr>
        <w:pStyle w:val="Heading1"/>
      </w:pPr>
      <w:r w:rsidRPr="009654BF">
        <w:t xml:space="preserve">NEXT SESSION OF THE </w:t>
      </w:r>
      <w:r w:rsidR="00903314">
        <w:t xml:space="preserve">IPC </w:t>
      </w:r>
      <w:r w:rsidRPr="009654BF">
        <w:t>COMMITTEE OF EXPERTS</w:t>
      </w:r>
    </w:p>
    <w:p w14:paraId="03D4587C" w14:textId="63CFCF0D" w:rsidR="00767570" w:rsidRDefault="00D73695" w:rsidP="00767570">
      <w:r>
        <w:t>7</w:t>
      </w:r>
      <w:r w:rsidR="00F43E60">
        <w:t>8.</w:t>
      </w:r>
      <w:r w:rsidR="00767570">
        <w:tab/>
        <w:t xml:space="preserve">The Committee noted that the next (fifty-eighth) session would be held in Geneva at the end of February 2027, </w:t>
      </w:r>
      <w:r w:rsidR="00767570" w:rsidRPr="006D49A7">
        <w:t xml:space="preserve">subject to the schedule of </w:t>
      </w:r>
      <w:r w:rsidR="00466317">
        <w:t xml:space="preserve">the </w:t>
      </w:r>
      <w:r w:rsidR="00767570" w:rsidRPr="006D49A7">
        <w:t>WIPO principal Committees</w:t>
      </w:r>
      <w:r w:rsidR="00767570">
        <w:t>.</w:t>
      </w:r>
    </w:p>
    <w:p w14:paraId="04534F83" w14:textId="77777777" w:rsidR="00767570" w:rsidRPr="009654BF" w:rsidRDefault="00767570" w:rsidP="00A975DA">
      <w:pPr>
        <w:pStyle w:val="Heading1"/>
      </w:pPr>
      <w:r w:rsidRPr="009654BF">
        <w:t>CLOSING OF THE SESSION</w:t>
      </w:r>
    </w:p>
    <w:p w14:paraId="0B1E0C7D" w14:textId="230EAEED" w:rsidR="00767570" w:rsidRDefault="00F43E60" w:rsidP="00767570">
      <w:r>
        <w:t>79</w:t>
      </w:r>
      <w:r w:rsidR="00D73695">
        <w:t>.</w:t>
      </w:r>
      <w:r w:rsidR="00767570">
        <w:tab/>
        <w:t>The Chair closed the session.</w:t>
      </w:r>
    </w:p>
    <w:p w14:paraId="1AD1DE38" w14:textId="77777777" w:rsidR="00767570" w:rsidRDefault="00767570" w:rsidP="00767570"/>
    <w:p w14:paraId="10BBFA8A" w14:textId="568AA702" w:rsidR="009D6CAD" w:rsidRPr="00C95CA3" w:rsidRDefault="00D73695" w:rsidP="007803CD">
      <w:pPr>
        <w:pStyle w:val="ONUME"/>
        <w:numPr>
          <w:ilvl w:val="0"/>
          <w:numId w:val="0"/>
        </w:numPr>
        <w:ind w:left="5533"/>
        <w:rPr>
          <w:szCs w:val="22"/>
        </w:rPr>
      </w:pPr>
      <w:r>
        <w:rPr>
          <w:i/>
          <w:szCs w:val="22"/>
        </w:rPr>
        <w:t>8</w:t>
      </w:r>
      <w:r w:rsidR="00F43E60">
        <w:rPr>
          <w:i/>
          <w:szCs w:val="22"/>
        </w:rPr>
        <w:t>0</w:t>
      </w:r>
      <w:r>
        <w:rPr>
          <w:i/>
          <w:szCs w:val="22"/>
        </w:rPr>
        <w:t>.</w:t>
      </w:r>
      <w:r w:rsidR="007803CD">
        <w:rPr>
          <w:i/>
          <w:szCs w:val="22"/>
        </w:rPr>
        <w:tab/>
      </w:r>
      <w:r w:rsidR="009D6CAD">
        <w:rPr>
          <w:i/>
          <w:szCs w:val="22"/>
        </w:rPr>
        <w:t xml:space="preserve">The Committee of Experts unanimously adopted this report by electronic means on </w:t>
      </w:r>
      <w:r w:rsidR="009D6CAD" w:rsidRPr="00C76B96">
        <w:rPr>
          <w:i/>
          <w:szCs w:val="22"/>
        </w:rPr>
        <w:t>March 17, 202</w:t>
      </w:r>
      <w:r w:rsidR="00B3257D" w:rsidRPr="00C76B96">
        <w:rPr>
          <w:i/>
          <w:szCs w:val="22"/>
        </w:rPr>
        <w:t>6</w:t>
      </w:r>
      <w:r w:rsidR="009D6CAD" w:rsidRPr="00C76B96">
        <w:rPr>
          <w:i/>
          <w:szCs w:val="22"/>
        </w:rPr>
        <w:t>.</w:t>
      </w:r>
    </w:p>
    <w:p w14:paraId="32D973ED" w14:textId="77777777" w:rsidR="00525678" w:rsidRDefault="00525678" w:rsidP="00767570"/>
    <w:p w14:paraId="5EAA7203" w14:textId="640852ED" w:rsidR="00B24876" w:rsidRPr="00362590" w:rsidRDefault="00767570" w:rsidP="002D6A0D">
      <w:pPr>
        <w:pStyle w:val="ONUME"/>
        <w:numPr>
          <w:ilvl w:val="0"/>
          <w:numId w:val="0"/>
        </w:numPr>
        <w:ind w:left="5533"/>
        <w:rPr>
          <w:caps/>
          <w:kern w:val="32"/>
          <w:szCs w:val="32"/>
        </w:rPr>
      </w:pPr>
      <w:r w:rsidRPr="00362590">
        <w:rPr>
          <w:kern w:val="32"/>
          <w:szCs w:val="32"/>
        </w:rPr>
        <w:t>[Annexes follow</w:t>
      </w:r>
      <w:r w:rsidRPr="00362590">
        <w:rPr>
          <w:caps/>
          <w:kern w:val="32"/>
          <w:szCs w:val="32"/>
        </w:rPr>
        <w:t>]</w:t>
      </w:r>
    </w:p>
    <w:sectPr w:rsidR="00B24876" w:rsidRPr="00362590" w:rsidSect="009C20D0">
      <w:headerReference w:type="default" r:id="rId3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FC100" w14:textId="77777777" w:rsidR="009E08D9" w:rsidRDefault="009E08D9">
      <w:r>
        <w:separator/>
      </w:r>
    </w:p>
  </w:endnote>
  <w:endnote w:type="continuationSeparator" w:id="0">
    <w:p w14:paraId="03B6CE60" w14:textId="77777777" w:rsidR="009E08D9" w:rsidRDefault="009E08D9" w:rsidP="003B38C1">
      <w:r>
        <w:separator/>
      </w:r>
    </w:p>
    <w:p w14:paraId="1717FE43" w14:textId="77777777" w:rsidR="009E08D9" w:rsidRPr="003B38C1" w:rsidRDefault="009E08D9" w:rsidP="003B38C1">
      <w:pPr>
        <w:spacing w:after="60"/>
        <w:rPr>
          <w:sz w:val="17"/>
        </w:rPr>
      </w:pPr>
      <w:r>
        <w:rPr>
          <w:sz w:val="17"/>
        </w:rPr>
        <w:t>[Endnote continued from previous page]</w:t>
      </w:r>
    </w:p>
  </w:endnote>
  <w:endnote w:type="continuationNotice" w:id="1">
    <w:p w14:paraId="2DFE6D68" w14:textId="77777777" w:rsidR="009E08D9" w:rsidRPr="003B38C1" w:rsidRDefault="009E08D9"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E8FE4" w14:textId="77777777" w:rsidR="009E08D9" w:rsidRDefault="009E08D9">
      <w:r>
        <w:separator/>
      </w:r>
    </w:p>
  </w:footnote>
  <w:footnote w:type="continuationSeparator" w:id="0">
    <w:p w14:paraId="4ABADAE4" w14:textId="77777777" w:rsidR="009E08D9" w:rsidRDefault="009E08D9" w:rsidP="008B60B2">
      <w:r>
        <w:separator/>
      </w:r>
    </w:p>
    <w:p w14:paraId="7D6C2B0D" w14:textId="77777777" w:rsidR="009E08D9" w:rsidRPr="00ED77FB" w:rsidRDefault="009E08D9" w:rsidP="008B60B2">
      <w:pPr>
        <w:spacing w:after="60"/>
        <w:rPr>
          <w:sz w:val="17"/>
          <w:szCs w:val="17"/>
        </w:rPr>
      </w:pPr>
      <w:r w:rsidRPr="00ED77FB">
        <w:rPr>
          <w:sz w:val="17"/>
          <w:szCs w:val="17"/>
        </w:rPr>
        <w:t>[Footnote continued from previous page]</w:t>
      </w:r>
    </w:p>
  </w:footnote>
  <w:footnote w:type="continuationNotice" w:id="1">
    <w:p w14:paraId="101A9B29" w14:textId="77777777" w:rsidR="009E08D9" w:rsidRPr="00ED77FB" w:rsidRDefault="009E08D9"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619BE" w14:textId="108D1B32" w:rsidR="00D07C78" w:rsidRPr="002326AB" w:rsidRDefault="009C20D0" w:rsidP="00477D6B">
    <w:pPr>
      <w:jc w:val="right"/>
      <w:rPr>
        <w:caps/>
      </w:rPr>
    </w:pPr>
    <w:bookmarkStart w:id="6" w:name="Code2"/>
    <w:bookmarkEnd w:id="6"/>
    <w:r>
      <w:rPr>
        <w:caps/>
      </w:rPr>
      <w:t xml:space="preserve">IPC/CE/57/2 </w:t>
    </w:r>
  </w:p>
  <w:p w14:paraId="29168250" w14:textId="77777777" w:rsidR="00D07C78" w:rsidRDefault="00D07C78" w:rsidP="0002478C">
    <w:pPr>
      <w:spacing w:after="480"/>
      <w:jc w:val="right"/>
    </w:pPr>
    <w:r>
      <w:t xml:space="preserve">page </w:t>
    </w:r>
    <w:r>
      <w:fldChar w:fldCharType="begin"/>
    </w:r>
    <w:r>
      <w:instrText xml:space="preserve"> PAGE  \* MERGEFORMAT </w:instrText>
    </w:r>
    <w:r>
      <w:fldChar w:fldCharType="separate"/>
    </w:r>
    <w:r w:rsidR="002326AB">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CD29E3"/>
    <w:multiLevelType w:val="multilevel"/>
    <w:tmpl w:val="B672B098"/>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09633668">
    <w:abstractNumId w:val="10"/>
  </w:num>
  <w:num w:numId="2" w16cid:durableId="1323268274">
    <w:abstractNumId w:val="12"/>
  </w:num>
  <w:num w:numId="3" w16cid:durableId="911237250">
    <w:abstractNumId w:val="7"/>
  </w:num>
  <w:num w:numId="4" w16cid:durableId="771123300">
    <w:abstractNumId w:val="13"/>
  </w:num>
  <w:num w:numId="5" w16cid:durableId="1152914487">
    <w:abstractNumId w:val="9"/>
  </w:num>
  <w:num w:numId="6" w16cid:durableId="264928746">
    <w:abstractNumId w:val="11"/>
  </w:num>
  <w:num w:numId="7" w16cid:durableId="1872919482">
    <w:abstractNumId w:val="8"/>
  </w:num>
  <w:num w:numId="8" w16cid:durableId="2127115783">
    <w:abstractNumId w:val="6"/>
  </w:num>
  <w:num w:numId="9" w16cid:durableId="1980064865">
    <w:abstractNumId w:val="5"/>
  </w:num>
  <w:num w:numId="10" w16cid:durableId="1367949066">
    <w:abstractNumId w:val="4"/>
  </w:num>
  <w:num w:numId="11" w16cid:durableId="600182744">
    <w:abstractNumId w:val="3"/>
  </w:num>
  <w:num w:numId="12" w16cid:durableId="999192063">
    <w:abstractNumId w:val="2"/>
  </w:num>
  <w:num w:numId="13" w16cid:durableId="369376173">
    <w:abstractNumId w:val="1"/>
  </w:num>
  <w:num w:numId="14" w16cid:durableId="974142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0D0"/>
    <w:rsid w:val="000017D5"/>
    <w:rsid w:val="00001FCF"/>
    <w:rsid w:val="00004BC7"/>
    <w:rsid w:val="000057E8"/>
    <w:rsid w:val="00005BE3"/>
    <w:rsid w:val="00006975"/>
    <w:rsid w:val="00007154"/>
    <w:rsid w:val="00010E87"/>
    <w:rsid w:val="000114D9"/>
    <w:rsid w:val="000170DD"/>
    <w:rsid w:val="00017BAD"/>
    <w:rsid w:val="0002478C"/>
    <w:rsid w:val="0002741F"/>
    <w:rsid w:val="00031F32"/>
    <w:rsid w:val="00032DCD"/>
    <w:rsid w:val="0003522C"/>
    <w:rsid w:val="0003534F"/>
    <w:rsid w:val="000434B3"/>
    <w:rsid w:val="000434DB"/>
    <w:rsid w:val="00043CAA"/>
    <w:rsid w:val="00050C25"/>
    <w:rsid w:val="00054C1B"/>
    <w:rsid w:val="00056816"/>
    <w:rsid w:val="00057DB5"/>
    <w:rsid w:val="0006485B"/>
    <w:rsid w:val="00070B23"/>
    <w:rsid w:val="000720B3"/>
    <w:rsid w:val="00073954"/>
    <w:rsid w:val="00075432"/>
    <w:rsid w:val="000924DB"/>
    <w:rsid w:val="00092549"/>
    <w:rsid w:val="00093121"/>
    <w:rsid w:val="00094717"/>
    <w:rsid w:val="000968ED"/>
    <w:rsid w:val="00097700"/>
    <w:rsid w:val="000A3D97"/>
    <w:rsid w:val="000A59D6"/>
    <w:rsid w:val="000A5E4A"/>
    <w:rsid w:val="000C0717"/>
    <w:rsid w:val="000C4BB4"/>
    <w:rsid w:val="000C780D"/>
    <w:rsid w:val="000D219A"/>
    <w:rsid w:val="000D3A1E"/>
    <w:rsid w:val="000D3E66"/>
    <w:rsid w:val="000D521D"/>
    <w:rsid w:val="000E06B5"/>
    <w:rsid w:val="000E4C15"/>
    <w:rsid w:val="000E756A"/>
    <w:rsid w:val="000F1B3A"/>
    <w:rsid w:val="000F29C5"/>
    <w:rsid w:val="000F3C5D"/>
    <w:rsid w:val="000F5E56"/>
    <w:rsid w:val="001002D0"/>
    <w:rsid w:val="00100D10"/>
    <w:rsid w:val="00100E69"/>
    <w:rsid w:val="0010162A"/>
    <w:rsid w:val="001040EF"/>
    <w:rsid w:val="00105C87"/>
    <w:rsid w:val="00111D92"/>
    <w:rsid w:val="00112356"/>
    <w:rsid w:val="00112D6E"/>
    <w:rsid w:val="00121D74"/>
    <w:rsid w:val="001227E6"/>
    <w:rsid w:val="0012344C"/>
    <w:rsid w:val="00124507"/>
    <w:rsid w:val="00124BB8"/>
    <w:rsid w:val="00124D73"/>
    <w:rsid w:val="001301E5"/>
    <w:rsid w:val="00130B04"/>
    <w:rsid w:val="00130C70"/>
    <w:rsid w:val="00133488"/>
    <w:rsid w:val="001343C0"/>
    <w:rsid w:val="00134C25"/>
    <w:rsid w:val="001362EE"/>
    <w:rsid w:val="00142043"/>
    <w:rsid w:val="001455EF"/>
    <w:rsid w:val="00146C8B"/>
    <w:rsid w:val="00146EDF"/>
    <w:rsid w:val="001504A2"/>
    <w:rsid w:val="00150E8F"/>
    <w:rsid w:val="00151ECE"/>
    <w:rsid w:val="00153BDB"/>
    <w:rsid w:val="0015563F"/>
    <w:rsid w:val="001613A1"/>
    <w:rsid w:val="00161C59"/>
    <w:rsid w:val="00162B72"/>
    <w:rsid w:val="001647D5"/>
    <w:rsid w:val="00172068"/>
    <w:rsid w:val="001750B6"/>
    <w:rsid w:val="001832A6"/>
    <w:rsid w:val="001848ED"/>
    <w:rsid w:val="001861FB"/>
    <w:rsid w:val="00187EE8"/>
    <w:rsid w:val="00190EA1"/>
    <w:rsid w:val="001913ED"/>
    <w:rsid w:val="00193D78"/>
    <w:rsid w:val="00193FA8"/>
    <w:rsid w:val="001960E9"/>
    <w:rsid w:val="00196A76"/>
    <w:rsid w:val="00197516"/>
    <w:rsid w:val="00197C12"/>
    <w:rsid w:val="001A44F3"/>
    <w:rsid w:val="001B1A63"/>
    <w:rsid w:val="001C2D15"/>
    <w:rsid w:val="001C7C7C"/>
    <w:rsid w:val="001D14F5"/>
    <w:rsid w:val="001D2418"/>
    <w:rsid w:val="001D4107"/>
    <w:rsid w:val="001E2C12"/>
    <w:rsid w:val="001E6F5D"/>
    <w:rsid w:val="00200997"/>
    <w:rsid w:val="0020258B"/>
    <w:rsid w:val="002037F8"/>
    <w:rsid w:val="00203D24"/>
    <w:rsid w:val="0020703F"/>
    <w:rsid w:val="0021217E"/>
    <w:rsid w:val="0021399C"/>
    <w:rsid w:val="002160D3"/>
    <w:rsid w:val="0022081D"/>
    <w:rsid w:val="00221AF8"/>
    <w:rsid w:val="00222535"/>
    <w:rsid w:val="002239DB"/>
    <w:rsid w:val="0022409B"/>
    <w:rsid w:val="00225260"/>
    <w:rsid w:val="002326AB"/>
    <w:rsid w:val="0023546C"/>
    <w:rsid w:val="00236B10"/>
    <w:rsid w:val="0024289B"/>
    <w:rsid w:val="00243430"/>
    <w:rsid w:val="00251DEF"/>
    <w:rsid w:val="0025626E"/>
    <w:rsid w:val="00261927"/>
    <w:rsid w:val="00261BB9"/>
    <w:rsid w:val="00261F68"/>
    <w:rsid w:val="002634C4"/>
    <w:rsid w:val="002664DA"/>
    <w:rsid w:val="00267CAD"/>
    <w:rsid w:val="002714C5"/>
    <w:rsid w:val="00272EF3"/>
    <w:rsid w:val="002769BA"/>
    <w:rsid w:val="00281B14"/>
    <w:rsid w:val="002834DB"/>
    <w:rsid w:val="002843E8"/>
    <w:rsid w:val="002865BB"/>
    <w:rsid w:val="00287334"/>
    <w:rsid w:val="00287BCA"/>
    <w:rsid w:val="002918DF"/>
    <w:rsid w:val="002928D3"/>
    <w:rsid w:val="0029373F"/>
    <w:rsid w:val="00293B21"/>
    <w:rsid w:val="002A0C87"/>
    <w:rsid w:val="002A2F92"/>
    <w:rsid w:val="002A323C"/>
    <w:rsid w:val="002A3E2D"/>
    <w:rsid w:val="002A6B2D"/>
    <w:rsid w:val="002B0072"/>
    <w:rsid w:val="002B248B"/>
    <w:rsid w:val="002B64D1"/>
    <w:rsid w:val="002C31AD"/>
    <w:rsid w:val="002D0035"/>
    <w:rsid w:val="002D0D80"/>
    <w:rsid w:val="002D10B5"/>
    <w:rsid w:val="002D6A0D"/>
    <w:rsid w:val="002E024F"/>
    <w:rsid w:val="002F1FE6"/>
    <w:rsid w:val="002F33F8"/>
    <w:rsid w:val="002F3D7E"/>
    <w:rsid w:val="002F4E68"/>
    <w:rsid w:val="002F543B"/>
    <w:rsid w:val="002F6438"/>
    <w:rsid w:val="002F6670"/>
    <w:rsid w:val="00300891"/>
    <w:rsid w:val="003036EB"/>
    <w:rsid w:val="003112E2"/>
    <w:rsid w:val="00312127"/>
    <w:rsid w:val="00312224"/>
    <w:rsid w:val="00312E0C"/>
    <w:rsid w:val="00312F7F"/>
    <w:rsid w:val="00313EF2"/>
    <w:rsid w:val="00314CB8"/>
    <w:rsid w:val="003151EA"/>
    <w:rsid w:val="00317AEB"/>
    <w:rsid w:val="00320355"/>
    <w:rsid w:val="003211C0"/>
    <w:rsid w:val="00327FA7"/>
    <w:rsid w:val="003304FF"/>
    <w:rsid w:val="00332EAE"/>
    <w:rsid w:val="0033314C"/>
    <w:rsid w:val="00334EFE"/>
    <w:rsid w:val="003361C0"/>
    <w:rsid w:val="00337B65"/>
    <w:rsid w:val="003411AF"/>
    <w:rsid w:val="00342A36"/>
    <w:rsid w:val="00355AA8"/>
    <w:rsid w:val="003572E7"/>
    <w:rsid w:val="0036099A"/>
    <w:rsid w:val="00361450"/>
    <w:rsid w:val="00362590"/>
    <w:rsid w:val="003648C0"/>
    <w:rsid w:val="003673CF"/>
    <w:rsid w:val="00367C57"/>
    <w:rsid w:val="00376611"/>
    <w:rsid w:val="003810B7"/>
    <w:rsid w:val="00381879"/>
    <w:rsid w:val="003845C1"/>
    <w:rsid w:val="0038585D"/>
    <w:rsid w:val="00387548"/>
    <w:rsid w:val="00396714"/>
    <w:rsid w:val="00396A93"/>
    <w:rsid w:val="003A1828"/>
    <w:rsid w:val="003A4149"/>
    <w:rsid w:val="003A6D60"/>
    <w:rsid w:val="003A6F89"/>
    <w:rsid w:val="003B0756"/>
    <w:rsid w:val="003B1665"/>
    <w:rsid w:val="003B382B"/>
    <w:rsid w:val="003B38C1"/>
    <w:rsid w:val="003B4929"/>
    <w:rsid w:val="003B6010"/>
    <w:rsid w:val="003B6A96"/>
    <w:rsid w:val="003C1BD8"/>
    <w:rsid w:val="003C34E9"/>
    <w:rsid w:val="003C4097"/>
    <w:rsid w:val="003C795D"/>
    <w:rsid w:val="003C7BEA"/>
    <w:rsid w:val="003C7CB5"/>
    <w:rsid w:val="003D125D"/>
    <w:rsid w:val="003D754F"/>
    <w:rsid w:val="003D7C51"/>
    <w:rsid w:val="003E071A"/>
    <w:rsid w:val="003E078B"/>
    <w:rsid w:val="003E3D93"/>
    <w:rsid w:val="003E3F7F"/>
    <w:rsid w:val="003E4051"/>
    <w:rsid w:val="003F25B7"/>
    <w:rsid w:val="003F36CA"/>
    <w:rsid w:val="003F3D2E"/>
    <w:rsid w:val="003F4DA7"/>
    <w:rsid w:val="003F7263"/>
    <w:rsid w:val="0040725C"/>
    <w:rsid w:val="00415BE4"/>
    <w:rsid w:val="00415F9B"/>
    <w:rsid w:val="00423E3E"/>
    <w:rsid w:val="00425653"/>
    <w:rsid w:val="004260EF"/>
    <w:rsid w:val="00427AF4"/>
    <w:rsid w:val="00430232"/>
    <w:rsid w:val="004369A3"/>
    <w:rsid w:val="00437833"/>
    <w:rsid w:val="00437ABF"/>
    <w:rsid w:val="004442DA"/>
    <w:rsid w:val="0044458D"/>
    <w:rsid w:val="00446D17"/>
    <w:rsid w:val="00447EE1"/>
    <w:rsid w:val="004513AC"/>
    <w:rsid w:val="00453748"/>
    <w:rsid w:val="00456A61"/>
    <w:rsid w:val="004647DA"/>
    <w:rsid w:val="004652B3"/>
    <w:rsid w:val="00465362"/>
    <w:rsid w:val="00466317"/>
    <w:rsid w:val="00471865"/>
    <w:rsid w:val="00472AED"/>
    <w:rsid w:val="00473DB8"/>
    <w:rsid w:val="00474062"/>
    <w:rsid w:val="00476D34"/>
    <w:rsid w:val="00477D6B"/>
    <w:rsid w:val="00482659"/>
    <w:rsid w:val="004834BB"/>
    <w:rsid w:val="004865F3"/>
    <w:rsid w:val="004904EE"/>
    <w:rsid w:val="0049155A"/>
    <w:rsid w:val="0049252E"/>
    <w:rsid w:val="00494503"/>
    <w:rsid w:val="00494C18"/>
    <w:rsid w:val="00495D03"/>
    <w:rsid w:val="004A3947"/>
    <w:rsid w:val="004A3B11"/>
    <w:rsid w:val="004A665E"/>
    <w:rsid w:val="004A70DC"/>
    <w:rsid w:val="004A742E"/>
    <w:rsid w:val="004B2328"/>
    <w:rsid w:val="004B4620"/>
    <w:rsid w:val="004B65C6"/>
    <w:rsid w:val="004C00B5"/>
    <w:rsid w:val="004C07FD"/>
    <w:rsid w:val="004C0BD2"/>
    <w:rsid w:val="004C14FF"/>
    <w:rsid w:val="004C22BE"/>
    <w:rsid w:val="004C32B0"/>
    <w:rsid w:val="004C4295"/>
    <w:rsid w:val="004D0094"/>
    <w:rsid w:val="004D014D"/>
    <w:rsid w:val="004D087F"/>
    <w:rsid w:val="004D08ED"/>
    <w:rsid w:val="004D1B4D"/>
    <w:rsid w:val="004E0CD2"/>
    <w:rsid w:val="004E0E6E"/>
    <w:rsid w:val="004F4E51"/>
    <w:rsid w:val="00500E56"/>
    <w:rsid w:val="005019FF"/>
    <w:rsid w:val="005025A7"/>
    <w:rsid w:val="00504C45"/>
    <w:rsid w:val="005058DE"/>
    <w:rsid w:val="00511466"/>
    <w:rsid w:val="00512C39"/>
    <w:rsid w:val="00523239"/>
    <w:rsid w:val="00525678"/>
    <w:rsid w:val="00525F9F"/>
    <w:rsid w:val="0053057A"/>
    <w:rsid w:val="00533A69"/>
    <w:rsid w:val="00533B63"/>
    <w:rsid w:val="00541145"/>
    <w:rsid w:val="00541451"/>
    <w:rsid w:val="005417A4"/>
    <w:rsid w:val="00542BE0"/>
    <w:rsid w:val="00552B4F"/>
    <w:rsid w:val="00553F10"/>
    <w:rsid w:val="00555278"/>
    <w:rsid w:val="005557C7"/>
    <w:rsid w:val="00556076"/>
    <w:rsid w:val="00560A29"/>
    <w:rsid w:val="00561354"/>
    <w:rsid w:val="0056569A"/>
    <w:rsid w:val="00566E9F"/>
    <w:rsid w:val="005677BD"/>
    <w:rsid w:val="00567F11"/>
    <w:rsid w:val="0057029E"/>
    <w:rsid w:val="00570A2A"/>
    <w:rsid w:val="005711EE"/>
    <w:rsid w:val="00573177"/>
    <w:rsid w:val="00581413"/>
    <w:rsid w:val="00582929"/>
    <w:rsid w:val="00583710"/>
    <w:rsid w:val="00583AE8"/>
    <w:rsid w:val="005847A3"/>
    <w:rsid w:val="00586424"/>
    <w:rsid w:val="00587A69"/>
    <w:rsid w:val="00590DE6"/>
    <w:rsid w:val="005922E8"/>
    <w:rsid w:val="00595556"/>
    <w:rsid w:val="00597DE9"/>
    <w:rsid w:val="005A0A96"/>
    <w:rsid w:val="005A16E6"/>
    <w:rsid w:val="005A5E4A"/>
    <w:rsid w:val="005A6A1D"/>
    <w:rsid w:val="005B07FF"/>
    <w:rsid w:val="005B2DD7"/>
    <w:rsid w:val="005B3255"/>
    <w:rsid w:val="005B384E"/>
    <w:rsid w:val="005B6BE3"/>
    <w:rsid w:val="005B6C9F"/>
    <w:rsid w:val="005C2DD2"/>
    <w:rsid w:val="005C40BF"/>
    <w:rsid w:val="005C5691"/>
    <w:rsid w:val="005C6649"/>
    <w:rsid w:val="005C67FC"/>
    <w:rsid w:val="005D1F71"/>
    <w:rsid w:val="005D2292"/>
    <w:rsid w:val="005D29AE"/>
    <w:rsid w:val="005D3B17"/>
    <w:rsid w:val="005D60FA"/>
    <w:rsid w:val="005D6636"/>
    <w:rsid w:val="005E4896"/>
    <w:rsid w:val="005E4FCC"/>
    <w:rsid w:val="005F7FE5"/>
    <w:rsid w:val="00605827"/>
    <w:rsid w:val="00607B8F"/>
    <w:rsid w:val="00612B9C"/>
    <w:rsid w:val="00623674"/>
    <w:rsid w:val="0062408A"/>
    <w:rsid w:val="0062575E"/>
    <w:rsid w:val="00631384"/>
    <w:rsid w:val="00633A23"/>
    <w:rsid w:val="006341A4"/>
    <w:rsid w:val="006373F9"/>
    <w:rsid w:val="00637437"/>
    <w:rsid w:val="00643167"/>
    <w:rsid w:val="00644933"/>
    <w:rsid w:val="00646050"/>
    <w:rsid w:val="00650000"/>
    <w:rsid w:val="006535C3"/>
    <w:rsid w:val="0065417C"/>
    <w:rsid w:val="0065431F"/>
    <w:rsid w:val="006546E6"/>
    <w:rsid w:val="006618DB"/>
    <w:rsid w:val="006619EC"/>
    <w:rsid w:val="006647B1"/>
    <w:rsid w:val="006663FD"/>
    <w:rsid w:val="0066694F"/>
    <w:rsid w:val="00667B82"/>
    <w:rsid w:val="00670CAA"/>
    <w:rsid w:val="006713CA"/>
    <w:rsid w:val="00671980"/>
    <w:rsid w:val="00671AFC"/>
    <w:rsid w:val="00676C5C"/>
    <w:rsid w:val="00684C21"/>
    <w:rsid w:val="0068637E"/>
    <w:rsid w:val="00690C64"/>
    <w:rsid w:val="0069202C"/>
    <w:rsid w:val="00696208"/>
    <w:rsid w:val="00697B34"/>
    <w:rsid w:val="006A08AC"/>
    <w:rsid w:val="006A284C"/>
    <w:rsid w:val="006A328F"/>
    <w:rsid w:val="006A3CDE"/>
    <w:rsid w:val="006A745E"/>
    <w:rsid w:val="006A7DC5"/>
    <w:rsid w:val="006B156F"/>
    <w:rsid w:val="006B3EAB"/>
    <w:rsid w:val="006B4B57"/>
    <w:rsid w:val="006B4C32"/>
    <w:rsid w:val="006B7974"/>
    <w:rsid w:val="006B7F05"/>
    <w:rsid w:val="006C5EFD"/>
    <w:rsid w:val="006D18B0"/>
    <w:rsid w:val="006D5BB3"/>
    <w:rsid w:val="006E5169"/>
    <w:rsid w:val="006F0087"/>
    <w:rsid w:val="006F0727"/>
    <w:rsid w:val="006F09A1"/>
    <w:rsid w:val="006F4D09"/>
    <w:rsid w:val="007008A9"/>
    <w:rsid w:val="007013FA"/>
    <w:rsid w:val="007052F8"/>
    <w:rsid w:val="00711974"/>
    <w:rsid w:val="007126C6"/>
    <w:rsid w:val="00714E8E"/>
    <w:rsid w:val="00717D05"/>
    <w:rsid w:val="00720EFD"/>
    <w:rsid w:val="00721C2C"/>
    <w:rsid w:val="00721EE0"/>
    <w:rsid w:val="00725DA9"/>
    <w:rsid w:val="00726A17"/>
    <w:rsid w:val="00727DA5"/>
    <w:rsid w:val="00733D3A"/>
    <w:rsid w:val="00737E07"/>
    <w:rsid w:val="007409A8"/>
    <w:rsid w:val="007410AD"/>
    <w:rsid w:val="00741995"/>
    <w:rsid w:val="00742911"/>
    <w:rsid w:val="00743C81"/>
    <w:rsid w:val="007457E8"/>
    <w:rsid w:val="00750009"/>
    <w:rsid w:val="00750175"/>
    <w:rsid w:val="00753B43"/>
    <w:rsid w:val="0075738A"/>
    <w:rsid w:val="0076202E"/>
    <w:rsid w:val="00762D2B"/>
    <w:rsid w:val="00763CD6"/>
    <w:rsid w:val="00767570"/>
    <w:rsid w:val="00771AA8"/>
    <w:rsid w:val="0077300E"/>
    <w:rsid w:val="00776AEB"/>
    <w:rsid w:val="007803CD"/>
    <w:rsid w:val="0078139F"/>
    <w:rsid w:val="007818D6"/>
    <w:rsid w:val="007854AF"/>
    <w:rsid w:val="00785624"/>
    <w:rsid w:val="00786208"/>
    <w:rsid w:val="00787EF5"/>
    <w:rsid w:val="00792A19"/>
    <w:rsid w:val="007933BD"/>
    <w:rsid w:val="00793A7C"/>
    <w:rsid w:val="00793CB2"/>
    <w:rsid w:val="00795656"/>
    <w:rsid w:val="00795698"/>
    <w:rsid w:val="00795ADE"/>
    <w:rsid w:val="007A03DB"/>
    <w:rsid w:val="007A0FE3"/>
    <w:rsid w:val="007A17CB"/>
    <w:rsid w:val="007A398A"/>
    <w:rsid w:val="007A67F1"/>
    <w:rsid w:val="007B246E"/>
    <w:rsid w:val="007B2509"/>
    <w:rsid w:val="007B2F50"/>
    <w:rsid w:val="007B4C06"/>
    <w:rsid w:val="007B6E1A"/>
    <w:rsid w:val="007B7EF9"/>
    <w:rsid w:val="007C42A6"/>
    <w:rsid w:val="007D0152"/>
    <w:rsid w:val="007D05E9"/>
    <w:rsid w:val="007D108D"/>
    <w:rsid w:val="007D1613"/>
    <w:rsid w:val="007D17E8"/>
    <w:rsid w:val="007D1886"/>
    <w:rsid w:val="007D1C5C"/>
    <w:rsid w:val="007D726D"/>
    <w:rsid w:val="007E382F"/>
    <w:rsid w:val="007E4C0E"/>
    <w:rsid w:val="007F291C"/>
    <w:rsid w:val="007F6D43"/>
    <w:rsid w:val="00801D3D"/>
    <w:rsid w:val="008041EB"/>
    <w:rsid w:val="00806C81"/>
    <w:rsid w:val="00807B82"/>
    <w:rsid w:val="00811295"/>
    <w:rsid w:val="00815B16"/>
    <w:rsid w:val="008177B7"/>
    <w:rsid w:val="008250D3"/>
    <w:rsid w:val="008272E2"/>
    <w:rsid w:val="0083024B"/>
    <w:rsid w:val="00832D12"/>
    <w:rsid w:val="00843E59"/>
    <w:rsid w:val="00844747"/>
    <w:rsid w:val="00846E77"/>
    <w:rsid w:val="00850548"/>
    <w:rsid w:val="00854E5E"/>
    <w:rsid w:val="00856E60"/>
    <w:rsid w:val="00861123"/>
    <w:rsid w:val="008614B3"/>
    <w:rsid w:val="00864AC3"/>
    <w:rsid w:val="008674D6"/>
    <w:rsid w:val="00870305"/>
    <w:rsid w:val="00874FFD"/>
    <w:rsid w:val="008765B9"/>
    <w:rsid w:val="008860AC"/>
    <w:rsid w:val="0088615A"/>
    <w:rsid w:val="0088745A"/>
    <w:rsid w:val="00890917"/>
    <w:rsid w:val="00894E25"/>
    <w:rsid w:val="008960EB"/>
    <w:rsid w:val="00896A41"/>
    <w:rsid w:val="008A134B"/>
    <w:rsid w:val="008A3298"/>
    <w:rsid w:val="008A6230"/>
    <w:rsid w:val="008B2CC1"/>
    <w:rsid w:val="008B5444"/>
    <w:rsid w:val="008B5BE5"/>
    <w:rsid w:val="008B60B2"/>
    <w:rsid w:val="008B6A9E"/>
    <w:rsid w:val="008C2467"/>
    <w:rsid w:val="008C3995"/>
    <w:rsid w:val="008C4ED0"/>
    <w:rsid w:val="008D2650"/>
    <w:rsid w:val="008D4B1A"/>
    <w:rsid w:val="008E0B67"/>
    <w:rsid w:val="008E0DC4"/>
    <w:rsid w:val="008E1C60"/>
    <w:rsid w:val="008E1D9A"/>
    <w:rsid w:val="008E1E3B"/>
    <w:rsid w:val="008E45F0"/>
    <w:rsid w:val="008F06F5"/>
    <w:rsid w:val="008F1DD0"/>
    <w:rsid w:val="008F2024"/>
    <w:rsid w:val="008F4997"/>
    <w:rsid w:val="008F5593"/>
    <w:rsid w:val="008F5B35"/>
    <w:rsid w:val="00903314"/>
    <w:rsid w:val="0090731E"/>
    <w:rsid w:val="009111CD"/>
    <w:rsid w:val="009165EA"/>
    <w:rsid w:val="00916AA1"/>
    <w:rsid w:val="00916EE2"/>
    <w:rsid w:val="00921F20"/>
    <w:rsid w:val="00923FCF"/>
    <w:rsid w:val="0093142D"/>
    <w:rsid w:val="00932134"/>
    <w:rsid w:val="009333A5"/>
    <w:rsid w:val="00934076"/>
    <w:rsid w:val="0093437C"/>
    <w:rsid w:val="009352EA"/>
    <w:rsid w:val="009355A7"/>
    <w:rsid w:val="00942749"/>
    <w:rsid w:val="00945319"/>
    <w:rsid w:val="009512E0"/>
    <w:rsid w:val="009609D1"/>
    <w:rsid w:val="0096415A"/>
    <w:rsid w:val="00966449"/>
    <w:rsid w:val="00966527"/>
    <w:rsid w:val="00966A22"/>
    <w:rsid w:val="0096722F"/>
    <w:rsid w:val="00970994"/>
    <w:rsid w:val="00971496"/>
    <w:rsid w:val="009732B8"/>
    <w:rsid w:val="00975A6E"/>
    <w:rsid w:val="00975E6C"/>
    <w:rsid w:val="009800D7"/>
    <w:rsid w:val="00980843"/>
    <w:rsid w:val="00980DC3"/>
    <w:rsid w:val="00986D84"/>
    <w:rsid w:val="00991863"/>
    <w:rsid w:val="009A04DA"/>
    <w:rsid w:val="009A1110"/>
    <w:rsid w:val="009A19CB"/>
    <w:rsid w:val="009A2A68"/>
    <w:rsid w:val="009A3251"/>
    <w:rsid w:val="009A69C1"/>
    <w:rsid w:val="009B11FD"/>
    <w:rsid w:val="009B1403"/>
    <w:rsid w:val="009B3107"/>
    <w:rsid w:val="009B4883"/>
    <w:rsid w:val="009C20D0"/>
    <w:rsid w:val="009C2B8D"/>
    <w:rsid w:val="009C36E3"/>
    <w:rsid w:val="009C3B35"/>
    <w:rsid w:val="009C3BE5"/>
    <w:rsid w:val="009C68B7"/>
    <w:rsid w:val="009D381C"/>
    <w:rsid w:val="009D5B80"/>
    <w:rsid w:val="009D6CAD"/>
    <w:rsid w:val="009E08D9"/>
    <w:rsid w:val="009E2791"/>
    <w:rsid w:val="009E3F6F"/>
    <w:rsid w:val="009E5CE3"/>
    <w:rsid w:val="009F02A3"/>
    <w:rsid w:val="009F499F"/>
    <w:rsid w:val="009F56AF"/>
    <w:rsid w:val="009F5B73"/>
    <w:rsid w:val="009F60AB"/>
    <w:rsid w:val="00A00893"/>
    <w:rsid w:val="00A0692C"/>
    <w:rsid w:val="00A079AF"/>
    <w:rsid w:val="00A07C59"/>
    <w:rsid w:val="00A10090"/>
    <w:rsid w:val="00A13546"/>
    <w:rsid w:val="00A157BE"/>
    <w:rsid w:val="00A176FE"/>
    <w:rsid w:val="00A20016"/>
    <w:rsid w:val="00A2162F"/>
    <w:rsid w:val="00A31065"/>
    <w:rsid w:val="00A31A17"/>
    <w:rsid w:val="00A3220F"/>
    <w:rsid w:val="00A357FA"/>
    <w:rsid w:val="00A362CF"/>
    <w:rsid w:val="00A37342"/>
    <w:rsid w:val="00A3777E"/>
    <w:rsid w:val="00A42DAF"/>
    <w:rsid w:val="00A43735"/>
    <w:rsid w:val="00A45BD8"/>
    <w:rsid w:val="00A52870"/>
    <w:rsid w:val="00A55B3C"/>
    <w:rsid w:val="00A55EC2"/>
    <w:rsid w:val="00A6560E"/>
    <w:rsid w:val="00A66B3D"/>
    <w:rsid w:val="00A7005E"/>
    <w:rsid w:val="00A74818"/>
    <w:rsid w:val="00A77E5F"/>
    <w:rsid w:val="00A800CF"/>
    <w:rsid w:val="00A807BF"/>
    <w:rsid w:val="00A82258"/>
    <w:rsid w:val="00A83A25"/>
    <w:rsid w:val="00A869B7"/>
    <w:rsid w:val="00A87321"/>
    <w:rsid w:val="00A901C1"/>
    <w:rsid w:val="00A90236"/>
    <w:rsid w:val="00A90626"/>
    <w:rsid w:val="00A9066F"/>
    <w:rsid w:val="00A90F0A"/>
    <w:rsid w:val="00A91AA5"/>
    <w:rsid w:val="00A91F4D"/>
    <w:rsid w:val="00A9249C"/>
    <w:rsid w:val="00A95F1C"/>
    <w:rsid w:val="00A975DA"/>
    <w:rsid w:val="00A97B8A"/>
    <w:rsid w:val="00AA1BD3"/>
    <w:rsid w:val="00AA53DC"/>
    <w:rsid w:val="00AA79D3"/>
    <w:rsid w:val="00AB2A36"/>
    <w:rsid w:val="00AC06FE"/>
    <w:rsid w:val="00AC205C"/>
    <w:rsid w:val="00AC34E9"/>
    <w:rsid w:val="00AC3833"/>
    <w:rsid w:val="00AC68E3"/>
    <w:rsid w:val="00AD186D"/>
    <w:rsid w:val="00AD33A5"/>
    <w:rsid w:val="00AD343F"/>
    <w:rsid w:val="00AD6721"/>
    <w:rsid w:val="00AE0087"/>
    <w:rsid w:val="00AE3606"/>
    <w:rsid w:val="00AF0A6B"/>
    <w:rsid w:val="00AF1E15"/>
    <w:rsid w:val="00AF21FB"/>
    <w:rsid w:val="00AF51DA"/>
    <w:rsid w:val="00AF63CF"/>
    <w:rsid w:val="00AF6FEA"/>
    <w:rsid w:val="00B00361"/>
    <w:rsid w:val="00B02FEF"/>
    <w:rsid w:val="00B05A69"/>
    <w:rsid w:val="00B115EC"/>
    <w:rsid w:val="00B13C65"/>
    <w:rsid w:val="00B207B5"/>
    <w:rsid w:val="00B22FE8"/>
    <w:rsid w:val="00B24876"/>
    <w:rsid w:val="00B2563D"/>
    <w:rsid w:val="00B27023"/>
    <w:rsid w:val="00B27305"/>
    <w:rsid w:val="00B27388"/>
    <w:rsid w:val="00B3257D"/>
    <w:rsid w:val="00B34761"/>
    <w:rsid w:val="00B37725"/>
    <w:rsid w:val="00B4079C"/>
    <w:rsid w:val="00B437E1"/>
    <w:rsid w:val="00B461FD"/>
    <w:rsid w:val="00B51ABF"/>
    <w:rsid w:val="00B520D4"/>
    <w:rsid w:val="00B53C1B"/>
    <w:rsid w:val="00B54625"/>
    <w:rsid w:val="00B55CF0"/>
    <w:rsid w:val="00B61B81"/>
    <w:rsid w:val="00B65478"/>
    <w:rsid w:val="00B6726C"/>
    <w:rsid w:val="00B67AC3"/>
    <w:rsid w:val="00B70E43"/>
    <w:rsid w:val="00B71217"/>
    <w:rsid w:val="00B71F53"/>
    <w:rsid w:val="00B7250F"/>
    <w:rsid w:val="00B75281"/>
    <w:rsid w:val="00B81473"/>
    <w:rsid w:val="00B867EF"/>
    <w:rsid w:val="00B8785E"/>
    <w:rsid w:val="00B87A2A"/>
    <w:rsid w:val="00B87D07"/>
    <w:rsid w:val="00B92604"/>
    <w:rsid w:val="00B92F1F"/>
    <w:rsid w:val="00B94BA2"/>
    <w:rsid w:val="00B970AB"/>
    <w:rsid w:val="00B9734B"/>
    <w:rsid w:val="00BA012D"/>
    <w:rsid w:val="00BA0DFC"/>
    <w:rsid w:val="00BA1E5A"/>
    <w:rsid w:val="00BA30E2"/>
    <w:rsid w:val="00BA4C42"/>
    <w:rsid w:val="00BA7EDB"/>
    <w:rsid w:val="00BB0FC1"/>
    <w:rsid w:val="00BB148D"/>
    <w:rsid w:val="00BB1960"/>
    <w:rsid w:val="00BB19ED"/>
    <w:rsid w:val="00BB2270"/>
    <w:rsid w:val="00BB2D8A"/>
    <w:rsid w:val="00BB33AA"/>
    <w:rsid w:val="00BB6224"/>
    <w:rsid w:val="00BC57C7"/>
    <w:rsid w:val="00BC5E9A"/>
    <w:rsid w:val="00BC6BA4"/>
    <w:rsid w:val="00BD0D1D"/>
    <w:rsid w:val="00BD3F2A"/>
    <w:rsid w:val="00BD4875"/>
    <w:rsid w:val="00BD521B"/>
    <w:rsid w:val="00BE4B73"/>
    <w:rsid w:val="00BE63CE"/>
    <w:rsid w:val="00BE7320"/>
    <w:rsid w:val="00BF06A3"/>
    <w:rsid w:val="00BF28F8"/>
    <w:rsid w:val="00BF5E0E"/>
    <w:rsid w:val="00BF725A"/>
    <w:rsid w:val="00C05CB9"/>
    <w:rsid w:val="00C067B6"/>
    <w:rsid w:val="00C11BFE"/>
    <w:rsid w:val="00C153B5"/>
    <w:rsid w:val="00C1627D"/>
    <w:rsid w:val="00C1749F"/>
    <w:rsid w:val="00C17557"/>
    <w:rsid w:val="00C26E99"/>
    <w:rsid w:val="00C333AA"/>
    <w:rsid w:val="00C34924"/>
    <w:rsid w:val="00C36565"/>
    <w:rsid w:val="00C41528"/>
    <w:rsid w:val="00C41695"/>
    <w:rsid w:val="00C41AC5"/>
    <w:rsid w:val="00C44CFE"/>
    <w:rsid w:val="00C46FBF"/>
    <w:rsid w:val="00C47D61"/>
    <w:rsid w:val="00C5068F"/>
    <w:rsid w:val="00C5413B"/>
    <w:rsid w:val="00C54DE1"/>
    <w:rsid w:val="00C6340E"/>
    <w:rsid w:val="00C71AF9"/>
    <w:rsid w:val="00C73B4E"/>
    <w:rsid w:val="00C74B43"/>
    <w:rsid w:val="00C76B96"/>
    <w:rsid w:val="00C771DF"/>
    <w:rsid w:val="00C7759C"/>
    <w:rsid w:val="00C77C0B"/>
    <w:rsid w:val="00C807A3"/>
    <w:rsid w:val="00C86D74"/>
    <w:rsid w:val="00C87143"/>
    <w:rsid w:val="00C874F5"/>
    <w:rsid w:val="00CA38A1"/>
    <w:rsid w:val="00CA5597"/>
    <w:rsid w:val="00CB113D"/>
    <w:rsid w:val="00CB5505"/>
    <w:rsid w:val="00CC11BC"/>
    <w:rsid w:val="00CC1689"/>
    <w:rsid w:val="00CC1D73"/>
    <w:rsid w:val="00CC2329"/>
    <w:rsid w:val="00CC3686"/>
    <w:rsid w:val="00CD0163"/>
    <w:rsid w:val="00CD04F1"/>
    <w:rsid w:val="00CD1F2F"/>
    <w:rsid w:val="00CD3440"/>
    <w:rsid w:val="00CE26FA"/>
    <w:rsid w:val="00CE6BB7"/>
    <w:rsid w:val="00CF0AB5"/>
    <w:rsid w:val="00CF1B88"/>
    <w:rsid w:val="00CF1D3C"/>
    <w:rsid w:val="00CF681A"/>
    <w:rsid w:val="00D008A5"/>
    <w:rsid w:val="00D04069"/>
    <w:rsid w:val="00D07203"/>
    <w:rsid w:val="00D07C78"/>
    <w:rsid w:val="00D07E01"/>
    <w:rsid w:val="00D12A51"/>
    <w:rsid w:val="00D13715"/>
    <w:rsid w:val="00D15DBD"/>
    <w:rsid w:val="00D17099"/>
    <w:rsid w:val="00D24FAE"/>
    <w:rsid w:val="00D258B9"/>
    <w:rsid w:val="00D268B2"/>
    <w:rsid w:val="00D305EE"/>
    <w:rsid w:val="00D33303"/>
    <w:rsid w:val="00D44697"/>
    <w:rsid w:val="00D45252"/>
    <w:rsid w:val="00D460B8"/>
    <w:rsid w:val="00D518AD"/>
    <w:rsid w:val="00D53C5F"/>
    <w:rsid w:val="00D559C9"/>
    <w:rsid w:val="00D60DC2"/>
    <w:rsid w:val="00D66DA7"/>
    <w:rsid w:val="00D6791A"/>
    <w:rsid w:val="00D70212"/>
    <w:rsid w:val="00D71B4D"/>
    <w:rsid w:val="00D73695"/>
    <w:rsid w:val="00D85087"/>
    <w:rsid w:val="00D8527B"/>
    <w:rsid w:val="00D85A33"/>
    <w:rsid w:val="00D85C5D"/>
    <w:rsid w:val="00D86849"/>
    <w:rsid w:val="00D9079D"/>
    <w:rsid w:val="00D91541"/>
    <w:rsid w:val="00D93D55"/>
    <w:rsid w:val="00D93F13"/>
    <w:rsid w:val="00D95FD5"/>
    <w:rsid w:val="00D967E7"/>
    <w:rsid w:val="00DA185C"/>
    <w:rsid w:val="00DA4665"/>
    <w:rsid w:val="00DA696A"/>
    <w:rsid w:val="00DB0061"/>
    <w:rsid w:val="00DB0B52"/>
    <w:rsid w:val="00DB0C10"/>
    <w:rsid w:val="00DB47AA"/>
    <w:rsid w:val="00DB5110"/>
    <w:rsid w:val="00DB793A"/>
    <w:rsid w:val="00DB7BFA"/>
    <w:rsid w:val="00DC0170"/>
    <w:rsid w:val="00DC04B9"/>
    <w:rsid w:val="00DC1415"/>
    <w:rsid w:val="00DC316E"/>
    <w:rsid w:val="00DC68BE"/>
    <w:rsid w:val="00DC779B"/>
    <w:rsid w:val="00DD1E31"/>
    <w:rsid w:val="00DD2A97"/>
    <w:rsid w:val="00DD59AA"/>
    <w:rsid w:val="00DD758A"/>
    <w:rsid w:val="00DD7B7F"/>
    <w:rsid w:val="00DE0F54"/>
    <w:rsid w:val="00DE15BC"/>
    <w:rsid w:val="00DE2829"/>
    <w:rsid w:val="00DE3088"/>
    <w:rsid w:val="00DE36F6"/>
    <w:rsid w:val="00DE4686"/>
    <w:rsid w:val="00DE6D4A"/>
    <w:rsid w:val="00DF04B2"/>
    <w:rsid w:val="00DF61BA"/>
    <w:rsid w:val="00E01331"/>
    <w:rsid w:val="00E037D3"/>
    <w:rsid w:val="00E05C2D"/>
    <w:rsid w:val="00E063D2"/>
    <w:rsid w:val="00E06A56"/>
    <w:rsid w:val="00E15015"/>
    <w:rsid w:val="00E162F4"/>
    <w:rsid w:val="00E20774"/>
    <w:rsid w:val="00E20B1F"/>
    <w:rsid w:val="00E2157D"/>
    <w:rsid w:val="00E24DCB"/>
    <w:rsid w:val="00E26DAD"/>
    <w:rsid w:val="00E30FD3"/>
    <w:rsid w:val="00E32A0B"/>
    <w:rsid w:val="00E335FE"/>
    <w:rsid w:val="00E33A1F"/>
    <w:rsid w:val="00E34D01"/>
    <w:rsid w:val="00E37E43"/>
    <w:rsid w:val="00E41A7C"/>
    <w:rsid w:val="00E520BC"/>
    <w:rsid w:val="00E52A7F"/>
    <w:rsid w:val="00E61CDF"/>
    <w:rsid w:val="00E638E6"/>
    <w:rsid w:val="00E64BDD"/>
    <w:rsid w:val="00E66897"/>
    <w:rsid w:val="00E67637"/>
    <w:rsid w:val="00E718A0"/>
    <w:rsid w:val="00E71BED"/>
    <w:rsid w:val="00E73524"/>
    <w:rsid w:val="00E749A0"/>
    <w:rsid w:val="00E76F9D"/>
    <w:rsid w:val="00E776F0"/>
    <w:rsid w:val="00E810E4"/>
    <w:rsid w:val="00E81B55"/>
    <w:rsid w:val="00E83F94"/>
    <w:rsid w:val="00E84F64"/>
    <w:rsid w:val="00E85CBB"/>
    <w:rsid w:val="00E910E7"/>
    <w:rsid w:val="00E9601E"/>
    <w:rsid w:val="00E96615"/>
    <w:rsid w:val="00E976B3"/>
    <w:rsid w:val="00EA193B"/>
    <w:rsid w:val="00EA705E"/>
    <w:rsid w:val="00EA7A14"/>
    <w:rsid w:val="00EA7D6E"/>
    <w:rsid w:val="00EB2C97"/>
    <w:rsid w:val="00EB2F76"/>
    <w:rsid w:val="00EB36E9"/>
    <w:rsid w:val="00EB7705"/>
    <w:rsid w:val="00EC0D6B"/>
    <w:rsid w:val="00EC1851"/>
    <w:rsid w:val="00EC320E"/>
    <w:rsid w:val="00EC4E49"/>
    <w:rsid w:val="00EC5C68"/>
    <w:rsid w:val="00ED46DD"/>
    <w:rsid w:val="00ED77FB"/>
    <w:rsid w:val="00EE00CC"/>
    <w:rsid w:val="00EE45FA"/>
    <w:rsid w:val="00EF2773"/>
    <w:rsid w:val="00EF2CF0"/>
    <w:rsid w:val="00EF4F0B"/>
    <w:rsid w:val="00EF6358"/>
    <w:rsid w:val="00F01175"/>
    <w:rsid w:val="00F043DE"/>
    <w:rsid w:val="00F044A6"/>
    <w:rsid w:val="00F05175"/>
    <w:rsid w:val="00F07EB3"/>
    <w:rsid w:val="00F102D1"/>
    <w:rsid w:val="00F11263"/>
    <w:rsid w:val="00F12C5C"/>
    <w:rsid w:val="00F1448A"/>
    <w:rsid w:val="00F1629D"/>
    <w:rsid w:val="00F20DBD"/>
    <w:rsid w:val="00F2327A"/>
    <w:rsid w:val="00F2467F"/>
    <w:rsid w:val="00F24B6B"/>
    <w:rsid w:val="00F24E1E"/>
    <w:rsid w:val="00F261AB"/>
    <w:rsid w:val="00F346E2"/>
    <w:rsid w:val="00F37014"/>
    <w:rsid w:val="00F43E60"/>
    <w:rsid w:val="00F45CD6"/>
    <w:rsid w:val="00F46C94"/>
    <w:rsid w:val="00F4759B"/>
    <w:rsid w:val="00F53EA1"/>
    <w:rsid w:val="00F61D77"/>
    <w:rsid w:val="00F64EE7"/>
    <w:rsid w:val="00F64F78"/>
    <w:rsid w:val="00F66152"/>
    <w:rsid w:val="00F67D4B"/>
    <w:rsid w:val="00F713E9"/>
    <w:rsid w:val="00F71642"/>
    <w:rsid w:val="00F71C2B"/>
    <w:rsid w:val="00F730E0"/>
    <w:rsid w:val="00F82E90"/>
    <w:rsid w:val="00F9165B"/>
    <w:rsid w:val="00F949D4"/>
    <w:rsid w:val="00FA0293"/>
    <w:rsid w:val="00FA1AC3"/>
    <w:rsid w:val="00FA290C"/>
    <w:rsid w:val="00FA427A"/>
    <w:rsid w:val="00FA7B01"/>
    <w:rsid w:val="00FA7ECA"/>
    <w:rsid w:val="00FB0B5A"/>
    <w:rsid w:val="00FB3434"/>
    <w:rsid w:val="00FB4EC9"/>
    <w:rsid w:val="00FB6A8F"/>
    <w:rsid w:val="00FC482F"/>
    <w:rsid w:val="00FC5BA3"/>
    <w:rsid w:val="00FC7A3B"/>
    <w:rsid w:val="00FD0A48"/>
    <w:rsid w:val="00FD1AAB"/>
    <w:rsid w:val="00FD24B0"/>
    <w:rsid w:val="00FD73EF"/>
    <w:rsid w:val="00FD75F0"/>
    <w:rsid w:val="00FD7DF9"/>
    <w:rsid w:val="00FE21BF"/>
    <w:rsid w:val="00FE57AB"/>
    <w:rsid w:val="00FE6C0B"/>
    <w:rsid w:val="00FE7D32"/>
    <w:rsid w:val="00FF299A"/>
    <w:rsid w:val="00FF5921"/>
    <w:rsid w:val="00FF5F84"/>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1E1787"/>
  <w15:docId w15:val="{8C6615F3-3E64-47E3-A183-4FB71B4A4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uiPriority w:val="9"/>
    <w:qFormat/>
    <w:rsid w:val="003A4149"/>
    <w:pPr>
      <w:keepNext/>
      <w:spacing w:before="240" w:after="24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
    <w:qFormat/>
    <w:rsid w:val="00676C5C"/>
    <w:pPr>
      <w:keepNext/>
      <w:spacing w:before="240" w:after="60"/>
      <w:outlineLvl w:val="3"/>
    </w:pPr>
    <w:rPr>
      <w:bCs/>
      <w:i/>
      <w:szCs w:val="28"/>
    </w:rPr>
  </w:style>
  <w:style w:type="paragraph" w:styleId="Heading5">
    <w:name w:val="heading 5"/>
    <w:basedOn w:val="Normal"/>
    <w:next w:val="Normal"/>
    <w:link w:val="Heading5Char"/>
    <w:uiPriority w:val="9"/>
    <w:semiHidden/>
    <w:unhideWhenUsed/>
    <w:qFormat/>
    <w:rsid w:val="00767570"/>
    <w:pPr>
      <w:keepNext/>
      <w:keepLines/>
      <w:spacing w:before="200" w:line="276" w:lineRule="auto"/>
      <w:outlineLvl w:val="4"/>
    </w:pPr>
    <w:rPr>
      <w:rFonts w:asciiTheme="majorHAnsi" w:eastAsiaTheme="majorEastAsia" w:hAnsiTheme="majorHAnsi" w:cstheme="majorBidi"/>
      <w:color w:val="243F60" w:themeColor="accent1" w:themeShade="7F"/>
      <w:szCs w:val="22"/>
      <w:lang w:eastAsia="en-US"/>
    </w:rPr>
  </w:style>
  <w:style w:type="paragraph" w:styleId="Heading6">
    <w:name w:val="heading 6"/>
    <w:basedOn w:val="Normal"/>
    <w:next w:val="Normal"/>
    <w:link w:val="Heading6Char"/>
    <w:uiPriority w:val="9"/>
    <w:semiHidden/>
    <w:unhideWhenUsed/>
    <w:qFormat/>
    <w:rsid w:val="00767570"/>
    <w:pPr>
      <w:keepNext/>
      <w:keepLines/>
      <w:spacing w:before="200" w:line="276" w:lineRule="auto"/>
      <w:outlineLvl w:val="5"/>
    </w:pPr>
    <w:rPr>
      <w:rFonts w:asciiTheme="majorHAnsi" w:eastAsiaTheme="majorEastAsia" w:hAnsiTheme="majorHAnsi" w:cstheme="majorBidi"/>
      <w:i/>
      <w:iCs/>
      <w:color w:val="243F60" w:themeColor="accent1" w:themeShade="7F"/>
      <w:szCs w:val="22"/>
      <w:lang w:eastAsia="en-US"/>
    </w:rPr>
  </w:style>
  <w:style w:type="paragraph" w:styleId="Heading7">
    <w:name w:val="heading 7"/>
    <w:basedOn w:val="Normal"/>
    <w:next w:val="Normal"/>
    <w:link w:val="Heading7Char"/>
    <w:uiPriority w:val="9"/>
    <w:semiHidden/>
    <w:unhideWhenUsed/>
    <w:qFormat/>
    <w:rsid w:val="00767570"/>
    <w:pPr>
      <w:keepNext/>
      <w:keepLines/>
      <w:spacing w:before="200" w:line="276" w:lineRule="auto"/>
      <w:outlineLvl w:val="6"/>
    </w:pPr>
    <w:rPr>
      <w:rFonts w:asciiTheme="majorHAnsi" w:eastAsiaTheme="majorEastAsia" w:hAnsiTheme="majorHAnsi" w:cstheme="majorBidi"/>
      <w:i/>
      <w:iCs/>
      <w:color w:val="404040" w:themeColor="text1" w:themeTint="BF"/>
      <w:szCs w:val="22"/>
      <w:lang w:eastAsia="en-US"/>
    </w:rPr>
  </w:style>
  <w:style w:type="paragraph" w:styleId="Heading8">
    <w:name w:val="heading 8"/>
    <w:basedOn w:val="Normal"/>
    <w:next w:val="Normal"/>
    <w:link w:val="Heading8Char"/>
    <w:uiPriority w:val="9"/>
    <w:semiHidden/>
    <w:unhideWhenUsed/>
    <w:qFormat/>
    <w:rsid w:val="00767570"/>
    <w:pPr>
      <w:keepNext/>
      <w:keepLines/>
      <w:spacing w:before="200" w:line="276" w:lineRule="auto"/>
      <w:outlineLvl w:val="7"/>
    </w:pPr>
    <w:rPr>
      <w:rFonts w:asciiTheme="majorHAnsi" w:eastAsiaTheme="majorEastAsia" w:hAnsiTheme="majorHAnsi" w:cstheme="majorBidi"/>
      <w:color w:val="4F81BD" w:themeColor="accent1"/>
      <w:sz w:val="20"/>
      <w:lang w:eastAsia="en-US"/>
    </w:rPr>
  </w:style>
  <w:style w:type="paragraph" w:styleId="Heading9">
    <w:name w:val="heading 9"/>
    <w:basedOn w:val="Normal"/>
    <w:next w:val="Normal"/>
    <w:link w:val="Heading9Char"/>
    <w:uiPriority w:val="9"/>
    <w:semiHidden/>
    <w:unhideWhenUsed/>
    <w:qFormat/>
    <w:rsid w:val="00767570"/>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uiPriority w:val="35"/>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uiPriority w:val="99"/>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CommentReference">
    <w:name w:val="annotation reference"/>
    <w:basedOn w:val="DefaultParagraphFont"/>
    <w:semiHidden/>
    <w:unhideWhenUsed/>
    <w:rsid w:val="009C20D0"/>
    <w:rPr>
      <w:sz w:val="16"/>
      <w:szCs w:val="16"/>
    </w:rPr>
  </w:style>
  <w:style w:type="paragraph" w:styleId="CommentSubject">
    <w:name w:val="annotation subject"/>
    <w:basedOn w:val="CommentText"/>
    <w:next w:val="CommentText"/>
    <w:link w:val="CommentSubjectChar"/>
    <w:semiHidden/>
    <w:unhideWhenUsed/>
    <w:rsid w:val="009C20D0"/>
    <w:rPr>
      <w:b/>
      <w:bCs/>
      <w:sz w:val="20"/>
    </w:rPr>
  </w:style>
  <w:style w:type="character" w:customStyle="1" w:styleId="CommentTextChar">
    <w:name w:val="Comment Text Char"/>
    <w:basedOn w:val="DefaultParagraphFont"/>
    <w:link w:val="CommentText"/>
    <w:semiHidden/>
    <w:rsid w:val="009C20D0"/>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9C20D0"/>
    <w:rPr>
      <w:rFonts w:ascii="Arial" w:eastAsia="SimSun" w:hAnsi="Arial" w:cs="Arial"/>
      <w:b/>
      <w:bCs/>
      <w:sz w:val="18"/>
      <w:lang w:val="en-US" w:eastAsia="zh-CN"/>
    </w:rPr>
  </w:style>
  <w:style w:type="character" w:styleId="Hyperlink">
    <w:name w:val="Hyperlink"/>
    <w:basedOn w:val="DefaultParagraphFont"/>
    <w:uiPriority w:val="99"/>
    <w:rsid w:val="00A10090"/>
    <w:rPr>
      <w:color w:val="0000FF" w:themeColor="hyperlink"/>
      <w:u w:val="single"/>
    </w:rPr>
  </w:style>
  <w:style w:type="character" w:customStyle="1" w:styleId="Heading5Char">
    <w:name w:val="Heading 5 Char"/>
    <w:basedOn w:val="DefaultParagraphFont"/>
    <w:link w:val="Heading5"/>
    <w:uiPriority w:val="9"/>
    <w:semiHidden/>
    <w:rsid w:val="00767570"/>
    <w:rPr>
      <w:rFonts w:asciiTheme="majorHAnsi" w:eastAsiaTheme="majorEastAsia" w:hAnsiTheme="majorHAnsi" w:cstheme="majorBidi"/>
      <w:color w:val="243F60" w:themeColor="accent1" w:themeShade="7F"/>
      <w:sz w:val="22"/>
      <w:szCs w:val="22"/>
      <w:lang w:val="en-US" w:eastAsia="en-US"/>
    </w:rPr>
  </w:style>
  <w:style w:type="character" w:customStyle="1" w:styleId="Heading6Char">
    <w:name w:val="Heading 6 Char"/>
    <w:basedOn w:val="DefaultParagraphFont"/>
    <w:link w:val="Heading6"/>
    <w:uiPriority w:val="9"/>
    <w:semiHidden/>
    <w:rsid w:val="00767570"/>
    <w:rPr>
      <w:rFonts w:asciiTheme="majorHAnsi" w:eastAsiaTheme="majorEastAsia" w:hAnsiTheme="majorHAnsi" w:cstheme="majorBidi"/>
      <w:i/>
      <w:iCs/>
      <w:color w:val="243F60" w:themeColor="accent1" w:themeShade="7F"/>
      <w:sz w:val="22"/>
      <w:szCs w:val="22"/>
      <w:lang w:val="en-US" w:eastAsia="en-US"/>
    </w:rPr>
  </w:style>
  <w:style w:type="character" w:customStyle="1" w:styleId="Heading7Char">
    <w:name w:val="Heading 7 Char"/>
    <w:basedOn w:val="DefaultParagraphFont"/>
    <w:link w:val="Heading7"/>
    <w:uiPriority w:val="9"/>
    <w:semiHidden/>
    <w:rsid w:val="00767570"/>
    <w:rPr>
      <w:rFonts w:asciiTheme="majorHAnsi" w:eastAsiaTheme="majorEastAsia" w:hAnsiTheme="majorHAnsi" w:cstheme="majorBidi"/>
      <w:i/>
      <w:iCs/>
      <w:color w:val="404040" w:themeColor="text1" w:themeTint="BF"/>
      <w:sz w:val="22"/>
      <w:szCs w:val="22"/>
      <w:lang w:val="en-US" w:eastAsia="en-US"/>
    </w:rPr>
  </w:style>
  <w:style w:type="character" w:customStyle="1" w:styleId="Heading8Char">
    <w:name w:val="Heading 8 Char"/>
    <w:basedOn w:val="DefaultParagraphFont"/>
    <w:link w:val="Heading8"/>
    <w:uiPriority w:val="9"/>
    <w:semiHidden/>
    <w:rsid w:val="00767570"/>
    <w:rPr>
      <w:rFonts w:asciiTheme="majorHAnsi" w:eastAsiaTheme="majorEastAsia" w:hAnsiTheme="majorHAnsi" w:cstheme="majorBidi"/>
      <w:color w:val="4F81BD" w:themeColor="accent1"/>
      <w:lang w:val="en-US" w:eastAsia="en-US"/>
    </w:rPr>
  </w:style>
  <w:style w:type="character" w:customStyle="1" w:styleId="Heading9Char">
    <w:name w:val="Heading 9 Char"/>
    <w:basedOn w:val="DefaultParagraphFont"/>
    <w:link w:val="Heading9"/>
    <w:uiPriority w:val="9"/>
    <w:semiHidden/>
    <w:rsid w:val="00767570"/>
    <w:rPr>
      <w:rFonts w:asciiTheme="majorHAnsi" w:eastAsiaTheme="majorEastAsia" w:hAnsiTheme="majorHAnsi" w:cstheme="majorBidi"/>
      <w:i/>
      <w:iCs/>
      <w:color w:val="404040" w:themeColor="text1" w:themeTint="BF"/>
      <w:lang w:val="en-US" w:eastAsia="en-US"/>
    </w:rPr>
  </w:style>
  <w:style w:type="character" w:customStyle="1" w:styleId="HeaderChar">
    <w:name w:val="Header Char"/>
    <w:basedOn w:val="DefaultParagraphFont"/>
    <w:link w:val="Header"/>
    <w:uiPriority w:val="99"/>
    <w:rsid w:val="00767570"/>
    <w:rPr>
      <w:rFonts w:ascii="Arial" w:eastAsia="SimSun" w:hAnsi="Arial" w:cs="Arial"/>
      <w:sz w:val="22"/>
      <w:lang w:val="en-US" w:eastAsia="zh-CN"/>
    </w:rPr>
  </w:style>
  <w:style w:type="character" w:customStyle="1" w:styleId="FooterChar">
    <w:name w:val="Footer Char"/>
    <w:basedOn w:val="DefaultParagraphFont"/>
    <w:link w:val="Footer"/>
    <w:uiPriority w:val="99"/>
    <w:rsid w:val="00767570"/>
    <w:rPr>
      <w:rFonts w:ascii="Arial" w:eastAsia="SimSun" w:hAnsi="Arial" w:cs="Arial"/>
      <w:sz w:val="22"/>
      <w:lang w:val="en-US" w:eastAsia="zh-CN"/>
    </w:rPr>
  </w:style>
  <w:style w:type="paragraph" w:styleId="NoSpacing">
    <w:name w:val="No Spacing"/>
    <w:uiPriority w:val="1"/>
    <w:qFormat/>
    <w:rsid w:val="00767570"/>
    <w:rPr>
      <w:rFonts w:asciiTheme="minorHAnsi" w:eastAsiaTheme="minorEastAsia" w:hAnsiTheme="minorHAnsi" w:cstheme="minorBidi"/>
      <w:sz w:val="22"/>
      <w:szCs w:val="22"/>
      <w:lang w:val="en-US" w:eastAsia="en-US"/>
    </w:rPr>
  </w:style>
  <w:style w:type="character" w:customStyle="1" w:styleId="Heading1Char">
    <w:name w:val="Heading 1 Char"/>
    <w:basedOn w:val="DefaultParagraphFont"/>
    <w:link w:val="Heading1"/>
    <w:uiPriority w:val="9"/>
    <w:rsid w:val="003A4149"/>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uiPriority w:val="9"/>
    <w:rsid w:val="00767570"/>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uiPriority w:val="9"/>
    <w:rsid w:val="00767570"/>
    <w:rPr>
      <w:rFonts w:ascii="Arial" w:eastAsia="SimSun" w:hAnsi="Arial" w:cs="Arial"/>
      <w:bCs/>
      <w:sz w:val="22"/>
      <w:szCs w:val="26"/>
      <w:u w:val="single"/>
      <w:lang w:val="en-US" w:eastAsia="zh-CN"/>
    </w:rPr>
  </w:style>
  <w:style w:type="paragraph" w:styleId="Title">
    <w:name w:val="Title"/>
    <w:basedOn w:val="Normal"/>
    <w:next w:val="Normal"/>
    <w:link w:val="TitleChar"/>
    <w:uiPriority w:val="10"/>
    <w:qFormat/>
    <w:rsid w:val="0076757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767570"/>
    <w:rPr>
      <w:rFonts w:asciiTheme="majorHAnsi" w:eastAsiaTheme="majorEastAsia" w:hAnsiTheme="majorHAnsi" w:cstheme="majorBidi"/>
      <w:color w:val="17365D" w:themeColor="text2" w:themeShade="BF"/>
      <w:spacing w:val="5"/>
      <w:kern w:val="28"/>
      <w:sz w:val="52"/>
      <w:szCs w:val="52"/>
      <w:lang w:val="en-US" w:eastAsia="en-US"/>
    </w:rPr>
  </w:style>
  <w:style w:type="paragraph" w:styleId="Subtitle">
    <w:name w:val="Subtitle"/>
    <w:basedOn w:val="Normal"/>
    <w:next w:val="Normal"/>
    <w:link w:val="SubtitleChar"/>
    <w:uiPriority w:val="11"/>
    <w:qFormat/>
    <w:rsid w:val="00767570"/>
    <w:pPr>
      <w:numPr>
        <w:ilvl w:val="1"/>
      </w:numPr>
      <w:spacing w:after="200" w:line="276" w:lineRule="auto"/>
    </w:pPr>
    <w:rPr>
      <w:rFonts w:asciiTheme="majorHAnsi" w:eastAsiaTheme="majorEastAsia" w:hAnsiTheme="majorHAnsi" w:cstheme="majorBidi"/>
      <w:i/>
      <w:iCs/>
      <w:color w:val="4F81BD" w:themeColor="accent1"/>
      <w:spacing w:val="15"/>
      <w:sz w:val="24"/>
      <w:szCs w:val="24"/>
      <w:lang w:eastAsia="en-US"/>
    </w:rPr>
  </w:style>
  <w:style w:type="character" w:customStyle="1" w:styleId="SubtitleChar">
    <w:name w:val="Subtitle Char"/>
    <w:basedOn w:val="DefaultParagraphFont"/>
    <w:link w:val="Subtitle"/>
    <w:uiPriority w:val="11"/>
    <w:rsid w:val="00767570"/>
    <w:rPr>
      <w:rFonts w:asciiTheme="majorHAnsi" w:eastAsiaTheme="majorEastAsia" w:hAnsiTheme="majorHAnsi" w:cstheme="majorBidi"/>
      <w:i/>
      <w:iCs/>
      <w:color w:val="4F81BD" w:themeColor="accent1"/>
      <w:spacing w:val="15"/>
      <w:sz w:val="24"/>
      <w:szCs w:val="24"/>
      <w:lang w:val="en-US" w:eastAsia="en-US"/>
    </w:rPr>
  </w:style>
  <w:style w:type="paragraph" w:styleId="ListParagraph">
    <w:name w:val="List Paragraph"/>
    <w:basedOn w:val="Normal"/>
    <w:uiPriority w:val="34"/>
    <w:qFormat/>
    <w:rsid w:val="00767570"/>
    <w:pPr>
      <w:spacing w:after="200" w:line="276" w:lineRule="auto"/>
      <w:ind w:left="720"/>
      <w:contextualSpacing/>
    </w:pPr>
    <w:rPr>
      <w:rFonts w:eastAsiaTheme="minorEastAsia" w:cstheme="minorBidi"/>
      <w:szCs w:val="22"/>
      <w:lang w:eastAsia="en-US"/>
    </w:rPr>
  </w:style>
  <w:style w:type="character" w:customStyle="1" w:styleId="BodyTextChar">
    <w:name w:val="Body Text Char"/>
    <w:basedOn w:val="DefaultParagraphFont"/>
    <w:link w:val="BodyText"/>
    <w:uiPriority w:val="99"/>
    <w:rsid w:val="00767570"/>
    <w:rPr>
      <w:rFonts w:ascii="Arial" w:eastAsia="SimSun" w:hAnsi="Arial" w:cs="Arial"/>
      <w:sz w:val="22"/>
      <w:lang w:val="en-US" w:eastAsia="zh-CN"/>
    </w:rPr>
  </w:style>
  <w:style w:type="paragraph" w:styleId="BodyText2">
    <w:name w:val="Body Text 2"/>
    <w:basedOn w:val="Normal"/>
    <w:link w:val="BodyText2Char"/>
    <w:uiPriority w:val="99"/>
    <w:unhideWhenUsed/>
    <w:rsid w:val="00767570"/>
    <w:pPr>
      <w:spacing w:after="120" w:line="480" w:lineRule="auto"/>
    </w:pPr>
    <w:rPr>
      <w:rFonts w:eastAsiaTheme="minorEastAsia" w:cstheme="minorBidi"/>
      <w:szCs w:val="22"/>
      <w:lang w:eastAsia="en-US"/>
    </w:rPr>
  </w:style>
  <w:style w:type="character" w:customStyle="1" w:styleId="BodyText2Char">
    <w:name w:val="Body Text 2 Char"/>
    <w:basedOn w:val="DefaultParagraphFont"/>
    <w:link w:val="BodyText2"/>
    <w:uiPriority w:val="99"/>
    <w:rsid w:val="00767570"/>
    <w:rPr>
      <w:rFonts w:ascii="Arial" w:eastAsiaTheme="minorEastAsia" w:hAnsi="Arial" w:cstheme="minorBidi"/>
      <w:sz w:val="22"/>
      <w:szCs w:val="22"/>
      <w:lang w:val="en-US" w:eastAsia="en-US"/>
    </w:rPr>
  </w:style>
  <w:style w:type="paragraph" w:styleId="BodyText3">
    <w:name w:val="Body Text 3"/>
    <w:basedOn w:val="Normal"/>
    <w:link w:val="BodyText3Char"/>
    <w:uiPriority w:val="99"/>
    <w:unhideWhenUsed/>
    <w:rsid w:val="00767570"/>
    <w:pPr>
      <w:spacing w:after="120" w:line="276" w:lineRule="auto"/>
    </w:pPr>
    <w:rPr>
      <w:rFonts w:eastAsiaTheme="minorEastAsia" w:cstheme="minorBidi"/>
      <w:sz w:val="16"/>
      <w:szCs w:val="16"/>
      <w:lang w:eastAsia="en-US"/>
    </w:rPr>
  </w:style>
  <w:style w:type="character" w:customStyle="1" w:styleId="BodyText3Char">
    <w:name w:val="Body Text 3 Char"/>
    <w:basedOn w:val="DefaultParagraphFont"/>
    <w:link w:val="BodyText3"/>
    <w:uiPriority w:val="99"/>
    <w:rsid w:val="00767570"/>
    <w:rPr>
      <w:rFonts w:ascii="Arial" w:eastAsiaTheme="minorEastAsia" w:hAnsi="Arial" w:cstheme="minorBidi"/>
      <w:sz w:val="16"/>
      <w:szCs w:val="16"/>
      <w:lang w:val="en-US" w:eastAsia="en-US"/>
    </w:rPr>
  </w:style>
  <w:style w:type="paragraph" w:styleId="List">
    <w:name w:val="List"/>
    <w:basedOn w:val="Normal"/>
    <w:uiPriority w:val="99"/>
    <w:unhideWhenUsed/>
    <w:rsid w:val="00767570"/>
    <w:pPr>
      <w:spacing w:after="200" w:line="276" w:lineRule="auto"/>
      <w:ind w:left="360" w:hanging="360"/>
      <w:contextualSpacing/>
    </w:pPr>
    <w:rPr>
      <w:rFonts w:eastAsiaTheme="minorEastAsia" w:cstheme="minorBidi"/>
      <w:szCs w:val="22"/>
      <w:lang w:eastAsia="en-US"/>
    </w:rPr>
  </w:style>
  <w:style w:type="paragraph" w:styleId="List2">
    <w:name w:val="List 2"/>
    <w:basedOn w:val="Normal"/>
    <w:uiPriority w:val="99"/>
    <w:unhideWhenUsed/>
    <w:rsid w:val="00767570"/>
    <w:pPr>
      <w:spacing w:after="200" w:line="276" w:lineRule="auto"/>
      <w:ind w:left="720" w:hanging="360"/>
      <w:contextualSpacing/>
    </w:pPr>
    <w:rPr>
      <w:rFonts w:eastAsiaTheme="minorEastAsia" w:cstheme="minorBidi"/>
      <w:szCs w:val="22"/>
      <w:lang w:eastAsia="en-US"/>
    </w:rPr>
  </w:style>
  <w:style w:type="paragraph" w:styleId="List3">
    <w:name w:val="List 3"/>
    <w:basedOn w:val="Normal"/>
    <w:uiPriority w:val="99"/>
    <w:unhideWhenUsed/>
    <w:rsid w:val="00767570"/>
    <w:pPr>
      <w:spacing w:after="200" w:line="276" w:lineRule="auto"/>
      <w:ind w:left="1080" w:hanging="360"/>
      <w:contextualSpacing/>
    </w:pPr>
    <w:rPr>
      <w:rFonts w:eastAsiaTheme="minorEastAsia" w:cstheme="minorBidi"/>
      <w:szCs w:val="22"/>
      <w:lang w:eastAsia="en-US"/>
    </w:rPr>
  </w:style>
  <w:style w:type="paragraph" w:styleId="ListBullet">
    <w:name w:val="List Bullet"/>
    <w:basedOn w:val="Normal"/>
    <w:uiPriority w:val="99"/>
    <w:unhideWhenUsed/>
    <w:rsid w:val="00767570"/>
    <w:pPr>
      <w:numPr>
        <w:numId w:val="7"/>
      </w:numPr>
      <w:tabs>
        <w:tab w:val="clear" w:pos="360"/>
      </w:tabs>
      <w:spacing w:after="200" w:line="276" w:lineRule="auto"/>
      <w:ind w:left="0" w:firstLine="0"/>
      <w:contextualSpacing/>
    </w:pPr>
    <w:rPr>
      <w:rFonts w:eastAsiaTheme="minorEastAsia" w:cstheme="minorBidi"/>
      <w:szCs w:val="22"/>
      <w:lang w:eastAsia="en-US"/>
    </w:rPr>
  </w:style>
  <w:style w:type="paragraph" w:styleId="ListBullet2">
    <w:name w:val="List Bullet 2"/>
    <w:basedOn w:val="Normal"/>
    <w:uiPriority w:val="99"/>
    <w:unhideWhenUsed/>
    <w:rsid w:val="00767570"/>
    <w:pPr>
      <w:numPr>
        <w:numId w:val="8"/>
      </w:numPr>
      <w:tabs>
        <w:tab w:val="clear" w:pos="720"/>
      </w:tabs>
      <w:spacing w:after="200" w:line="276" w:lineRule="auto"/>
      <w:ind w:left="0" w:firstLine="0"/>
      <w:contextualSpacing/>
    </w:pPr>
    <w:rPr>
      <w:rFonts w:eastAsiaTheme="minorEastAsia" w:cstheme="minorBidi"/>
      <w:szCs w:val="22"/>
      <w:lang w:eastAsia="en-US"/>
    </w:rPr>
  </w:style>
  <w:style w:type="paragraph" w:styleId="ListBullet3">
    <w:name w:val="List Bullet 3"/>
    <w:basedOn w:val="Normal"/>
    <w:uiPriority w:val="99"/>
    <w:unhideWhenUsed/>
    <w:rsid w:val="00767570"/>
    <w:pPr>
      <w:numPr>
        <w:numId w:val="9"/>
      </w:numPr>
      <w:tabs>
        <w:tab w:val="clear" w:pos="1080"/>
      </w:tabs>
      <w:spacing w:after="200" w:line="276" w:lineRule="auto"/>
      <w:ind w:left="0" w:firstLine="0"/>
      <w:contextualSpacing/>
    </w:pPr>
    <w:rPr>
      <w:rFonts w:eastAsiaTheme="minorEastAsia" w:cstheme="minorBidi"/>
      <w:szCs w:val="22"/>
      <w:lang w:eastAsia="en-US"/>
    </w:rPr>
  </w:style>
  <w:style w:type="paragraph" w:styleId="ListNumber2">
    <w:name w:val="List Number 2"/>
    <w:basedOn w:val="Normal"/>
    <w:uiPriority w:val="99"/>
    <w:unhideWhenUsed/>
    <w:rsid w:val="00767570"/>
    <w:pPr>
      <w:numPr>
        <w:numId w:val="11"/>
      </w:numPr>
      <w:tabs>
        <w:tab w:val="clear" w:pos="720"/>
      </w:tabs>
      <w:spacing w:after="200" w:line="276" w:lineRule="auto"/>
      <w:ind w:left="0" w:firstLine="0"/>
      <w:contextualSpacing/>
    </w:pPr>
    <w:rPr>
      <w:rFonts w:eastAsiaTheme="minorEastAsia" w:cstheme="minorBidi"/>
      <w:szCs w:val="22"/>
      <w:lang w:eastAsia="en-US"/>
    </w:rPr>
  </w:style>
  <w:style w:type="paragraph" w:styleId="ListNumber3">
    <w:name w:val="List Number 3"/>
    <w:basedOn w:val="Normal"/>
    <w:uiPriority w:val="99"/>
    <w:unhideWhenUsed/>
    <w:rsid w:val="00767570"/>
    <w:pPr>
      <w:numPr>
        <w:numId w:val="12"/>
      </w:numPr>
      <w:tabs>
        <w:tab w:val="clear" w:pos="1080"/>
      </w:tabs>
      <w:spacing w:after="200" w:line="276" w:lineRule="auto"/>
      <w:ind w:left="0" w:firstLine="0"/>
      <w:contextualSpacing/>
    </w:pPr>
    <w:rPr>
      <w:rFonts w:eastAsiaTheme="minorEastAsia" w:cstheme="minorBidi"/>
      <w:szCs w:val="22"/>
      <w:lang w:eastAsia="en-US"/>
    </w:rPr>
  </w:style>
  <w:style w:type="paragraph" w:styleId="ListContinue">
    <w:name w:val="List Continue"/>
    <w:basedOn w:val="Normal"/>
    <w:uiPriority w:val="99"/>
    <w:unhideWhenUsed/>
    <w:rsid w:val="00767570"/>
    <w:pPr>
      <w:spacing w:after="120" w:line="276" w:lineRule="auto"/>
      <w:ind w:left="360"/>
      <w:contextualSpacing/>
    </w:pPr>
    <w:rPr>
      <w:rFonts w:eastAsiaTheme="minorEastAsia" w:cstheme="minorBidi"/>
      <w:szCs w:val="22"/>
      <w:lang w:eastAsia="en-US"/>
    </w:rPr>
  </w:style>
  <w:style w:type="paragraph" w:styleId="ListContinue2">
    <w:name w:val="List Continue 2"/>
    <w:basedOn w:val="Normal"/>
    <w:uiPriority w:val="99"/>
    <w:unhideWhenUsed/>
    <w:rsid w:val="00767570"/>
    <w:pPr>
      <w:spacing w:after="120" w:line="276" w:lineRule="auto"/>
      <w:ind w:left="720"/>
      <w:contextualSpacing/>
    </w:pPr>
    <w:rPr>
      <w:rFonts w:eastAsiaTheme="minorEastAsia" w:cstheme="minorBidi"/>
      <w:szCs w:val="22"/>
      <w:lang w:eastAsia="en-US"/>
    </w:rPr>
  </w:style>
  <w:style w:type="paragraph" w:styleId="ListContinue3">
    <w:name w:val="List Continue 3"/>
    <w:basedOn w:val="Normal"/>
    <w:uiPriority w:val="99"/>
    <w:unhideWhenUsed/>
    <w:rsid w:val="00767570"/>
    <w:pPr>
      <w:spacing w:after="120" w:line="276" w:lineRule="auto"/>
      <w:ind w:left="1080"/>
      <w:contextualSpacing/>
    </w:pPr>
    <w:rPr>
      <w:rFonts w:eastAsiaTheme="minorEastAsia" w:cstheme="minorBidi"/>
      <w:szCs w:val="22"/>
      <w:lang w:eastAsia="en-US"/>
    </w:rPr>
  </w:style>
  <w:style w:type="paragraph" w:styleId="MacroText">
    <w:name w:val="macro"/>
    <w:link w:val="MacroTextChar"/>
    <w:uiPriority w:val="99"/>
    <w:unhideWhenUsed/>
    <w:rsid w:val="00767570"/>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val="en-US" w:eastAsia="en-US"/>
    </w:rPr>
  </w:style>
  <w:style w:type="character" w:customStyle="1" w:styleId="MacroTextChar">
    <w:name w:val="Macro Text Char"/>
    <w:basedOn w:val="DefaultParagraphFont"/>
    <w:link w:val="MacroText"/>
    <w:uiPriority w:val="99"/>
    <w:rsid w:val="00767570"/>
    <w:rPr>
      <w:rFonts w:ascii="Courier" w:eastAsiaTheme="minorEastAsia" w:hAnsi="Courier" w:cstheme="minorBidi"/>
      <w:lang w:val="en-US" w:eastAsia="en-US"/>
    </w:rPr>
  </w:style>
  <w:style w:type="paragraph" w:styleId="Quote">
    <w:name w:val="Quote"/>
    <w:basedOn w:val="Normal"/>
    <w:next w:val="Normal"/>
    <w:link w:val="QuoteChar"/>
    <w:uiPriority w:val="29"/>
    <w:qFormat/>
    <w:rsid w:val="00767570"/>
    <w:pPr>
      <w:spacing w:after="200" w:line="276" w:lineRule="auto"/>
    </w:pPr>
    <w:rPr>
      <w:rFonts w:eastAsiaTheme="minorEastAsia" w:cstheme="minorBidi"/>
      <w:i/>
      <w:iCs/>
      <w:color w:val="000000" w:themeColor="text1"/>
      <w:szCs w:val="22"/>
      <w:lang w:eastAsia="en-US"/>
    </w:rPr>
  </w:style>
  <w:style w:type="character" w:customStyle="1" w:styleId="QuoteChar">
    <w:name w:val="Quote Char"/>
    <w:basedOn w:val="DefaultParagraphFont"/>
    <w:link w:val="Quote"/>
    <w:uiPriority w:val="29"/>
    <w:rsid w:val="00767570"/>
    <w:rPr>
      <w:rFonts w:ascii="Arial" w:eastAsiaTheme="minorEastAsia" w:hAnsi="Arial" w:cstheme="minorBidi"/>
      <w:i/>
      <w:iCs/>
      <w:color w:val="000000" w:themeColor="text1"/>
      <w:sz w:val="22"/>
      <w:szCs w:val="22"/>
      <w:lang w:val="en-US" w:eastAsia="en-US"/>
    </w:rPr>
  </w:style>
  <w:style w:type="character" w:customStyle="1" w:styleId="Heading4Char">
    <w:name w:val="Heading 4 Char"/>
    <w:basedOn w:val="DefaultParagraphFont"/>
    <w:link w:val="Heading4"/>
    <w:uiPriority w:val="9"/>
    <w:rsid w:val="00767570"/>
    <w:rPr>
      <w:rFonts w:ascii="Arial" w:eastAsia="SimSun" w:hAnsi="Arial" w:cs="Arial"/>
      <w:bCs/>
      <w:i/>
      <w:sz w:val="22"/>
      <w:szCs w:val="28"/>
      <w:lang w:val="en-US" w:eastAsia="zh-CN"/>
    </w:rPr>
  </w:style>
  <w:style w:type="character" w:styleId="Strong">
    <w:name w:val="Strong"/>
    <w:basedOn w:val="DefaultParagraphFont"/>
    <w:uiPriority w:val="22"/>
    <w:qFormat/>
    <w:rsid w:val="00767570"/>
    <w:rPr>
      <w:b/>
      <w:bCs/>
    </w:rPr>
  </w:style>
  <w:style w:type="character" w:styleId="Emphasis">
    <w:name w:val="Emphasis"/>
    <w:basedOn w:val="DefaultParagraphFont"/>
    <w:uiPriority w:val="20"/>
    <w:qFormat/>
    <w:rsid w:val="00767570"/>
    <w:rPr>
      <w:i/>
      <w:iCs/>
    </w:rPr>
  </w:style>
  <w:style w:type="paragraph" w:styleId="IntenseQuote">
    <w:name w:val="Intense Quote"/>
    <w:basedOn w:val="Normal"/>
    <w:next w:val="Normal"/>
    <w:link w:val="IntenseQuoteChar"/>
    <w:uiPriority w:val="30"/>
    <w:qFormat/>
    <w:rsid w:val="00767570"/>
    <w:pPr>
      <w:pBdr>
        <w:bottom w:val="single" w:sz="4" w:space="4" w:color="4F81BD" w:themeColor="accent1"/>
      </w:pBdr>
      <w:spacing w:before="200" w:after="280" w:line="276" w:lineRule="auto"/>
      <w:ind w:left="936" w:right="936"/>
    </w:pPr>
    <w:rPr>
      <w:rFonts w:eastAsiaTheme="minorEastAsia" w:cstheme="minorBidi"/>
      <w:b/>
      <w:bCs/>
      <w:i/>
      <w:iCs/>
      <w:color w:val="4F81BD" w:themeColor="accent1"/>
      <w:szCs w:val="22"/>
      <w:lang w:eastAsia="en-US"/>
    </w:rPr>
  </w:style>
  <w:style w:type="character" w:customStyle="1" w:styleId="IntenseQuoteChar">
    <w:name w:val="Intense Quote Char"/>
    <w:basedOn w:val="DefaultParagraphFont"/>
    <w:link w:val="IntenseQuote"/>
    <w:uiPriority w:val="30"/>
    <w:rsid w:val="00767570"/>
    <w:rPr>
      <w:rFonts w:ascii="Arial" w:eastAsiaTheme="minorEastAsia" w:hAnsi="Arial" w:cstheme="minorBidi"/>
      <w:b/>
      <w:bCs/>
      <w:i/>
      <w:iCs/>
      <w:color w:val="4F81BD" w:themeColor="accent1"/>
      <w:sz w:val="22"/>
      <w:szCs w:val="22"/>
      <w:lang w:val="en-US" w:eastAsia="en-US"/>
    </w:rPr>
  </w:style>
  <w:style w:type="character" w:styleId="SubtleEmphasis">
    <w:name w:val="Subtle Emphasis"/>
    <w:basedOn w:val="DefaultParagraphFont"/>
    <w:uiPriority w:val="19"/>
    <w:qFormat/>
    <w:rsid w:val="00767570"/>
    <w:rPr>
      <w:i/>
      <w:iCs/>
      <w:color w:val="808080" w:themeColor="text1" w:themeTint="7F"/>
    </w:rPr>
  </w:style>
  <w:style w:type="character" w:styleId="IntenseEmphasis">
    <w:name w:val="Intense Emphasis"/>
    <w:basedOn w:val="DefaultParagraphFont"/>
    <w:uiPriority w:val="21"/>
    <w:qFormat/>
    <w:rsid w:val="00767570"/>
    <w:rPr>
      <w:b/>
      <w:bCs/>
      <w:i/>
      <w:iCs/>
      <w:color w:val="4F81BD" w:themeColor="accent1"/>
    </w:rPr>
  </w:style>
  <w:style w:type="character" w:styleId="SubtleReference">
    <w:name w:val="Subtle Reference"/>
    <w:basedOn w:val="DefaultParagraphFont"/>
    <w:uiPriority w:val="31"/>
    <w:qFormat/>
    <w:rsid w:val="00767570"/>
    <w:rPr>
      <w:smallCaps/>
      <w:color w:val="C0504D" w:themeColor="accent2"/>
      <w:u w:val="single"/>
    </w:rPr>
  </w:style>
  <w:style w:type="character" w:styleId="IntenseReference">
    <w:name w:val="Intense Reference"/>
    <w:basedOn w:val="DefaultParagraphFont"/>
    <w:uiPriority w:val="32"/>
    <w:qFormat/>
    <w:rsid w:val="00767570"/>
    <w:rPr>
      <w:b/>
      <w:bCs/>
      <w:smallCaps/>
      <w:color w:val="C0504D" w:themeColor="accent2"/>
      <w:spacing w:val="5"/>
      <w:u w:val="single"/>
    </w:rPr>
  </w:style>
  <w:style w:type="character" w:styleId="BookTitle">
    <w:name w:val="Book Title"/>
    <w:basedOn w:val="DefaultParagraphFont"/>
    <w:uiPriority w:val="33"/>
    <w:qFormat/>
    <w:rsid w:val="00767570"/>
    <w:rPr>
      <w:b/>
      <w:bCs/>
      <w:smallCaps/>
      <w:spacing w:val="5"/>
    </w:rPr>
  </w:style>
  <w:style w:type="paragraph" w:styleId="TOCHeading">
    <w:name w:val="TOC Heading"/>
    <w:basedOn w:val="Heading1"/>
    <w:next w:val="Normal"/>
    <w:uiPriority w:val="39"/>
    <w:semiHidden/>
    <w:unhideWhenUsed/>
    <w:qFormat/>
    <w:rsid w:val="00767570"/>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en-US"/>
    </w:rPr>
  </w:style>
  <w:style w:type="table" w:styleId="TableGrid">
    <w:name w:val="Table Grid"/>
    <w:basedOn w:val="TableNormal"/>
    <w:uiPriority w:val="59"/>
    <w:rsid w:val="00767570"/>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67570"/>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67570"/>
    <w:rPr>
      <w:rFonts w:asciiTheme="minorHAnsi" w:eastAsiaTheme="minorEastAsia" w:hAnsiTheme="minorHAnsi" w:cstheme="minorBidi"/>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767570"/>
    <w:rPr>
      <w:rFonts w:asciiTheme="minorHAnsi" w:eastAsiaTheme="minorEastAsia" w:hAnsiTheme="minorHAnsi" w:cstheme="minorBidi"/>
      <w:color w:val="943634" w:themeColor="accent2" w:themeShade="BF"/>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767570"/>
    <w:rPr>
      <w:rFonts w:asciiTheme="minorHAnsi" w:eastAsiaTheme="minorEastAsia" w:hAnsiTheme="minorHAnsi" w:cstheme="minorBidi"/>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767570"/>
    <w:rPr>
      <w:rFonts w:asciiTheme="minorHAnsi" w:eastAsiaTheme="minorEastAsia" w:hAnsiTheme="minorHAnsi" w:cstheme="minorBidi"/>
      <w:color w:val="5F497A" w:themeColor="accent4" w:themeShade="BF"/>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767570"/>
    <w:rPr>
      <w:rFonts w:asciiTheme="minorHAnsi" w:eastAsiaTheme="minorEastAsia" w:hAnsiTheme="minorHAnsi" w:cstheme="minorBidi"/>
      <w:color w:val="31849B" w:themeColor="accent5" w:themeShade="BF"/>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767570"/>
    <w:rPr>
      <w:rFonts w:asciiTheme="minorHAnsi" w:eastAsiaTheme="minorEastAsia" w:hAnsiTheme="minorHAnsi" w:cstheme="minorBidi"/>
      <w:color w:val="E36C0A" w:themeColor="accent6" w:themeShade="BF"/>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767570"/>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67570"/>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767570"/>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767570"/>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767570"/>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767570"/>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767570"/>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767570"/>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767570"/>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767570"/>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767570"/>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767570"/>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767570"/>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767570"/>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767570"/>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67570"/>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67570"/>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67570"/>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67570"/>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67570"/>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67570"/>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767570"/>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67570"/>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67570"/>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67570"/>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67570"/>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67570"/>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67570"/>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76757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76757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76757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76757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76757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76757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76757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76757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76757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76757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76757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76757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76757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76757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767570"/>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767570"/>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767570"/>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767570"/>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767570"/>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767570"/>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767570"/>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76757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76757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76757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76757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76757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76757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76757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767570"/>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767570"/>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767570"/>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767570"/>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767570"/>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767570"/>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767570"/>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76757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76757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76757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76757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76757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76757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76757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76757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76757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76757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76757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76757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76757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76757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76757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76757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76757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76757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76757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76757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76757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76757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76757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76757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76757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76757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76757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76757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UnresolvedMention">
    <w:name w:val="Unresolved Mention"/>
    <w:basedOn w:val="DefaultParagraphFont"/>
    <w:uiPriority w:val="99"/>
    <w:semiHidden/>
    <w:unhideWhenUsed/>
    <w:rsid w:val="00767570"/>
    <w:rPr>
      <w:color w:val="605E5C"/>
      <w:shd w:val="clear" w:color="auto" w:fill="E1DFDD"/>
    </w:rPr>
  </w:style>
  <w:style w:type="character" w:styleId="FollowedHyperlink">
    <w:name w:val="FollowedHyperlink"/>
    <w:basedOn w:val="DefaultParagraphFont"/>
    <w:uiPriority w:val="99"/>
    <w:semiHidden/>
    <w:unhideWhenUsed/>
    <w:rsid w:val="00767570"/>
    <w:rPr>
      <w:color w:val="800080" w:themeColor="followedHyperlink"/>
      <w:u w:val="single"/>
    </w:rPr>
  </w:style>
  <w:style w:type="character" w:customStyle="1" w:styleId="ONUMEChar">
    <w:name w:val="ONUM E Char"/>
    <w:link w:val="ONUME"/>
    <w:rsid w:val="00767570"/>
    <w:rPr>
      <w:rFonts w:ascii="Arial" w:eastAsia="SimSun" w:hAnsi="Arial" w:cs="Arial"/>
      <w:sz w:val="22"/>
      <w:lang w:val="en-US" w:eastAsia="zh-CN"/>
    </w:rPr>
  </w:style>
  <w:style w:type="paragraph" w:customStyle="1" w:styleId="Exampleunder1symbol">
    <w:name w:val="Example (under 1. symbol)"/>
    <w:basedOn w:val="Normal"/>
    <w:rsid w:val="00767570"/>
    <w:pPr>
      <w:tabs>
        <w:tab w:val="left" w:pos="1701"/>
        <w:tab w:val="left" w:pos="2410"/>
        <w:tab w:val="left" w:pos="3402"/>
        <w:tab w:val="left" w:pos="3686"/>
        <w:tab w:val="left" w:pos="3969"/>
        <w:tab w:val="left" w:pos="4253"/>
        <w:tab w:val="left" w:pos="4536"/>
        <w:tab w:val="left" w:pos="4820"/>
      </w:tabs>
      <w:ind w:left="1701" w:hanging="1134"/>
    </w:pPr>
    <w:rPr>
      <w:rFonts w:eastAsia="Times New Roman" w:cs="Times New Roman"/>
      <w:color w:val="000000"/>
      <w:lang w:eastAsia="en-US"/>
    </w:rPr>
  </w:style>
  <w:style w:type="character" w:customStyle="1" w:styleId="title1">
    <w:name w:val="title1"/>
    <w:basedOn w:val="DefaultParagraphFont"/>
    <w:rsid w:val="00767570"/>
  </w:style>
  <w:style w:type="paragraph" w:styleId="Revision">
    <w:name w:val="Revision"/>
    <w:hidden/>
    <w:uiPriority w:val="99"/>
    <w:semiHidden/>
    <w:rsid w:val="008B6A9E"/>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wipo.int/classifications/ipc/ipcef/public/en/project/CE454" TargetMode="External"/><Relationship Id="rId26" Type="http://schemas.openxmlformats.org/officeDocument/2006/relationships/hyperlink" Target="https://www3.wipo.int/classifications/ipc/ipcef/public/en/project/CE552" TargetMode="External"/><Relationship Id="rId21" Type="http://schemas.openxmlformats.org/officeDocument/2006/relationships/hyperlink" Target="https://www3.wipo.int/classifications/ipc/ipcef/public/en/project/CE455" TargetMode="External"/><Relationship Id="rId34" Type="http://schemas.openxmlformats.org/officeDocument/2006/relationships/hyperlink" Target="https://www3.wipo.int/classifications/ipc/ipcef/public/en/project/CE445"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wipo.int/classifications/ipc/ipcef/public/en/project/CE481" TargetMode="External"/><Relationship Id="rId25" Type="http://schemas.openxmlformats.org/officeDocument/2006/relationships/hyperlink" Target="https://www3.wipo.int/classifications/ipc/ipcef/public/en/project/M850" TargetMode="External"/><Relationship Id="rId33" Type="http://schemas.openxmlformats.org/officeDocument/2006/relationships/hyperlink" Target="https://www3.wipo.int/classifications/ipc/ipcef/public/en/project/CE579"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wipo.int/classifications/ipc/ipcef/public/en/project/CE481" TargetMode="External"/><Relationship Id="rId20" Type="http://schemas.openxmlformats.org/officeDocument/2006/relationships/hyperlink" Target="https://www3.wipo.int/classifications/ipc/ipcef/public/en/project/CE454" TargetMode="External"/><Relationship Id="rId29" Type="http://schemas.openxmlformats.org/officeDocument/2006/relationships/hyperlink" Target="https://www3.wipo.int/classifications/ipc/ipcef/public/en/project/CE532"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wipo.int/classifications/ipc/ipcef/public/en/project/CE552" TargetMode="External"/><Relationship Id="rId32" Type="http://schemas.openxmlformats.org/officeDocument/2006/relationships/hyperlink" Target="https://www3.wipo.int/classifications/ipc/ipcef/public/en/project/CE571"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ipcpub.wipo.int/?notion=scheme&amp;menulang=en&amp;lang=enfr&amp;symbol=H10" TargetMode="External"/><Relationship Id="rId23" Type="http://schemas.openxmlformats.org/officeDocument/2006/relationships/hyperlink" Target="https://www3.wipo.int/classifications/ipc/ipcef/public/en/project/CE456" TargetMode="External"/><Relationship Id="rId28" Type="http://schemas.openxmlformats.org/officeDocument/2006/relationships/hyperlink" Target="https://www3.wipo.int/classifications/ipc/ipcef/public/en/project/CE562" TargetMode="External"/><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3.wipo.int/classifications/ipc/ipcef/public/en/project/CE455" TargetMode="External"/><Relationship Id="rId31" Type="http://schemas.openxmlformats.org/officeDocument/2006/relationships/hyperlink" Target="https://www3.wipo.int/classifications/ipc/ipcef/public/en/project/CE579"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wipo.int/classifications/ipc/ipcef/public/en/project/CE462" TargetMode="External"/><Relationship Id="rId22" Type="http://schemas.openxmlformats.org/officeDocument/2006/relationships/hyperlink" Target="https://www3.wipo.int/classifications/ipc/ipcef/public/en/project/CE551" TargetMode="External"/><Relationship Id="rId27" Type="http://schemas.openxmlformats.org/officeDocument/2006/relationships/hyperlink" Target="https://www3.wipo.int/classifications/ipc/ipcef/public/en/project/CE532" TargetMode="External"/><Relationship Id="rId30" Type="http://schemas.openxmlformats.org/officeDocument/2006/relationships/hyperlink" Target="https://www3.wipo.int/classifications/ipc/ipcef/public/en/project/CE562" TargetMode="External"/><Relationship Id="rId35" Type="http://schemas.openxmlformats.org/officeDocument/2006/relationships/hyperlink" Target="https://www3.wipo.int/classifications/ipc/ipcef/public/en/project/CE445" TargetMode="Externa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IPC_CE_5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2</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oec7080f59824b85bfab9bab42c36e68>
    <_dlc_DocId xmlns="ec94eb93-2160-433d-bc9d-10bdc50beb83">ICSDBFP-619088011-78669</_dlc_DocId>
    <_dlc_DocIdUrl xmlns="ec94eb93-2160-433d-bc9d-10bdc50beb83">
      <Url>https://wipoprod.sharepoint.com/sites/SPS-INT-BFP-ICSD-IntPatClass/_layouts/15/DocIdRedir.aspx?ID=ICSDBFP-619088011-78669</Url>
      <Description>ICSDBFP-619088011-78669</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f7a99264-aac8-44dd-b14f-8017e78a225a" ContentTypeId="0x01010043A0F979BE30A3469F998CB749C11FBD" PreviousValue="false"/>
</file>

<file path=customXml/item5.xml><?xml version="1.0" encoding="utf-8"?>
<ct:contentTypeSchema xmlns:ct="http://schemas.microsoft.com/office/2006/metadata/contentType" xmlns:ma="http://schemas.microsoft.com/office/2006/metadata/properties/metaAttributes" ct:_="" ma:_="" ma:contentTypeName="WIPO Document" ma:contentTypeID="0x01010043A0F979BE30A3469F998CB749C11FBD001280E5447846084286B7AC5E07F2102C" ma:contentTypeVersion="659" ma:contentTypeDescription="" ma:contentTypeScope="" ma:versionID="63733c4a8797b2f73506b7ec890368d6">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5022c3acad3a2f7db79bc13f5153ba17"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fb2cf36-8b81-4a98-a994-c8ac87495261}"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fb2cf36-8b81-4a98-a994-c8ac87495261}"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238CA49-1BFB-492D-8B2D-16412FED9B2F}">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customXml/itemProps2.xml><?xml version="1.0" encoding="utf-8"?>
<ds:datastoreItem xmlns:ds="http://schemas.openxmlformats.org/officeDocument/2006/customXml" ds:itemID="{58FB4856-1C1A-45AA-B0F5-20E8F634F6D6}">
  <ds:schemaRefs>
    <ds:schemaRef ds:uri="http://schemas.openxmlformats.org/officeDocument/2006/bibliography"/>
  </ds:schemaRefs>
</ds:datastoreItem>
</file>

<file path=customXml/itemProps3.xml><?xml version="1.0" encoding="utf-8"?>
<ds:datastoreItem xmlns:ds="http://schemas.openxmlformats.org/officeDocument/2006/customXml" ds:itemID="{3285609E-DA67-4034-B72B-8E4910174E26}">
  <ds:schemaRefs>
    <ds:schemaRef ds:uri="http://schemas.microsoft.com/sharepoint/v3/contenttype/forms"/>
  </ds:schemaRefs>
</ds:datastoreItem>
</file>

<file path=customXml/itemProps4.xml><?xml version="1.0" encoding="utf-8"?>
<ds:datastoreItem xmlns:ds="http://schemas.openxmlformats.org/officeDocument/2006/customXml" ds:itemID="{3284C09E-4670-4844-9087-6AEA0F393F4D}">
  <ds:schemaRefs>
    <ds:schemaRef ds:uri="Microsoft.SharePoint.Taxonomy.ContentTypeSync"/>
  </ds:schemaRefs>
</ds:datastoreItem>
</file>

<file path=customXml/itemProps5.xml><?xml version="1.0" encoding="utf-8"?>
<ds:datastoreItem xmlns:ds="http://schemas.openxmlformats.org/officeDocument/2006/customXml" ds:itemID="{C83AB66F-9F53-44DB-A5D9-43ABA819180E}"/>
</file>

<file path=customXml/itemProps6.xml><?xml version="1.0" encoding="utf-8"?>
<ds:datastoreItem xmlns:ds="http://schemas.openxmlformats.org/officeDocument/2006/customXml" ds:itemID="{357140FA-E653-4027-A5DC-58B0FEC77F3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IPC_CE_57 (E)</Template>
  <TotalTime>7</TotalTime>
  <Pages>9</Pages>
  <Words>4625</Words>
  <Characters>26366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IPC/CE/57/2 - report, 57th session, IPC Committee of Experts</vt:lpstr>
    </vt:vector>
  </TitlesOfParts>
  <Company>WIPO</Company>
  <LinksUpToDate>false</LinksUpToDate>
  <CharactersWithSpaces>30930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IPC/CE/57/2 - report, 57th session, IPC Committee of Experts</dc:title>
  <dc:subject>Report, fifty-seventh session of the IPC Committee of Experts, February 24 to 26, 2026</dc:subject>
  <dc:creator>WIPO</dc:creator>
  <cp:keywords>IPC - English version</cp:keywords>
  <cp:lastModifiedBy>STOJANOVIC Jovana</cp:lastModifiedBy>
  <cp:revision>25</cp:revision>
  <cp:lastPrinted>2011-02-15T11:56:00Z</cp:lastPrinted>
  <dcterms:created xsi:type="dcterms:W3CDTF">2026-03-25T14:17:00Z</dcterms:created>
  <dcterms:modified xsi:type="dcterms:W3CDTF">2026-03-27T17:51:00Z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ContentTypeId">
    <vt:lpwstr>0x01010043A0F979BE30A3469F998CB749C11FBD001280E5447846084286B7AC5E07F2102C</vt:lpwstr>
  </property>
  <property fmtid="{D5CDD505-2E9C-101B-9397-08002B2CF9AE}" pid="8" name="Languages">
    <vt:lpwstr>1;#English|950e6fa2-2df0-4983-a604-54e57c7a6d93</vt:lpwstr>
  </property>
  <property fmtid="{D5CDD505-2E9C-101B-9397-08002B2CF9AE}" pid="9" name="BusinessUnit">
    <vt:lpwstr>2;#International Classifications and Standards Division|1bda9d19-f2c0-4f24-b9f1-c91ec6b8f041</vt:lpwstr>
  </property>
  <property fmtid="{D5CDD505-2E9C-101B-9397-08002B2CF9AE}" pid="10" name="MediaServiceImageTags">
    <vt:lpwstr/>
  </property>
  <property fmtid="{D5CDD505-2E9C-101B-9397-08002B2CF9AE}" pid="11" name="RMClassification">
    <vt:lpwstr/>
  </property>
  <property fmtid="{D5CDD505-2E9C-101B-9397-08002B2CF9AE}" pid="12" name="lcf76f155ced4ddcb4097134ff3c332f">
    <vt:lpwstr/>
  </property>
  <property fmtid="{D5CDD505-2E9C-101B-9397-08002B2CF9AE}" pid="13" name="_dlc_DocIdItemGuid">
    <vt:lpwstr>b359646c-b5aa-4a43-8558-e40a01d40c9e</vt:lpwstr>
  </property>
  <property fmtid="{D5CDD505-2E9C-101B-9397-08002B2CF9AE}" pid="14" name="MSIP_Label_20773ee6-353b-4fb9-a59d-0b94c8c67bea_Enabled">
    <vt:lpwstr>true</vt:lpwstr>
  </property>
  <property fmtid="{D5CDD505-2E9C-101B-9397-08002B2CF9AE}" pid="15" name="MSIP_Label_20773ee6-353b-4fb9-a59d-0b94c8c67bea_SetDate">
    <vt:lpwstr>2026-03-06T10:50:47Z</vt:lpwstr>
  </property>
  <property fmtid="{D5CDD505-2E9C-101B-9397-08002B2CF9AE}" pid="16" name="MSIP_Label_20773ee6-353b-4fb9-a59d-0b94c8c67bea_Method">
    <vt:lpwstr>Privileged</vt:lpwstr>
  </property>
  <property fmtid="{D5CDD505-2E9C-101B-9397-08002B2CF9AE}" pid="17" name="MSIP_Label_20773ee6-353b-4fb9-a59d-0b94c8c67bea_Name">
    <vt:lpwstr>No markings</vt:lpwstr>
  </property>
  <property fmtid="{D5CDD505-2E9C-101B-9397-08002B2CF9AE}" pid="18" name="MSIP_Label_20773ee6-353b-4fb9-a59d-0b94c8c67bea_SiteId">
    <vt:lpwstr>faa31b06-8ccc-48c9-867f-f7510dd11c02</vt:lpwstr>
  </property>
  <property fmtid="{D5CDD505-2E9C-101B-9397-08002B2CF9AE}" pid="19" name="MSIP_Label_20773ee6-353b-4fb9-a59d-0b94c8c67bea_ActionId">
    <vt:lpwstr>9815cd6b-34cd-43ab-a8cb-a9d81d8a186f</vt:lpwstr>
  </property>
  <property fmtid="{D5CDD505-2E9C-101B-9397-08002B2CF9AE}" pid="20" name="MSIP_Label_20773ee6-353b-4fb9-a59d-0b94c8c67bea_ContentBits">
    <vt:lpwstr>0</vt:lpwstr>
  </property>
  <property fmtid="{D5CDD505-2E9C-101B-9397-08002B2CF9AE}" pid="21" name="MSIP_Label_20773ee6-353b-4fb9-a59d-0b94c8c67bea_Tag">
    <vt:lpwstr>10, 0, 1, 1</vt:lpwstr>
  </property>
  <property fmtid="{D5CDD505-2E9C-101B-9397-08002B2CF9AE}" pid="22" name="_ExtendedDescription">
    <vt:lpwstr/>
  </property>
</Properties>
</file>