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14:paraId="48F3D6EF" w14:textId="77777777" w:rsidTr="00361450">
        <w:tc>
          <w:tcPr>
            <w:tcW w:w="4513" w:type="dxa"/>
            <w:tcBorders>
              <w:bottom w:val="single" w:sz="4" w:space="0" w:color="auto"/>
            </w:tcBorders>
            <w:tcMar>
              <w:bottom w:w="170" w:type="dxa"/>
            </w:tcMar>
          </w:tcPr>
          <w:p w14:paraId="157007DB" w14:textId="77777777" w:rsidR="00EC4E49" w:rsidRPr="008B2CC1" w:rsidRDefault="00EC4E49" w:rsidP="00916EE2"/>
        </w:tc>
        <w:tc>
          <w:tcPr>
            <w:tcW w:w="4337" w:type="dxa"/>
            <w:tcBorders>
              <w:bottom w:val="single" w:sz="4" w:space="0" w:color="auto"/>
            </w:tcBorders>
            <w:tcMar>
              <w:left w:w="0" w:type="dxa"/>
              <w:right w:w="0" w:type="dxa"/>
            </w:tcMar>
          </w:tcPr>
          <w:p w14:paraId="05EA0673" w14:textId="77777777" w:rsidR="00EC4E49" w:rsidRPr="008B2CC1" w:rsidRDefault="00A37342" w:rsidP="00916EE2">
            <w:r>
              <w:rPr>
                <w:noProof/>
                <w:lang w:val="de-DE" w:eastAsia="de-DE"/>
              </w:rPr>
              <w:drawing>
                <wp:inline distT="0" distB="0" distL="0" distR="0" wp14:anchorId="624CE6A2" wp14:editId="3B38D069">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7E060B7E" w14:textId="77777777" w:rsidR="00EC4E49" w:rsidRPr="008B2CC1" w:rsidRDefault="00EC4E49" w:rsidP="00916EE2">
            <w:pPr>
              <w:jc w:val="right"/>
            </w:pPr>
            <w:r w:rsidRPr="00605827">
              <w:rPr>
                <w:b/>
                <w:sz w:val="40"/>
                <w:szCs w:val="40"/>
              </w:rPr>
              <w:t>E</w:t>
            </w:r>
          </w:p>
        </w:tc>
      </w:tr>
      <w:tr w:rsidR="008B2CC1" w:rsidRPr="001832A6" w14:paraId="2E1635B0" w14:textId="77777777" w:rsidTr="00C5068F">
        <w:trPr>
          <w:trHeight w:hRule="exact" w:val="357"/>
        </w:trPr>
        <w:tc>
          <w:tcPr>
            <w:tcW w:w="9356" w:type="dxa"/>
            <w:gridSpan w:val="3"/>
            <w:tcBorders>
              <w:top w:val="single" w:sz="4" w:space="0" w:color="auto"/>
            </w:tcBorders>
            <w:tcMar>
              <w:top w:w="170" w:type="dxa"/>
              <w:left w:w="0" w:type="dxa"/>
              <w:right w:w="0" w:type="dxa"/>
            </w:tcMar>
            <w:vAlign w:val="bottom"/>
          </w:tcPr>
          <w:p w14:paraId="4D8979E5" w14:textId="267291FE" w:rsidR="008B2CC1" w:rsidRPr="0090731E" w:rsidRDefault="00C0065B" w:rsidP="005C4A6E">
            <w:pPr>
              <w:jc w:val="right"/>
              <w:rPr>
                <w:rFonts w:ascii="Arial Black" w:hAnsi="Arial Black"/>
                <w:caps/>
                <w:sz w:val="15"/>
              </w:rPr>
            </w:pPr>
            <w:r>
              <w:rPr>
                <w:rFonts w:ascii="Arial Black" w:hAnsi="Arial Black"/>
                <w:caps/>
                <w:sz w:val="15"/>
              </w:rPr>
              <w:t>CWS/7</w:t>
            </w:r>
            <w:r w:rsidR="00CD59F2">
              <w:rPr>
                <w:rFonts w:ascii="Arial Black" w:hAnsi="Arial Black"/>
                <w:caps/>
                <w:sz w:val="15"/>
              </w:rPr>
              <w:t>/</w:t>
            </w:r>
            <w:bookmarkStart w:id="0" w:name="Code"/>
            <w:bookmarkEnd w:id="0"/>
            <w:r w:rsidR="005C4A6E">
              <w:rPr>
                <w:rFonts w:ascii="Arial Black" w:hAnsi="Arial Black"/>
                <w:caps/>
                <w:sz w:val="15"/>
              </w:rPr>
              <w:t>8</w:t>
            </w:r>
          </w:p>
        </w:tc>
      </w:tr>
      <w:tr w:rsidR="008B2CC1" w:rsidRPr="001832A6" w14:paraId="664F258E" w14:textId="77777777" w:rsidTr="00916EE2">
        <w:trPr>
          <w:trHeight w:hRule="exact" w:val="170"/>
        </w:trPr>
        <w:tc>
          <w:tcPr>
            <w:tcW w:w="9356" w:type="dxa"/>
            <w:gridSpan w:val="3"/>
            <w:noWrap/>
            <w:tcMar>
              <w:left w:w="0" w:type="dxa"/>
              <w:right w:w="0" w:type="dxa"/>
            </w:tcMar>
            <w:vAlign w:val="bottom"/>
          </w:tcPr>
          <w:p w14:paraId="25165F34" w14:textId="77777777"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1" w:name="Original"/>
            <w:bookmarkEnd w:id="1"/>
            <w:r w:rsidR="005E46FD">
              <w:rPr>
                <w:rFonts w:ascii="Arial Black" w:hAnsi="Arial Black"/>
                <w:caps/>
                <w:sz w:val="15"/>
              </w:rPr>
              <w:t>English</w:t>
            </w:r>
            <w:r w:rsidRPr="0090731E">
              <w:rPr>
                <w:rFonts w:ascii="Arial Black" w:hAnsi="Arial Black"/>
                <w:caps/>
                <w:sz w:val="15"/>
              </w:rPr>
              <w:t xml:space="preserve"> </w:t>
            </w:r>
          </w:p>
        </w:tc>
      </w:tr>
      <w:tr w:rsidR="008B2CC1" w:rsidRPr="001832A6" w14:paraId="67DACEDE" w14:textId="77777777" w:rsidTr="00916EE2">
        <w:trPr>
          <w:trHeight w:hRule="exact" w:val="198"/>
        </w:trPr>
        <w:tc>
          <w:tcPr>
            <w:tcW w:w="9356" w:type="dxa"/>
            <w:gridSpan w:val="3"/>
            <w:tcMar>
              <w:left w:w="0" w:type="dxa"/>
              <w:right w:w="0" w:type="dxa"/>
            </w:tcMar>
            <w:vAlign w:val="bottom"/>
          </w:tcPr>
          <w:p w14:paraId="0560A65C" w14:textId="3580B1A4" w:rsidR="008B2CC1" w:rsidRPr="0090731E" w:rsidRDefault="008B2CC1" w:rsidP="00392FC8">
            <w:pPr>
              <w:jc w:val="right"/>
              <w:rPr>
                <w:rFonts w:ascii="Arial Black" w:hAnsi="Arial Black"/>
                <w:caps/>
                <w:sz w:val="15"/>
              </w:rPr>
            </w:pPr>
            <w:r w:rsidRPr="0090731E">
              <w:rPr>
                <w:rFonts w:ascii="Arial Black" w:hAnsi="Arial Black"/>
                <w:caps/>
                <w:sz w:val="15"/>
              </w:rPr>
              <w:t>DATE:</w:t>
            </w:r>
            <w:r w:rsidR="001647D5">
              <w:rPr>
                <w:rFonts w:ascii="Arial Black" w:hAnsi="Arial Black"/>
                <w:caps/>
                <w:sz w:val="15"/>
              </w:rPr>
              <w:t xml:space="preserve">  </w:t>
            </w:r>
            <w:bookmarkStart w:id="2" w:name="Date"/>
            <w:bookmarkEnd w:id="2"/>
            <w:r w:rsidR="004B5048">
              <w:rPr>
                <w:rFonts w:ascii="Arial Black" w:hAnsi="Arial Black"/>
                <w:caps/>
                <w:sz w:val="15"/>
              </w:rPr>
              <w:t xml:space="preserve">MAY </w:t>
            </w:r>
            <w:r w:rsidR="00392FC8">
              <w:rPr>
                <w:rFonts w:ascii="Arial Black" w:hAnsi="Arial Black"/>
                <w:caps/>
                <w:sz w:val="15"/>
              </w:rPr>
              <w:t>14</w:t>
            </w:r>
            <w:r w:rsidR="004B5048">
              <w:rPr>
                <w:rFonts w:ascii="Arial Black" w:hAnsi="Arial Black"/>
                <w:caps/>
                <w:sz w:val="15"/>
              </w:rPr>
              <w:t>, 2019</w:t>
            </w:r>
            <w:r w:rsidRPr="0090731E">
              <w:rPr>
                <w:rFonts w:ascii="Arial Black" w:hAnsi="Arial Black"/>
                <w:caps/>
                <w:sz w:val="15"/>
              </w:rPr>
              <w:t xml:space="preserve"> </w:t>
            </w:r>
          </w:p>
        </w:tc>
      </w:tr>
    </w:tbl>
    <w:p w14:paraId="503F045F" w14:textId="77777777" w:rsidR="008B2CC1" w:rsidRPr="008B2CC1" w:rsidRDefault="008B2CC1" w:rsidP="008B2CC1"/>
    <w:p w14:paraId="1C9795AB" w14:textId="77777777" w:rsidR="008B2CC1" w:rsidRPr="008B2CC1" w:rsidRDefault="008B2CC1" w:rsidP="008B2CC1"/>
    <w:p w14:paraId="7E557CD6" w14:textId="77777777" w:rsidR="008B2CC1" w:rsidRPr="008B2CC1" w:rsidRDefault="008B2CC1" w:rsidP="008B2CC1"/>
    <w:p w14:paraId="30A31507" w14:textId="77777777" w:rsidR="008B2CC1" w:rsidRPr="008B2CC1" w:rsidRDefault="008B2CC1" w:rsidP="008B2CC1"/>
    <w:p w14:paraId="7B6A8DF9" w14:textId="77777777" w:rsidR="008B2CC1" w:rsidRPr="008B2CC1" w:rsidRDefault="008B2CC1" w:rsidP="008B2CC1"/>
    <w:p w14:paraId="41D580E5" w14:textId="77777777" w:rsidR="008B2CC1" w:rsidRPr="003845C1" w:rsidRDefault="00CD59F2" w:rsidP="008B2CC1">
      <w:pPr>
        <w:rPr>
          <w:b/>
          <w:sz w:val="28"/>
          <w:szCs w:val="28"/>
        </w:rPr>
      </w:pPr>
      <w:r>
        <w:rPr>
          <w:b/>
          <w:sz w:val="28"/>
          <w:szCs w:val="28"/>
        </w:rPr>
        <w:t>Committee on WIPO Standards (CWS)</w:t>
      </w:r>
    </w:p>
    <w:p w14:paraId="36BE9959" w14:textId="77777777" w:rsidR="003845C1" w:rsidRDefault="003845C1" w:rsidP="003845C1"/>
    <w:p w14:paraId="490DC219" w14:textId="77777777" w:rsidR="003845C1" w:rsidRDefault="003845C1" w:rsidP="003845C1"/>
    <w:p w14:paraId="2FDC1FF6" w14:textId="77777777" w:rsidR="00CD59F2" w:rsidRDefault="00CD59F2" w:rsidP="00CD59F2">
      <w:pPr>
        <w:rPr>
          <w:b/>
          <w:sz w:val="24"/>
          <w:szCs w:val="24"/>
        </w:rPr>
      </w:pPr>
      <w:r>
        <w:rPr>
          <w:b/>
          <w:sz w:val="24"/>
          <w:szCs w:val="24"/>
        </w:rPr>
        <w:t>S</w:t>
      </w:r>
      <w:r w:rsidR="00C0065B">
        <w:rPr>
          <w:b/>
          <w:sz w:val="24"/>
          <w:szCs w:val="24"/>
        </w:rPr>
        <w:t>eventh</w:t>
      </w:r>
      <w:r>
        <w:rPr>
          <w:b/>
          <w:sz w:val="24"/>
          <w:szCs w:val="24"/>
        </w:rPr>
        <w:t xml:space="preserve"> Session</w:t>
      </w:r>
    </w:p>
    <w:p w14:paraId="2AC2E2E8" w14:textId="77777777" w:rsidR="008B2CC1" w:rsidRPr="003845C1" w:rsidRDefault="00CD59F2" w:rsidP="00CD59F2">
      <w:pPr>
        <w:rPr>
          <w:b/>
          <w:sz w:val="24"/>
          <w:szCs w:val="24"/>
        </w:rPr>
      </w:pPr>
      <w:r>
        <w:rPr>
          <w:b/>
          <w:sz w:val="24"/>
          <w:szCs w:val="24"/>
        </w:rPr>
        <w:t xml:space="preserve">Geneva, </w:t>
      </w:r>
      <w:r w:rsidR="00C0065B">
        <w:rPr>
          <w:b/>
          <w:sz w:val="24"/>
          <w:szCs w:val="24"/>
        </w:rPr>
        <w:t>July</w:t>
      </w:r>
      <w:r>
        <w:rPr>
          <w:b/>
          <w:sz w:val="24"/>
          <w:szCs w:val="24"/>
        </w:rPr>
        <w:t xml:space="preserve"> </w:t>
      </w:r>
      <w:r w:rsidR="00C0065B">
        <w:rPr>
          <w:b/>
          <w:sz w:val="24"/>
          <w:szCs w:val="24"/>
        </w:rPr>
        <w:t>1 to 5, 2019</w:t>
      </w:r>
    </w:p>
    <w:p w14:paraId="11879D26" w14:textId="77777777" w:rsidR="008B2CC1" w:rsidRPr="008B2CC1" w:rsidRDefault="008B2CC1" w:rsidP="008B2CC1"/>
    <w:p w14:paraId="1AA47D7E" w14:textId="77777777" w:rsidR="008B2CC1" w:rsidRPr="008B2CC1" w:rsidRDefault="008B2CC1" w:rsidP="008B2CC1"/>
    <w:p w14:paraId="336F1793" w14:textId="77777777" w:rsidR="008B2CC1" w:rsidRPr="008B2CC1" w:rsidRDefault="008B2CC1" w:rsidP="008B2CC1"/>
    <w:p w14:paraId="47E84336" w14:textId="161C4A3F" w:rsidR="008B2CC1" w:rsidRPr="003845C1" w:rsidRDefault="008C0ABC" w:rsidP="008B2CC1">
      <w:pPr>
        <w:rPr>
          <w:caps/>
          <w:sz w:val="24"/>
        </w:rPr>
      </w:pPr>
      <w:bookmarkStart w:id="3" w:name="TitleOfDoc"/>
      <w:bookmarkEnd w:id="3"/>
      <w:r w:rsidRPr="008C0ABC">
        <w:rPr>
          <w:caps/>
          <w:sz w:val="24"/>
        </w:rPr>
        <w:t xml:space="preserve">Results of the survey </w:t>
      </w:r>
      <w:r w:rsidR="00545E7B" w:rsidRPr="00545E7B">
        <w:rPr>
          <w:caps/>
          <w:sz w:val="24"/>
        </w:rPr>
        <w:t xml:space="preserve">on </w:t>
      </w:r>
      <w:r w:rsidR="005C4A6E" w:rsidRPr="005C4A6E">
        <w:rPr>
          <w:caps/>
          <w:sz w:val="24"/>
        </w:rPr>
        <w:t>use of identifiers for applicants by intellectual property offices</w:t>
      </w:r>
    </w:p>
    <w:p w14:paraId="34673C2B" w14:textId="77777777" w:rsidR="008B2CC1" w:rsidRPr="008B2CC1" w:rsidRDefault="008B2CC1" w:rsidP="008B2CC1"/>
    <w:p w14:paraId="777C1762" w14:textId="2A12D302" w:rsidR="008B2CC1" w:rsidRPr="008B2CC1" w:rsidRDefault="004B5048" w:rsidP="008B2CC1">
      <w:pPr>
        <w:rPr>
          <w:i/>
        </w:rPr>
      </w:pPr>
      <w:bookmarkStart w:id="4" w:name="Prepared"/>
      <w:bookmarkEnd w:id="4"/>
      <w:r>
        <w:rPr>
          <w:i/>
        </w:rPr>
        <w:t xml:space="preserve">Document prepared by the </w:t>
      </w:r>
      <w:r w:rsidR="005E46FD">
        <w:rPr>
          <w:i/>
        </w:rPr>
        <w:t>International Bureau</w:t>
      </w:r>
    </w:p>
    <w:p w14:paraId="6E99FBAA" w14:textId="77777777" w:rsidR="00AC205C" w:rsidRDefault="00AC205C"/>
    <w:p w14:paraId="2458ACB5" w14:textId="77777777" w:rsidR="000F5E56" w:rsidRDefault="000F5E56"/>
    <w:p w14:paraId="3B7C626D" w14:textId="4218B4E8" w:rsidR="002928D3" w:rsidRPr="00392FC8" w:rsidRDefault="002928D3" w:rsidP="0053057A">
      <w:pPr>
        <w:rPr>
          <w:u w:val="single"/>
        </w:rPr>
      </w:pPr>
    </w:p>
    <w:p w14:paraId="48E0F143" w14:textId="77777777" w:rsidR="00392FC8" w:rsidRDefault="00392FC8" w:rsidP="0053057A"/>
    <w:p w14:paraId="476E379C" w14:textId="77777777" w:rsidR="007816C9" w:rsidRDefault="007816C9" w:rsidP="0053057A"/>
    <w:p w14:paraId="2DD8CC6F" w14:textId="77777777" w:rsidR="00F23F38" w:rsidRPr="007C4727" w:rsidRDefault="00F23F38" w:rsidP="00F23F38">
      <w:pPr>
        <w:pStyle w:val="Heading2"/>
      </w:pPr>
      <w:r w:rsidRPr="007C4727">
        <w:rPr>
          <w:caps w:val="0"/>
        </w:rPr>
        <w:t>INTRODUCTION</w:t>
      </w:r>
    </w:p>
    <w:p w14:paraId="7032B94D" w14:textId="3FFC861B" w:rsidR="00220FA8" w:rsidRDefault="00F23F38" w:rsidP="00220FA8">
      <w:pPr>
        <w:pStyle w:val="ONUME"/>
        <w:numPr>
          <w:ilvl w:val="0"/>
          <w:numId w:val="0"/>
        </w:numPr>
      </w:pPr>
      <w:r w:rsidRPr="007C4727">
        <w:fldChar w:fldCharType="begin"/>
      </w:r>
      <w:r w:rsidRPr="007C4727">
        <w:instrText xml:space="preserve"> AUTONUM  </w:instrText>
      </w:r>
      <w:r w:rsidRPr="007C4727">
        <w:fldChar w:fldCharType="end"/>
      </w:r>
      <w:r w:rsidRPr="007C4727">
        <w:tab/>
        <w:t xml:space="preserve">At </w:t>
      </w:r>
      <w:r w:rsidR="00C811A6">
        <w:t>its</w:t>
      </w:r>
      <w:r w:rsidR="00C811A6" w:rsidRPr="007C4727">
        <w:t xml:space="preserve"> </w:t>
      </w:r>
      <w:r>
        <w:t xml:space="preserve">sixth </w:t>
      </w:r>
      <w:r w:rsidRPr="007C4727">
        <w:t>session</w:t>
      </w:r>
      <w:r>
        <w:t xml:space="preserve"> in</w:t>
      </w:r>
      <w:r w:rsidRPr="007C4727">
        <w:t xml:space="preserve"> 201</w:t>
      </w:r>
      <w:r w:rsidR="005C4A6E">
        <w:t>8</w:t>
      </w:r>
      <w:r w:rsidRPr="007C4727">
        <w:t xml:space="preserve">, the </w:t>
      </w:r>
      <w:r w:rsidR="00C811A6">
        <w:t>Committee on WIPO Standards (</w:t>
      </w:r>
      <w:r>
        <w:t>CWS</w:t>
      </w:r>
      <w:r w:rsidR="00C811A6">
        <w:t>)</w:t>
      </w:r>
      <w:r>
        <w:t xml:space="preserve"> approved the </w:t>
      </w:r>
      <w:r w:rsidRPr="00BB197B">
        <w:t>questionnaire</w:t>
      </w:r>
      <w:r>
        <w:t xml:space="preserve"> on </w:t>
      </w:r>
      <w:r w:rsidR="00540A4D" w:rsidRPr="00287694">
        <w:rPr>
          <w:szCs w:val="22"/>
        </w:rPr>
        <w:t xml:space="preserve">the </w:t>
      </w:r>
      <w:r w:rsidR="007C6D5B">
        <w:rPr>
          <w:szCs w:val="22"/>
        </w:rPr>
        <w:t>U</w:t>
      </w:r>
      <w:r w:rsidR="00540A4D" w:rsidRPr="00287694">
        <w:rPr>
          <w:szCs w:val="22"/>
        </w:rPr>
        <w:t xml:space="preserve">se of </w:t>
      </w:r>
      <w:r w:rsidR="007C6D5B">
        <w:rPr>
          <w:szCs w:val="22"/>
        </w:rPr>
        <w:t>I</w:t>
      </w:r>
      <w:r w:rsidR="00540A4D" w:rsidRPr="00287694">
        <w:rPr>
          <w:szCs w:val="22"/>
        </w:rPr>
        <w:t xml:space="preserve">dentifiers for </w:t>
      </w:r>
      <w:r w:rsidR="007C6D5B">
        <w:rPr>
          <w:szCs w:val="22"/>
        </w:rPr>
        <w:t>A</w:t>
      </w:r>
      <w:r w:rsidR="00540A4D" w:rsidRPr="00287694">
        <w:rPr>
          <w:szCs w:val="22"/>
        </w:rPr>
        <w:t xml:space="preserve">pplicants by </w:t>
      </w:r>
      <w:r w:rsidR="007C6D5B">
        <w:rPr>
          <w:szCs w:val="22"/>
        </w:rPr>
        <w:t>I</w:t>
      </w:r>
      <w:r w:rsidR="00540A4D" w:rsidRPr="00287694">
        <w:rPr>
          <w:szCs w:val="22"/>
        </w:rPr>
        <w:t xml:space="preserve">ntellectual </w:t>
      </w:r>
      <w:r w:rsidR="007C6D5B">
        <w:rPr>
          <w:szCs w:val="22"/>
        </w:rPr>
        <w:t>P</w:t>
      </w:r>
      <w:r w:rsidR="00540A4D" w:rsidRPr="00287694">
        <w:rPr>
          <w:szCs w:val="22"/>
        </w:rPr>
        <w:t xml:space="preserve">roperty </w:t>
      </w:r>
      <w:r w:rsidR="007C6D5B">
        <w:rPr>
          <w:szCs w:val="22"/>
        </w:rPr>
        <w:t>O</w:t>
      </w:r>
      <w:r w:rsidR="00540A4D" w:rsidRPr="00287694">
        <w:rPr>
          <w:szCs w:val="22"/>
        </w:rPr>
        <w:t>ffices</w:t>
      </w:r>
      <w:r w:rsidR="00545E7B">
        <w:t xml:space="preserve">.  </w:t>
      </w:r>
      <w:r w:rsidRPr="00BB197B">
        <w:t xml:space="preserve">The CWS requested the Secretariat to issue a circular inviting </w:t>
      </w:r>
      <w:r w:rsidR="007C6D5B">
        <w:t>Intellectual Property Offices (</w:t>
      </w:r>
      <w:r w:rsidRPr="00BB197B">
        <w:t>IPOs</w:t>
      </w:r>
      <w:r w:rsidR="007C6D5B">
        <w:t>)</w:t>
      </w:r>
      <w:r w:rsidRPr="00BB197B">
        <w:t xml:space="preserve"> to participate in the survey on</w:t>
      </w:r>
      <w:r w:rsidR="00540A4D">
        <w:t xml:space="preserve"> identifiers</w:t>
      </w:r>
      <w:r>
        <w:t xml:space="preserve">.  </w:t>
      </w:r>
      <w:r w:rsidRPr="007C4727">
        <w:t>(See paragraph</w:t>
      </w:r>
      <w:r>
        <w:t>s</w:t>
      </w:r>
      <w:r w:rsidRPr="007C4727">
        <w:t xml:space="preserve"> </w:t>
      </w:r>
      <w:r w:rsidR="00545E7B">
        <w:t>1</w:t>
      </w:r>
      <w:r w:rsidR="00540A4D">
        <w:t>69</w:t>
      </w:r>
      <w:r>
        <w:t xml:space="preserve"> and 1</w:t>
      </w:r>
      <w:r w:rsidR="00540A4D">
        <w:t>7</w:t>
      </w:r>
      <w:r w:rsidR="00545E7B">
        <w:t>0</w:t>
      </w:r>
      <w:r w:rsidRPr="007C4727">
        <w:t xml:space="preserve"> of document CWS/</w:t>
      </w:r>
      <w:r>
        <w:t>6/34</w:t>
      </w:r>
      <w:r w:rsidRPr="007C4727">
        <w:t>.)</w:t>
      </w:r>
      <w:r w:rsidR="00220FA8">
        <w:t xml:space="preserve">  </w:t>
      </w:r>
    </w:p>
    <w:p w14:paraId="59C8F925" w14:textId="72F2EFDE" w:rsidR="00220FA8" w:rsidRDefault="00220FA8" w:rsidP="00220FA8">
      <w:pPr>
        <w:pStyle w:val="ONUME"/>
        <w:numPr>
          <w:ilvl w:val="0"/>
          <w:numId w:val="0"/>
        </w:numPr>
      </w:pPr>
      <w:r w:rsidRPr="007C4727">
        <w:fldChar w:fldCharType="begin"/>
      </w:r>
      <w:r w:rsidRPr="007C4727">
        <w:instrText xml:space="preserve"> AUTONUM  </w:instrText>
      </w:r>
      <w:r w:rsidRPr="007C4727">
        <w:fldChar w:fldCharType="end"/>
      </w:r>
      <w:r w:rsidRPr="007C4727">
        <w:tab/>
      </w:r>
      <w:r>
        <w:t>In November 201</w:t>
      </w:r>
      <w:r w:rsidR="00676638">
        <w:t>8</w:t>
      </w:r>
      <w:r>
        <w:t>, the Secretariat issued circular C.CWS.110 requesting IP</w:t>
      </w:r>
      <w:r w:rsidR="00C811A6">
        <w:t>Os</w:t>
      </w:r>
      <w:r>
        <w:t xml:space="preserve"> to designate representatives to participate in the survey.</w:t>
      </w:r>
    </w:p>
    <w:p w14:paraId="1752F171" w14:textId="77777777" w:rsidR="002371C7" w:rsidRPr="007816C9" w:rsidRDefault="002371C7" w:rsidP="007816C9">
      <w:pPr>
        <w:pStyle w:val="Heading2"/>
        <w:rPr>
          <w:caps w:val="0"/>
        </w:rPr>
      </w:pPr>
      <w:r>
        <w:rPr>
          <w:caps w:val="0"/>
        </w:rPr>
        <w:t>RESULTS OF THE SURVEY</w:t>
      </w:r>
    </w:p>
    <w:p w14:paraId="640532F9" w14:textId="0029615E" w:rsidR="00F23F38" w:rsidRPr="007C4727" w:rsidRDefault="002371C7" w:rsidP="007816C9">
      <w:pPr>
        <w:pStyle w:val="ONUME"/>
        <w:numPr>
          <w:ilvl w:val="0"/>
          <w:numId w:val="0"/>
        </w:numPr>
      </w:pPr>
      <w:r w:rsidRPr="007C4727">
        <w:fldChar w:fldCharType="begin"/>
      </w:r>
      <w:r w:rsidRPr="007C4727">
        <w:instrText xml:space="preserve"> AUTONUM  </w:instrText>
      </w:r>
      <w:r w:rsidRPr="007C4727">
        <w:fldChar w:fldCharType="end"/>
      </w:r>
      <w:r w:rsidRPr="007C4727">
        <w:tab/>
      </w:r>
      <w:r w:rsidR="00061FE7" w:rsidRPr="003C4B82">
        <w:t xml:space="preserve">The present survey was conducted from December 2018 to March 2019 using the questionnaire approved by the </w:t>
      </w:r>
      <w:r w:rsidR="00061FE7">
        <w:t>CWS</w:t>
      </w:r>
      <w:r w:rsidR="00061FE7" w:rsidRPr="003C4B82">
        <w:t>.</w:t>
      </w:r>
      <w:r w:rsidR="00061FE7">
        <w:t xml:space="preserve">  </w:t>
      </w:r>
      <w:r w:rsidR="007816C9">
        <w:t>Thirty</w:t>
      </w:r>
      <w:r w:rsidR="00AD73C4">
        <w:t xml:space="preserve"> </w:t>
      </w:r>
      <w:r w:rsidR="007816C9">
        <w:t>nine</w:t>
      </w:r>
      <w:r>
        <w:t xml:space="preserve"> Offices responded to the circular to request a link to the survey.  </w:t>
      </w:r>
      <w:r w:rsidR="007816C9">
        <w:t>Twenty</w:t>
      </w:r>
      <w:r w:rsidR="00AD73C4">
        <w:t xml:space="preserve"> </w:t>
      </w:r>
      <w:r w:rsidR="007816C9">
        <w:t>three</w:t>
      </w:r>
      <w:r w:rsidR="00545E7B">
        <w:t xml:space="preserve"> </w:t>
      </w:r>
      <w:r>
        <w:t xml:space="preserve">Offices submitted responses to the survey.  The International Bureau </w:t>
      </w:r>
      <w:r w:rsidR="007C6D5B">
        <w:t xml:space="preserve">of WIPO </w:t>
      </w:r>
      <w:r>
        <w:t xml:space="preserve">analyzed the responses and prepared </w:t>
      </w:r>
      <w:r w:rsidR="00061FE7">
        <w:t xml:space="preserve">the following </w:t>
      </w:r>
      <w:r>
        <w:t>report for consideration by the CWS.</w:t>
      </w:r>
      <w:r w:rsidR="007816C9">
        <w:t xml:space="preserve">  </w:t>
      </w:r>
      <w:r w:rsidR="00061FE7">
        <w:t xml:space="preserve">The verbatim individual and collective responses are available at </w:t>
      </w:r>
      <w:r w:rsidR="00061FE7" w:rsidRPr="00676638">
        <w:t>[</w:t>
      </w:r>
      <w:bookmarkStart w:id="5" w:name="_GoBack"/>
      <w:r w:rsidR="00E25D2E" w:rsidRPr="00FC565F">
        <w:rPr>
          <w:rStyle w:val="Hyperlink"/>
        </w:rPr>
        <w:t>https://www.wipo.int/edocs/mdocs/classifications/en/cws_7/cws_7_8-related1.zip</w:t>
      </w:r>
      <w:bookmarkEnd w:id="5"/>
      <w:r w:rsidR="00061FE7" w:rsidRPr="00676638">
        <w:t>].</w:t>
      </w:r>
    </w:p>
    <w:p w14:paraId="2D063112" w14:textId="371BC5C1" w:rsidR="00061FE7" w:rsidRPr="003C4B82" w:rsidRDefault="002371C7" w:rsidP="007816C9">
      <w:pPr>
        <w:pStyle w:val="ONUME"/>
        <w:numPr>
          <w:ilvl w:val="0"/>
          <w:numId w:val="0"/>
        </w:numPr>
      </w:pPr>
      <w:r w:rsidRPr="007C4727">
        <w:fldChar w:fldCharType="begin"/>
      </w:r>
      <w:r w:rsidRPr="007C4727">
        <w:instrText xml:space="preserve"> AUTONUM  </w:instrText>
      </w:r>
      <w:r w:rsidRPr="007C4727">
        <w:fldChar w:fldCharType="end"/>
      </w:r>
      <w:r w:rsidRPr="007C4727">
        <w:tab/>
      </w:r>
      <w:r w:rsidR="00061FE7" w:rsidRPr="003C4B82">
        <w:t>The questionnaire addressed issues concerning the use of identifiers for applicant names by IPOs.  This includes questions on perceived advantages and drawbacks of identifiers, how IPOs assign identifiers, and IPOs' future plans to use identifiers.</w:t>
      </w:r>
    </w:p>
    <w:p w14:paraId="61955734" w14:textId="2CB5056C" w:rsidR="00061FE7" w:rsidRDefault="00061FE7" w:rsidP="00AB7E57">
      <w:pPr>
        <w:keepNext/>
        <w:keepLines/>
        <w:spacing w:line="360" w:lineRule="auto"/>
        <w:rPr>
          <w:rStyle w:val="BodyTextChar"/>
        </w:rPr>
      </w:pPr>
      <w:r w:rsidRPr="003C4B82">
        <w:lastRenderedPageBreak/>
        <w:fldChar w:fldCharType="begin"/>
      </w:r>
      <w:r w:rsidRPr="003C4B82">
        <w:instrText xml:space="preserve"> AUTONUM </w:instrText>
      </w:r>
      <w:r w:rsidRPr="003C4B82">
        <w:fldChar w:fldCharType="end"/>
      </w:r>
      <w:r w:rsidRPr="003C4B82">
        <w:tab/>
      </w:r>
      <w:r w:rsidRPr="003C4B82">
        <w:rPr>
          <w:rStyle w:val="BodyTextChar"/>
        </w:rPr>
        <w:t>The following 23 Offices participated in the Survey:</w:t>
      </w:r>
    </w:p>
    <w:p w14:paraId="379DDD25" w14:textId="77777777" w:rsidR="00061FE7" w:rsidRPr="003C4B82" w:rsidRDefault="00061FE7" w:rsidP="00AB7E57">
      <w:pPr>
        <w:keepNext/>
        <w:keepLines/>
        <w:spacing w:line="360" w:lineRule="auto"/>
      </w:pPr>
    </w:p>
    <w:tbl>
      <w:tblPr>
        <w:tblW w:w="3795" w:type="dxa"/>
        <w:tblInd w:w="93" w:type="dxa"/>
        <w:tblLook w:val="0000" w:firstRow="0" w:lastRow="0" w:firstColumn="0" w:lastColumn="0" w:noHBand="0" w:noVBand="0"/>
      </w:tblPr>
      <w:tblGrid>
        <w:gridCol w:w="960"/>
        <w:gridCol w:w="2835"/>
      </w:tblGrid>
      <w:tr w:rsidR="008A238F" w:rsidRPr="008A238F" w14:paraId="331AD897" w14:textId="77777777" w:rsidTr="008A238F">
        <w:trPr>
          <w:trHeight w:val="270"/>
        </w:trPr>
        <w:tc>
          <w:tcPr>
            <w:tcW w:w="960" w:type="dxa"/>
            <w:tcBorders>
              <w:top w:val="nil"/>
              <w:left w:val="nil"/>
              <w:bottom w:val="nil"/>
              <w:right w:val="nil"/>
            </w:tcBorders>
            <w:shd w:val="clear" w:color="auto" w:fill="auto"/>
            <w:noWrap/>
            <w:vAlign w:val="bottom"/>
          </w:tcPr>
          <w:p w14:paraId="51384BCB" w14:textId="77777777" w:rsidR="008A238F" w:rsidRPr="008A238F" w:rsidRDefault="008A238F" w:rsidP="008A238F">
            <w:pPr>
              <w:keepNext/>
              <w:keepLines/>
              <w:spacing w:line="360" w:lineRule="auto"/>
              <w:rPr>
                <w:color w:val="000000"/>
              </w:rPr>
            </w:pPr>
            <w:r w:rsidRPr="008A238F">
              <w:rPr>
                <w:color w:val="000000"/>
              </w:rPr>
              <w:t>AU</w:t>
            </w:r>
          </w:p>
        </w:tc>
        <w:tc>
          <w:tcPr>
            <w:tcW w:w="2835" w:type="dxa"/>
            <w:tcBorders>
              <w:top w:val="nil"/>
              <w:left w:val="nil"/>
              <w:bottom w:val="nil"/>
              <w:right w:val="nil"/>
            </w:tcBorders>
            <w:shd w:val="clear" w:color="auto" w:fill="auto"/>
            <w:vAlign w:val="center"/>
          </w:tcPr>
          <w:p w14:paraId="77C09B83" w14:textId="77777777" w:rsidR="008A238F" w:rsidRPr="008A238F" w:rsidRDefault="008A238F" w:rsidP="008A238F">
            <w:pPr>
              <w:keepNext/>
              <w:keepLines/>
              <w:spacing w:line="360" w:lineRule="auto"/>
            </w:pPr>
            <w:r w:rsidRPr="008A238F">
              <w:t>Australia</w:t>
            </w:r>
          </w:p>
        </w:tc>
      </w:tr>
      <w:tr w:rsidR="008A238F" w:rsidRPr="008A238F" w14:paraId="33DA5613" w14:textId="77777777" w:rsidTr="008A238F">
        <w:trPr>
          <w:trHeight w:val="270"/>
        </w:trPr>
        <w:tc>
          <w:tcPr>
            <w:tcW w:w="960" w:type="dxa"/>
            <w:tcBorders>
              <w:top w:val="nil"/>
              <w:left w:val="nil"/>
              <w:bottom w:val="nil"/>
              <w:right w:val="nil"/>
            </w:tcBorders>
            <w:shd w:val="clear" w:color="auto" w:fill="auto"/>
            <w:noWrap/>
            <w:vAlign w:val="bottom"/>
          </w:tcPr>
          <w:p w14:paraId="27F3F731" w14:textId="77777777" w:rsidR="008A238F" w:rsidRPr="008A238F" w:rsidRDefault="008A238F" w:rsidP="008A238F">
            <w:pPr>
              <w:keepNext/>
              <w:keepLines/>
              <w:spacing w:line="360" w:lineRule="auto"/>
              <w:rPr>
                <w:color w:val="000000"/>
              </w:rPr>
            </w:pPr>
            <w:r w:rsidRPr="008A238F">
              <w:rPr>
                <w:color w:val="000000"/>
              </w:rPr>
              <w:t>CA</w:t>
            </w:r>
          </w:p>
        </w:tc>
        <w:tc>
          <w:tcPr>
            <w:tcW w:w="2835" w:type="dxa"/>
            <w:tcBorders>
              <w:top w:val="nil"/>
              <w:left w:val="nil"/>
              <w:bottom w:val="nil"/>
              <w:right w:val="nil"/>
            </w:tcBorders>
            <w:shd w:val="clear" w:color="auto" w:fill="auto"/>
            <w:vAlign w:val="center"/>
          </w:tcPr>
          <w:p w14:paraId="555EE093" w14:textId="77777777" w:rsidR="008A238F" w:rsidRPr="008A238F" w:rsidRDefault="008A238F" w:rsidP="008A238F">
            <w:pPr>
              <w:keepNext/>
              <w:keepLines/>
              <w:spacing w:line="360" w:lineRule="auto"/>
            </w:pPr>
            <w:r w:rsidRPr="008A238F">
              <w:t>Canada</w:t>
            </w:r>
          </w:p>
        </w:tc>
      </w:tr>
      <w:tr w:rsidR="008A238F" w:rsidRPr="008A238F" w14:paraId="1F620A2F" w14:textId="77777777" w:rsidTr="008A238F">
        <w:trPr>
          <w:trHeight w:val="270"/>
        </w:trPr>
        <w:tc>
          <w:tcPr>
            <w:tcW w:w="960" w:type="dxa"/>
            <w:tcBorders>
              <w:top w:val="nil"/>
              <w:left w:val="nil"/>
              <w:bottom w:val="nil"/>
              <w:right w:val="nil"/>
            </w:tcBorders>
            <w:shd w:val="clear" w:color="auto" w:fill="auto"/>
            <w:noWrap/>
            <w:vAlign w:val="bottom"/>
          </w:tcPr>
          <w:p w14:paraId="5A24D53E" w14:textId="77777777" w:rsidR="008A238F" w:rsidRPr="008A238F" w:rsidRDefault="008A238F" w:rsidP="008A238F">
            <w:pPr>
              <w:keepNext/>
              <w:keepLines/>
              <w:spacing w:line="360" w:lineRule="auto"/>
              <w:rPr>
                <w:color w:val="000000"/>
              </w:rPr>
            </w:pPr>
            <w:r w:rsidRPr="008A238F">
              <w:rPr>
                <w:color w:val="000000"/>
              </w:rPr>
              <w:t>CH</w:t>
            </w:r>
          </w:p>
        </w:tc>
        <w:tc>
          <w:tcPr>
            <w:tcW w:w="2835" w:type="dxa"/>
            <w:tcBorders>
              <w:top w:val="nil"/>
              <w:left w:val="nil"/>
              <w:bottom w:val="nil"/>
              <w:right w:val="nil"/>
            </w:tcBorders>
            <w:shd w:val="clear" w:color="auto" w:fill="auto"/>
            <w:vAlign w:val="center"/>
          </w:tcPr>
          <w:p w14:paraId="52158A28" w14:textId="77777777" w:rsidR="008A238F" w:rsidRPr="008A238F" w:rsidRDefault="008A238F" w:rsidP="008A238F">
            <w:pPr>
              <w:keepNext/>
              <w:keepLines/>
              <w:spacing w:line="360" w:lineRule="auto"/>
            </w:pPr>
            <w:r w:rsidRPr="008A238F">
              <w:t>Switzerland</w:t>
            </w:r>
          </w:p>
        </w:tc>
      </w:tr>
      <w:tr w:rsidR="008A238F" w:rsidRPr="008A238F" w14:paraId="06E4723E" w14:textId="77777777" w:rsidTr="008A238F">
        <w:trPr>
          <w:trHeight w:val="270"/>
        </w:trPr>
        <w:tc>
          <w:tcPr>
            <w:tcW w:w="960" w:type="dxa"/>
            <w:tcBorders>
              <w:top w:val="nil"/>
              <w:left w:val="nil"/>
              <w:bottom w:val="nil"/>
              <w:right w:val="nil"/>
            </w:tcBorders>
            <w:shd w:val="clear" w:color="auto" w:fill="auto"/>
            <w:noWrap/>
            <w:vAlign w:val="bottom"/>
          </w:tcPr>
          <w:p w14:paraId="0F2D64E6" w14:textId="77777777" w:rsidR="008A238F" w:rsidRPr="008A238F" w:rsidRDefault="008A238F" w:rsidP="008A238F">
            <w:pPr>
              <w:keepNext/>
              <w:keepLines/>
              <w:spacing w:line="360" w:lineRule="auto"/>
              <w:rPr>
                <w:color w:val="000000"/>
              </w:rPr>
            </w:pPr>
            <w:r w:rsidRPr="008A238F">
              <w:rPr>
                <w:color w:val="000000"/>
              </w:rPr>
              <w:t>CN</w:t>
            </w:r>
          </w:p>
        </w:tc>
        <w:tc>
          <w:tcPr>
            <w:tcW w:w="2835" w:type="dxa"/>
            <w:tcBorders>
              <w:top w:val="nil"/>
              <w:left w:val="nil"/>
              <w:bottom w:val="nil"/>
              <w:right w:val="nil"/>
            </w:tcBorders>
            <w:shd w:val="clear" w:color="auto" w:fill="auto"/>
            <w:vAlign w:val="center"/>
          </w:tcPr>
          <w:p w14:paraId="5B848B64" w14:textId="77777777" w:rsidR="008A238F" w:rsidRPr="008A238F" w:rsidRDefault="008A238F" w:rsidP="008A238F">
            <w:pPr>
              <w:keepNext/>
              <w:keepLines/>
              <w:spacing w:line="360" w:lineRule="auto"/>
            </w:pPr>
            <w:r w:rsidRPr="008A238F">
              <w:t>China</w:t>
            </w:r>
          </w:p>
        </w:tc>
      </w:tr>
      <w:tr w:rsidR="008A238F" w:rsidRPr="008A238F" w14:paraId="11470C1E" w14:textId="77777777" w:rsidTr="008A238F">
        <w:trPr>
          <w:trHeight w:val="270"/>
        </w:trPr>
        <w:tc>
          <w:tcPr>
            <w:tcW w:w="960" w:type="dxa"/>
            <w:tcBorders>
              <w:top w:val="nil"/>
              <w:left w:val="nil"/>
              <w:bottom w:val="nil"/>
              <w:right w:val="nil"/>
            </w:tcBorders>
            <w:shd w:val="clear" w:color="auto" w:fill="auto"/>
            <w:noWrap/>
            <w:vAlign w:val="bottom"/>
          </w:tcPr>
          <w:p w14:paraId="04FF721E" w14:textId="77777777" w:rsidR="008A238F" w:rsidRPr="008A238F" w:rsidRDefault="008A238F" w:rsidP="008A238F">
            <w:pPr>
              <w:keepNext/>
              <w:keepLines/>
              <w:spacing w:line="360" w:lineRule="auto"/>
              <w:rPr>
                <w:color w:val="000000"/>
              </w:rPr>
            </w:pPr>
            <w:r w:rsidRPr="008A238F">
              <w:rPr>
                <w:color w:val="000000"/>
              </w:rPr>
              <w:t>CO</w:t>
            </w:r>
          </w:p>
        </w:tc>
        <w:tc>
          <w:tcPr>
            <w:tcW w:w="2835" w:type="dxa"/>
            <w:tcBorders>
              <w:top w:val="nil"/>
              <w:left w:val="nil"/>
              <w:bottom w:val="nil"/>
              <w:right w:val="nil"/>
            </w:tcBorders>
            <w:shd w:val="clear" w:color="auto" w:fill="auto"/>
            <w:vAlign w:val="center"/>
          </w:tcPr>
          <w:p w14:paraId="56C9A836" w14:textId="77777777" w:rsidR="008A238F" w:rsidRPr="008A238F" w:rsidRDefault="008A238F" w:rsidP="008A238F">
            <w:pPr>
              <w:keepNext/>
              <w:keepLines/>
              <w:spacing w:line="360" w:lineRule="auto"/>
            </w:pPr>
            <w:r w:rsidRPr="008A238F">
              <w:t>Colombia</w:t>
            </w:r>
          </w:p>
        </w:tc>
      </w:tr>
      <w:tr w:rsidR="008A238F" w:rsidRPr="008A238F" w14:paraId="6C1C8586" w14:textId="77777777" w:rsidTr="008A238F">
        <w:trPr>
          <w:trHeight w:val="270"/>
        </w:trPr>
        <w:tc>
          <w:tcPr>
            <w:tcW w:w="960" w:type="dxa"/>
            <w:tcBorders>
              <w:top w:val="nil"/>
              <w:left w:val="nil"/>
              <w:bottom w:val="nil"/>
              <w:right w:val="nil"/>
            </w:tcBorders>
            <w:shd w:val="clear" w:color="auto" w:fill="auto"/>
            <w:noWrap/>
            <w:vAlign w:val="bottom"/>
          </w:tcPr>
          <w:p w14:paraId="6DA88EF9" w14:textId="77777777" w:rsidR="008A238F" w:rsidRPr="008A238F" w:rsidRDefault="008A238F" w:rsidP="008A238F">
            <w:pPr>
              <w:keepNext/>
              <w:keepLines/>
              <w:spacing w:line="360" w:lineRule="auto"/>
              <w:rPr>
                <w:color w:val="000000"/>
              </w:rPr>
            </w:pPr>
            <w:r w:rsidRPr="008A238F">
              <w:rPr>
                <w:color w:val="000000"/>
              </w:rPr>
              <w:t>CR</w:t>
            </w:r>
          </w:p>
        </w:tc>
        <w:tc>
          <w:tcPr>
            <w:tcW w:w="2835" w:type="dxa"/>
            <w:tcBorders>
              <w:top w:val="nil"/>
              <w:left w:val="nil"/>
              <w:bottom w:val="nil"/>
              <w:right w:val="nil"/>
            </w:tcBorders>
            <w:shd w:val="clear" w:color="auto" w:fill="auto"/>
            <w:vAlign w:val="center"/>
          </w:tcPr>
          <w:p w14:paraId="7681C982" w14:textId="77777777" w:rsidR="008A238F" w:rsidRPr="008A238F" w:rsidRDefault="008A238F" w:rsidP="008A238F">
            <w:pPr>
              <w:keepNext/>
              <w:keepLines/>
              <w:spacing w:line="360" w:lineRule="auto"/>
            </w:pPr>
            <w:r w:rsidRPr="008A238F">
              <w:t>Costa Rica</w:t>
            </w:r>
          </w:p>
        </w:tc>
      </w:tr>
      <w:tr w:rsidR="008A238F" w:rsidRPr="008A238F" w14:paraId="084A454D" w14:textId="77777777" w:rsidTr="008A238F">
        <w:trPr>
          <w:trHeight w:val="270"/>
        </w:trPr>
        <w:tc>
          <w:tcPr>
            <w:tcW w:w="960" w:type="dxa"/>
            <w:tcBorders>
              <w:top w:val="nil"/>
              <w:left w:val="nil"/>
              <w:bottom w:val="nil"/>
              <w:right w:val="nil"/>
            </w:tcBorders>
            <w:shd w:val="clear" w:color="auto" w:fill="auto"/>
            <w:noWrap/>
            <w:vAlign w:val="bottom"/>
          </w:tcPr>
          <w:p w14:paraId="1D3B44EA" w14:textId="77777777" w:rsidR="008A238F" w:rsidRPr="008A238F" w:rsidRDefault="008A238F" w:rsidP="008A238F">
            <w:pPr>
              <w:keepNext/>
              <w:keepLines/>
              <w:spacing w:line="360" w:lineRule="auto"/>
              <w:rPr>
                <w:color w:val="000000"/>
              </w:rPr>
            </w:pPr>
            <w:r w:rsidRPr="008A238F">
              <w:rPr>
                <w:color w:val="000000"/>
              </w:rPr>
              <w:t>CZ</w:t>
            </w:r>
          </w:p>
        </w:tc>
        <w:tc>
          <w:tcPr>
            <w:tcW w:w="2835" w:type="dxa"/>
            <w:tcBorders>
              <w:top w:val="nil"/>
              <w:left w:val="nil"/>
              <w:bottom w:val="nil"/>
              <w:right w:val="nil"/>
            </w:tcBorders>
            <w:shd w:val="clear" w:color="auto" w:fill="auto"/>
            <w:vAlign w:val="center"/>
          </w:tcPr>
          <w:p w14:paraId="05CF99C1" w14:textId="77777777" w:rsidR="008A238F" w:rsidRPr="008A238F" w:rsidRDefault="008A238F" w:rsidP="008A238F">
            <w:pPr>
              <w:keepNext/>
              <w:keepLines/>
              <w:spacing w:line="360" w:lineRule="auto"/>
            </w:pPr>
            <w:r w:rsidRPr="008A238F">
              <w:t>Czech Republic</w:t>
            </w:r>
          </w:p>
        </w:tc>
      </w:tr>
      <w:tr w:rsidR="008A238F" w:rsidRPr="008A238F" w14:paraId="44A517C4" w14:textId="77777777" w:rsidTr="008A238F">
        <w:trPr>
          <w:trHeight w:val="270"/>
        </w:trPr>
        <w:tc>
          <w:tcPr>
            <w:tcW w:w="960" w:type="dxa"/>
            <w:tcBorders>
              <w:top w:val="nil"/>
              <w:left w:val="nil"/>
              <w:bottom w:val="nil"/>
              <w:right w:val="nil"/>
            </w:tcBorders>
            <w:shd w:val="clear" w:color="auto" w:fill="auto"/>
            <w:noWrap/>
            <w:vAlign w:val="bottom"/>
          </w:tcPr>
          <w:p w14:paraId="245159B1" w14:textId="77777777" w:rsidR="008A238F" w:rsidRPr="008A238F" w:rsidRDefault="008A238F" w:rsidP="008A238F">
            <w:pPr>
              <w:keepNext/>
              <w:keepLines/>
              <w:spacing w:line="360" w:lineRule="auto"/>
              <w:rPr>
                <w:color w:val="000000"/>
              </w:rPr>
            </w:pPr>
            <w:r w:rsidRPr="008A238F">
              <w:rPr>
                <w:color w:val="000000"/>
              </w:rPr>
              <w:t>DE</w:t>
            </w:r>
          </w:p>
        </w:tc>
        <w:tc>
          <w:tcPr>
            <w:tcW w:w="2835" w:type="dxa"/>
            <w:tcBorders>
              <w:top w:val="nil"/>
              <w:left w:val="nil"/>
              <w:bottom w:val="nil"/>
              <w:right w:val="nil"/>
            </w:tcBorders>
            <w:shd w:val="clear" w:color="auto" w:fill="auto"/>
            <w:vAlign w:val="center"/>
          </w:tcPr>
          <w:p w14:paraId="5FEA900C" w14:textId="77777777" w:rsidR="008A238F" w:rsidRPr="008A238F" w:rsidRDefault="008A238F" w:rsidP="008A238F">
            <w:pPr>
              <w:keepNext/>
              <w:keepLines/>
              <w:spacing w:line="360" w:lineRule="auto"/>
            </w:pPr>
            <w:r w:rsidRPr="008A238F">
              <w:t>Germany</w:t>
            </w:r>
          </w:p>
        </w:tc>
      </w:tr>
      <w:tr w:rsidR="008A238F" w:rsidRPr="008A238F" w14:paraId="23533D70" w14:textId="77777777" w:rsidTr="008A238F">
        <w:trPr>
          <w:trHeight w:val="270"/>
        </w:trPr>
        <w:tc>
          <w:tcPr>
            <w:tcW w:w="960" w:type="dxa"/>
            <w:tcBorders>
              <w:top w:val="nil"/>
              <w:left w:val="nil"/>
              <w:bottom w:val="nil"/>
              <w:right w:val="nil"/>
            </w:tcBorders>
            <w:shd w:val="clear" w:color="auto" w:fill="auto"/>
            <w:noWrap/>
            <w:vAlign w:val="bottom"/>
          </w:tcPr>
          <w:p w14:paraId="0C8D9A44" w14:textId="77777777" w:rsidR="008A238F" w:rsidRPr="008A238F" w:rsidRDefault="008A238F" w:rsidP="008A238F">
            <w:pPr>
              <w:keepNext/>
              <w:keepLines/>
              <w:spacing w:line="360" w:lineRule="auto"/>
              <w:rPr>
                <w:color w:val="000000"/>
              </w:rPr>
            </w:pPr>
            <w:r w:rsidRPr="008A238F">
              <w:rPr>
                <w:color w:val="000000"/>
              </w:rPr>
              <w:t>DO</w:t>
            </w:r>
          </w:p>
        </w:tc>
        <w:tc>
          <w:tcPr>
            <w:tcW w:w="2835" w:type="dxa"/>
            <w:tcBorders>
              <w:top w:val="nil"/>
              <w:left w:val="nil"/>
              <w:bottom w:val="nil"/>
              <w:right w:val="nil"/>
            </w:tcBorders>
            <w:shd w:val="clear" w:color="auto" w:fill="auto"/>
            <w:vAlign w:val="center"/>
          </w:tcPr>
          <w:p w14:paraId="2F63D0EF" w14:textId="77777777" w:rsidR="008A238F" w:rsidRPr="008A238F" w:rsidRDefault="008A238F" w:rsidP="008A238F">
            <w:pPr>
              <w:keepNext/>
              <w:keepLines/>
              <w:spacing w:line="360" w:lineRule="auto"/>
            </w:pPr>
            <w:r w:rsidRPr="008A238F">
              <w:t>Dominican Republic</w:t>
            </w:r>
          </w:p>
        </w:tc>
      </w:tr>
      <w:tr w:rsidR="008A238F" w:rsidRPr="008A238F" w14:paraId="58C7C86C" w14:textId="77777777" w:rsidTr="008A238F">
        <w:trPr>
          <w:trHeight w:val="270"/>
        </w:trPr>
        <w:tc>
          <w:tcPr>
            <w:tcW w:w="960" w:type="dxa"/>
            <w:tcBorders>
              <w:top w:val="nil"/>
              <w:left w:val="nil"/>
              <w:bottom w:val="nil"/>
              <w:right w:val="nil"/>
            </w:tcBorders>
            <w:shd w:val="clear" w:color="auto" w:fill="auto"/>
            <w:noWrap/>
            <w:vAlign w:val="bottom"/>
          </w:tcPr>
          <w:p w14:paraId="4B68B8A5" w14:textId="77777777" w:rsidR="008A238F" w:rsidRPr="008A238F" w:rsidRDefault="008A238F" w:rsidP="008A238F">
            <w:pPr>
              <w:keepNext/>
              <w:keepLines/>
              <w:spacing w:line="360" w:lineRule="auto"/>
              <w:rPr>
                <w:color w:val="000000"/>
              </w:rPr>
            </w:pPr>
            <w:r w:rsidRPr="008A238F">
              <w:rPr>
                <w:color w:val="000000"/>
              </w:rPr>
              <w:t>EE</w:t>
            </w:r>
          </w:p>
        </w:tc>
        <w:tc>
          <w:tcPr>
            <w:tcW w:w="2835" w:type="dxa"/>
            <w:tcBorders>
              <w:top w:val="nil"/>
              <w:left w:val="nil"/>
              <w:bottom w:val="nil"/>
              <w:right w:val="nil"/>
            </w:tcBorders>
            <w:shd w:val="clear" w:color="auto" w:fill="auto"/>
            <w:vAlign w:val="center"/>
          </w:tcPr>
          <w:p w14:paraId="0B806C4F" w14:textId="77777777" w:rsidR="008A238F" w:rsidRPr="008A238F" w:rsidRDefault="008A238F" w:rsidP="008A238F">
            <w:pPr>
              <w:keepNext/>
              <w:keepLines/>
              <w:spacing w:line="360" w:lineRule="auto"/>
            </w:pPr>
            <w:r w:rsidRPr="008A238F">
              <w:t>Estonia</w:t>
            </w:r>
          </w:p>
        </w:tc>
      </w:tr>
      <w:tr w:rsidR="008A238F" w:rsidRPr="008A238F" w14:paraId="7AEFA88F" w14:textId="77777777" w:rsidTr="008A238F">
        <w:trPr>
          <w:trHeight w:val="270"/>
        </w:trPr>
        <w:tc>
          <w:tcPr>
            <w:tcW w:w="960" w:type="dxa"/>
            <w:tcBorders>
              <w:top w:val="nil"/>
              <w:left w:val="nil"/>
              <w:bottom w:val="nil"/>
              <w:right w:val="nil"/>
            </w:tcBorders>
            <w:shd w:val="clear" w:color="auto" w:fill="auto"/>
            <w:noWrap/>
            <w:vAlign w:val="bottom"/>
          </w:tcPr>
          <w:p w14:paraId="0360BA25" w14:textId="77777777" w:rsidR="008A238F" w:rsidRPr="008A238F" w:rsidRDefault="008A238F" w:rsidP="008A238F">
            <w:pPr>
              <w:keepNext/>
              <w:keepLines/>
              <w:spacing w:line="360" w:lineRule="auto"/>
              <w:rPr>
                <w:color w:val="000000"/>
              </w:rPr>
            </w:pPr>
            <w:r w:rsidRPr="008A238F">
              <w:rPr>
                <w:color w:val="000000"/>
              </w:rPr>
              <w:t>ES</w:t>
            </w:r>
          </w:p>
        </w:tc>
        <w:tc>
          <w:tcPr>
            <w:tcW w:w="2835" w:type="dxa"/>
            <w:tcBorders>
              <w:top w:val="nil"/>
              <w:left w:val="nil"/>
              <w:bottom w:val="nil"/>
              <w:right w:val="nil"/>
            </w:tcBorders>
            <w:shd w:val="clear" w:color="auto" w:fill="auto"/>
            <w:vAlign w:val="center"/>
          </w:tcPr>
          <w:p w14:paraId="30D1C7ED" w14:textId="77777777" w:rsidR="008A238F" w:rsidRPr="008A238F" w:rsidRDefault="008A238F" w:rsidP="008A238F">
            <w:pPr>
              <w:keepNext/>
              <w:keepLines/>
              <w:spacing w:line="360" w:lineRule="auto"/>
            </w:pPr>
            <w:r w:rsidRPr="008A238F">
              <w:t>Spain</w:t>
            </w:r>
          </w:p>
        </w:tc>
      </w:tr>
      <w:tr w:rsidR="008A238F" w:rsidRPr="008A238F" w14:paraId="662C5724" w14:textId="77777777" w:rsidTr="008A238F">
        <w:trPr>
          <w:trHeight w:val="270"/>
        </w:trPr>
        <w:tc>
          <w:tcPr>
            <w:tcW w:w="960" w:type="dxa"/>
            <w:tcBorders>
              <w:top w:val="nil"/>
              <w:left w:val="nil"/>
              <w:bottom w:val="nil"/>
              <w:right w:val="nil"/>
            </w:tcBorders>
            <w:shd w:val="clear" w:color="auto" w:fill="auto"/>
            <w:noWrap/>
            <w:vAlign w:val="bottom"/>
          </w:tcPr>
          <w:p w14:paraId="57227181" w14:textId="77777777" w:rsidR="008A238F" w:rsidRPr="008A238F" w:rsidRDefault="008A238F" w:rsidP="008A238F">
            <w:pPr>
              <w:keepNext/>
              <w:keepLines/>
              <w:spacing w:line="360" w:lineRule="auto"/>
              <w:rPr>
                <w:color w:val="000000"/>
              </w:rPr>
            </w:pPr>
            <w:r w:rsidRPr="008A238F">
              <w:rPr>
                <w:color w:val="000000"/>
              </w:rPr>
              <w:t>GB</w:t>
            </w:r>
          </w:p>
        </w:tc>
        <w:tc>
          <w:tcPr>
            <w:tcW w:w="2835" w:type="dxa"/>
            <w:tcBorders>
              <w:top w:val="nil"/>
              <w:left w:val="nil"/>
              <w:bottom w:val="nil"/>
              <w:right w:val="nil"/>
            </w:tcBorders>
            <w:shd w:val="clear" w:color="auto" w:fill="auto"/>
            <w:vAlign w:val="center"/>
          </w:tcPr>
          <w:p w14:paraId="5F694FEE" w14:textId="77777777" w:rsidR="008A238F" w:rsidRPr="008A238F" w:rsidRDefault="008A238F" w:rsidP="008A238F">
            <w:pPr>
              <w:keepNext/>
              <w:keepLines/>
              <w:spacing w:line="360" w:lineRule="auto"/>
            </w:pPr>
            <w:r w:rsidRPr="008A238F">
              <w:t>United Kingdom</w:t>
            </w:r>
          </w:p>
        </w:tc>
      </w:tr>
      <w:tr w:rsidR="008A238F" w:rsidRPr="008A238F" w14:paraId="0A669E49" w14:textId="77777777" w:rsidTr="008A238F">
        <w:trPr>
          <w:trHeight w:val="270"/>
        </w:trPr>
        <w:tc>
          <w:tcPr>
            <w:tcW w:w="960" w:type="dxa"/>
            <w:tcBorders>
              <w:top w:val="nil"/>
              <w:left w:val="nil"/>
              <w:bottom w:val="nil"/>
              <w:right w:val="nil"/>
            </w:tcBorders>
            <w:shd w:val="clear" w:color="auto" w:fill="auto"/>
            <w:noWrap/>
            <w:vAlign w:val="bottom"/>
          </w:tcPr>
          <w:p w14:paraId="4E17FFAE" w14:textId="77777777" w:rsidR="008A238F" w:rsidRPr="008A238F" w:rsidRDefault="008A238F" w:rsidP="008A238F">
            <w:pPr>
              <w:keepNext/>
              <w:keepLines/>
              <w:spacing w:line="360" w:lineRule="auto"/>
              <w:rPr>
                <w:color w:val="000000"/>
              </w:rPr>
            </w:pPr>
            <w:r w:rsidRPr="008A238F">
              <w:rPr>
                <w:color w:val="000000"/>
              </w:rPr>
              <w:t>HR</w:t>
            </w:r>
          </w:p>
        </w:tc>
        <w:tc>
          <w:tcPr>
            <w:tcW w:w="2835" w:type="dxa"/>
            <w:tcBorders>
              <w:top w:val="nil"/>
              <w:left w:val="nil"/>
              <w:bottom w:val="nil"/>
              <w:right w:val="nil"/>
            </w:tcBorders>
            <w:shd w:val="clear" w:color="auto" w:fill="auto"/>
            <w:vAlign w:val="center"/>
          </w:tcPr>
          <w:p w14:paraId="09B89CDE" w14:textId="77777777" w:rsidR="008A238F" w:rsidRPr="008A238F" w:rsidRDefault="008A238F" w:rsidP="008A238F">
            <w:pPr>
              <w:keepNext/>
              <w:keepLines/>
              <w:spacing w:line="360" w:lineRule="auto"/>
            </w:pPr>
            <w:r w:rsidRPr="008A238F">
              <w:t>Croatia</w:t>
            </w:r>
          </w:p>
        </w:tc>
      </w:tr>
      <w:tr w:rsidR="008A238F" w:rsidRPr="008A238F" w14:paraId="7F870068" w14:textId="77777777" w:rsidTr="008A238F">
        <w:trPr>
          <w:trHeight w:val="270"/>
        </w:trPr>
        <w:tc>
          <w:tcPr>
            <w:tcW w:w="960" w:type="dxa"/>
            <w:tcBorders>
              <w:top w:val="nil"/>
              <w:left w:val="nil"/>
              <w:bottom w:val="nil"/>
              <w:right w:val="nil"/>
            </w:tcBorders>
            <w:shd w:val="clear" w:color="auto" w:fill="auto"/>
            <w:noWrap/>
            <w:vAlign w:val="bottom"/>
          </w:tcPr>
          <w:p w14:paraId="1DD2FB63" w14:textId="77777777" w:rsidR="008A238F" w:rsidRPr="008A238F" w:rsidRDefault="008A238F" w:rsidP="008A238F">
            <w:pPr>
              <w:keepNext/>
              <w:keepLines/>
              <w:spacing w:line="360" w:lineRule="auto"/>
              <w:rPr>
                <w:color w:val="000000"/>
              </w:rPr>
            </w:pPr>
            <w:r w:rsidRPr="008A238F">
              <w:rPr>
                <w:color w:val="000000"/>
              </w:rPr>
              <w:t>IT</w:t>
            </w:r>
          </w:p>
        </w:tc>
        <w:tc>
          <w:tcPr>
            <w:tcW w:w="2835" w:type="dxa"/>
            <w:tcBorders>
              <w:top w:val="nil"/>
              <w:left w:val="nil"/>
              <w:bottom w:val="nil"/>
              <w:right w:val="nil"/>
            </w:tcBorders>
            <w:shd w:val="clear" w:color="auto" w:fill="auto"/>
            <w:vAlign w:val="center"/>
          </w:tcPr>
          <w:p w14:paraId="4202C687" w14:textId="77777777" w:rsidR="008A238F" w:rsidRPr="008A238F" w:rsidRDefault="008A238F" w:rsidP="008A238F">
            <w:pPr>
              <w:keepNext/>
              <w:keepLines/>
              <w:spacing w:line="360" w:lineRule="auto"/>
            </w:pPr>
            <w:r w:rsidRPr="008A238F">
              <w:t>Italy</w:t>
            </w:r>
          </w:p>
        </w:tc>
      </w:tr>
      <w:tr w:rsidR="008A238F" w:rsidRPr="008A238F" w14:paraId="59836344" w14:textId="77777777" w:rsidTr="008A238F">
        <w:trPr>
          <w:trHeight w:val="270"/>
        </w:trPr>
        <w:tc>
          <w:tcPr>
            <w:tcW w:w="960" w:type="dxa"/>
            <w:tcBorders>
              <w:top w:val="nil"/>
              <w:left w:val="nil"/>
              <w:bottom w:val="nil"/>
              <w:right w:val="nil"/>
            </w:tcBorders>
            <w:shd w:val="clear" w:color="auto" w:fill="auto"/>
            <w:noWrap/>
            <w:vAlign w:val="bottom"/>
          </w:tcPr>
          <w:p w14:paraId="79278E0A" w14:textId="77777777" w:rsidR="008A238F" w:rsidRPr="008A238F" w:rsidRDefault="008A238F" w:rsidP="008A238F">
            <w:pPr>
              <w:keepNext/>
              <w:keepLines/>
              <w:spacing w:line="360" w:lineRule="auto"/>
              <w:rPr>
                <w:color w:val="000000"/>
              </w:rPr>
            </w:pPr>
            <w:r w:rsidRPr="008A238F">
              <w:rPr>
                <w:color w:val="000000"/>
              </w:rPr>
              <w:t>JP</w:t>
            </w:r>
          </w:p>
        </w:tc>
        <w:tc>
          <w:tcPr>
            <w:tcW w:w="2835" w:type="dxa"/>
            <w:tcBorders>
              <w:top w:val="nil"/>
              <w:left w:val="nil"/>
              <w:bottom w:val="nil"/>
              <w:right w:val="nil"/>
            </w:tcBorders>
            <w:shd w:val="clear" w:color="auto" w:fill="auto"/>
            <w:vAlign w:val="center"/>
          </w:tcPr>
          <w:p w14:paraId="7D810400" w14:textId="77777777" w:rsidR="008A238F" w:rsidRPr="008A238F" w:rsidRDefault="008A238F" w:rsidP="008A238F">
            <w:pPr>
              <w:keepNext/>
              <w:keepLines/>
              <w:spacing w:line="360" w:lineRule="auto"/>
            </w:pPr>
            <w:r w:rsidRPr="008A238F">
              <w:t>Japan</w:t>
            </w:r>
          </w:p>
        </w:tc>
      </w:tr>
      <w:tr w:rsidR="008A238F" w:rsidRPr="008A238F" w14:paraId="044ABCAF" w14:textId="77777777" w:rsidTr="008A238F">
        <w:trPr>
          <w:trHeight w:val="270"/>
        </w:trPr>
        <w:tc>
          <w:tcPr>
            <w:tcW w:w="960" w:type="dxa"/>
            <w:tcBorders>
              <w:top w:val="nil"/>
              <w:left w:val="nil"/>
              <w:bottom w:val="nil"/>
              <w:right w:val="nil"/>
            </w:tcBorders>
            <w:shd w:val="clear" w:color="auto" w:fill="auto"/>
            <w:noWrap/>
            <w:vAlign w:val="bottom"/>
          </w:tcPr>
          <w:p w14:paraId="20841DDE" w14:textId="77777777" w:rsidR="008A238F" w:rsidRPr="008A238F" w:rsidRDefault="008A238F" w:rsidP="008A238F">
            <w:pPr>
              <w:keepNext/>
              <w:keepLines/>
              <w:spacing w:line="360" w:lineRule="auto"/>
              <w:rPr>
                <w:color w:val="000000"/>
              </w:rPr>
            </w:pPr>
            <w:r w:rsidRPr="008A238F">
              <w:rPr>
                <w:color w:val="000000"/>
              </w:rPr>
              <w:t>KR</w:t>
            </w:r>
          </w:p>
        </w:tc>
        <w:tc>
          <w:tcPr>
            <w:tcW w:w="2835" w:type="dxa"/>
            <w:tcBorders>
              <w:top w:val="nil"/>
              <w:left w:val="nil"/>
              <w:bottom w:val="nil"/>
              <w:right w:val="nil"/>
            </w:tcBorders>
            <w:shd w:val="clear" w:color="auto" w:fill="auto"/>
            <w:vAlign w:val="center"/>
          </w:tcPr>
          <w:p w14:paraId="077A9249" w14:textId="77777777" w:rsidR="008A238F" w:rsidRPr="008A238F" w:rsidRDefault="008A238F" w:rsidP="008A238F">
            <w:pPr>
              <w:keepNext/>
              <w:keepLines/>
              <w:spacing w:line="360" w:lineRule="auto"/>
            </w:pPr>
            <w:r w:rsidRPr="008A238F">
              <w:t>Republic of Korea</w:t>
            </w:r>
          </w:p>
        </w:tc>
      </w:tr>
      <w:tr w:rsidR="008A238F" w:rsidRPr="008A238F" w14:paraId="272C4153" w14:textId="77777777" w:rsidTr="008A238F">
        <w:trPr>
          <w:trHeight w:val="270"/>
        </w:trPr>
        <w:tc>
          <w:tcPr>
            <w:tcW w:w="960" w:type="dxa"/>
            <w:tcBorders>
              <w:top w:val="nil"/>
              <w:left w:val="nil"/>
              <w:bottom w:val="nil"/>
              <w:right w:val="nil"/>
            </w:tcBorders>
            <w:shd w:val="clear" w:color="auto" w:fill="auto"/>
            <w:noWrap/>
            <w:vAlign w:val="bottom"/>
          </w:tcPr>
          <w:p w14:paraId="423547F6" w14:textId="77777777" w:rsidR="008A238F" w:rsidRPr="008A238F" w:rsidRDefault="008A238F" w:rsidP="008A238F">
            <w:pPr>
              <w:keepNext/>
              <w:keepLines/>
              <w:spacing w:line="360" w:lineRule="auto"/>
              <w:rPr>
                <w:color w:val="000000"/>
              </w:rPr>
            </w:pPr>
            <w:r w:rsidRPr="008A238F">
              <w:rPr>
                <w:color w:val="000000"/>
              </w:rPr>
              <w:t>MD</w:t>
            </w:r>
          </w:p>
        </w:tc>
        <w:tc>
          <w:tcPr>
            <w:tcW w:w="2835" w:type="dxa"/>
            <w:tcBorders>
              <w:top w:val="nil"/>
              <w:left w:val="nil"/>
              <w:bottom w:val="nil"/>
              <w:right w:val="nil"/>
            </w:tcBorders>
            <w:shd w:val="clear" w:color="auto" w:fill="auto"/>
            <w:vAlign w:val="center"/>
          </w:tcPr>
          <w:p w14:paraId="11167FA9" w14:textId="77777777" w:rsidR="008A238F" w:rsidRPr="008A238F" w:rsidRDefault="008A238F" w:rsidP="008A238F">
            <w:pPr>
              <w:keepNext/>
              <w:keepLines/>
              <w:spacing w:line="360" w:lineRule="auto"/>
            </w:pPr>
            <w:r w:rsidRPr="008A238F">
              <w:t>Republic of Moldova</w:t>
            </w:r>
          </w:p>
        </w:tc>
      </w:tr>
      <w:tr w:rsidR="008A238F" w:rsidRPr="008A238F" w14:paraId="19DB546D" w14:textId="77777777" w:rsidTr="008A238F">
        <w:trPr>
          <w:trHeight w:val="270"/>
        </w:trPr>
        <w:tc>
          <w:tcPr>
            <w:tcW w:w="960" w:type="dxa"/>
            <w:tcBorders>
              <w:top w:val="nil"/>
              <w:left w:val="nil"/>
              <w:bottom w:val="nil"/>
              <w:right w:val="nil"/>
            </w:tcBorders>
            <w:shd w:val="clear" w:color="auto" w:fill="auto"/>
            <w:noWrap/>
            <w:vAlign w:val="bottom"/>
          </w:tcPr>
          <w:p w14:paraId="67D2D934" w14:textId="77777777" w:rsidR="008A238F" w:rsidRPr="008A238F" w:rsidRDefault="008A238F" w:rsidP="008A238F">
            <w:pPr>
              <w:keepNext/>
              <w:keepLines/>
              <w:spacing w:line="360" w:lineRule="auto"/>
              <w:rPr>
                <w:color w:val="000000"/>
              </w:rPr>
            </w:pPr>
            <w:r w:rsidRPr="008A238F">
              <w:rPr>
                <w:color w:val="000000"/>
              </w:rPr>
              <w:t>NZ</w:t>
            </w:r>
          </w:p>
        </w:tc>
        <w:tc>
          <w:tcPr>
            <w:tcW w:w="2835" w:type="dxa"/>
            <w:tcBorders>
              <w:top w:val="nil"/>
              <w:left w:val="nil"/>
              <w:bottom w:val="nil"/>
              <w:right w:val="nil"/>
            </w:tcBorders>
            <w:shd w:val="clear" w:color="auto" w:fill="auto"/>
            <w:vAlign w:val="center"/>
          </w:tcPr>
          <w:p w14:paraId="1EE387BE" w14:textId="77777777" w:rsidR="008A238F" w:rsidRPr="008A238F" w:rsidRDefault="008A238F" w:rsidP="008A238F">
            <w:pPr>
              <w:keepNext/>
              <w:keepLines/>
              <w:spacing w:line="360" w:lineRule="auto"/>
            </w:pPr>
            <w:r w:rsidRPr="008A238F">
              <w:t>New Zealand</w:t>
            </w:r>
          </w:p>
        </w:tc>
      </w:tr>
      <w:tr w:rsidR="008A238F" w:rsidRPr="008A238F" w14:paraId="52623F5E" w14:textId="77777777" w:rsidTr="008A238F">
        <w:trPr>
          <w:trHeight w:val="270"/>
        </w:trPr>
        <w:tc>
          <w:tcPr>
            <w:tcW w:w="960" w:type="dxa"/>
            <w:tcBorders>
              <w:top w:val="nil"/>
              <w:left w:val="nil"/>
              <w:bottom w:val="nil"/>
              <w:right w:val="nil"/>
            </w:tcBorders>
            <w:shd w:val="clear" w:color="auto" w:fill="auto"/>
            <w:noWrap/>
            <w:vAlign w:val="bottom"/>
          </w:tcPr>
          <w:p w14:paraId="0E428941" w14:textId="77777777" w:rsidR="008A238F" w:rsidRPr="008A238F" w:rsidRDefault="008A238F" w:rsidP="008A238F">
            <w:pPr>
              <w:keepNext/>
              <w:keepLines/>
              <w:spacing w:line="360" w:lineRule="auto"/>
              <w:rPr>
                <w:color w:val="000000"/>
              </w:rPr>
            </w:pPr>
            <w:r w:rsidRPr="008A238F">
              <w:rPr>
                <w:color w:val="000000"/>
              </w:rPr>
              <w:t>RU</w:t>
            </w:r>
          </w:p>
        </w:tc>
        <w:tc>
          <w:tcPr>
            <w:tcW w:w="2835" w:type="dxa"/>
            <w:tcBorders>
              <w:top w:val="nil"/>
              <w:left w:val="nil"/>
              <w:bottom w:val="nil"/>
              <w:right w:val="nil"/>
            </w:tcBorders>
            <w:shd w:val="clear" w:color="auto" w:fill="auto"/>
            <w:vAlign w:val="center"/>
          </w:tcPr>
          <w:p w14:paraId="29984A2C" w14:textId="77777777" w:rsidR="008A238F" w:rsidRPr="008A238F" w:rsidRDefault="008A238F" w:rsidP="008A238F">
            <w:pPr>
              <w:keepNext/>
              <w:keepLines/>
              <w:spacing w:line="360" w:lineRule="auto"/>
            </w:pPr>
            <w:r w:rsidRPr="008A238F">
              <w:t>Russian Federation</w:t>
            </w:r>
          </w:p>
        </w:tc>
      </w:tr>
      <w:tr w:rsidR="008A238F" w:rsidRPr="008A238F" w14:paraId="3A1D2F5E" w14:textId="77777777" w:rsidTr="008A238F">
        <w:trPr>
          <w:trHeight w:val="270"/>
        </w:trPr>
        <w:tc>
          <w:tcPr>
            <w:tcW w:w="960" w:type="dxa"/>
            <w:tcBorders>
              <w:top w:val="nil"/>
              <w:left w:val="nil"/>
              <w:bottom w:val="nil"/>
              <w:right w:val="nil"/>
            </w:tcBorders>
            <w:shd w:val="clear" w:color="auto" w:fill="auto"/>
            <w:noWrap/>
            <w:vAlign w:val="bottom"/>
          </w:tcPr>
          <w:p w14:paraId="1E25DAA2" w14:textId="77777777" w:rsidR="008A238F" w:rsidRPr="008A238F" w:rsidRDefault="008A238F" w:rsidP="008A238F">
            <w:pPr>
              <w:keepNext/>
              <w:keepLines/>
              <w:spacing w:line="360" w:lineRule="auto"/>
              <w:rPr>
                <w:color w:val="000000"/>
              </w:rPr>
            </w:pPr>
            <w:r w:rsidRPr="008A238F">
              <w:rPr>
                <w:color w:val="000000"/>
              </w:rPr>
              <w:t>SE</w:t>
            </w:r>
          </w:p>
        </w:tc>
        <w:tc>
          <w:tcPr>
            <w:tcW w:w="2835" w:type="dxa"/>
            <w:tcBorders>
              <w:top w:val="nil"/>
              <w:left w:val="nil"/>
              <w:bottom w:val="nil"/>
              <w:right w:val="nil"/>
            </w:tcBorders>
            <w:shd w:val="clear" w:color="auto" w:fill="auto"/>
            <w:vAlign w:val="center"/>
          </w:tcPr>
          <w:p w14:paraId="2D413864" w14:textId="77777777" w:rsidR="008A238F" w:rsidRPr="008A238F" w:rsidRDefault="008A238F" w:rsidP="008A238F">
            <w:pPr>
              <w:keepNext/>
              <w:keepLines/>
              <w:spacing w:line="360" w:lineRule="auto"/>
            </w:pPr>
            <w:r w:rsidRPr="008A238F">
              <w:t>Sweden</w:t>
            </w:r>
          </w:p>
        </w:tc>
      </w:tr>
      <w:tr w:rsidR="008A238F" w:rsidRPr="008A238F" w14:paraId="0B06BDB0" w14:textId="77777777" w:rsidTr="008A238F">
        <w:trPr>
          <w:trHeight w:val="270"/>
        </w:trPr>
        <w:tc>
          <w:tcPr>
            <w:tcW w:w="960" w:type="dxa"/>
            <w:tcBorders>
              <w:top w:val="nil"/>
              <w:left w:val="nil"/>
              <w:bottom w:val="nil"/>
              <w:right w:val="nil"/>
            </w:tcBorders>
            <w:shd w:val="clear" w:color="auto" w:fill="auto"/>
            <w:noWrap/>
            <w:vAlign w:val="bottom"/>
          </w:tcPr>
          <w:p w14:paraId="0CAEF73A" w14:textId="77777777" w:rsidR="008A238F" w:rsidRPr="008A238F" w:rsidRDefault="008A238F" w:rsidP="008A238F">
            <w:pPr>
              <w:keepNext/>
              <w:keepLines/>
              <w:spacing w:line="360" w:lineRule="auto"/>
              <w:rPr>
                <w:color w:val="000000"/>
              </w:rPr>
            </w:pPr>
            <w:r w:rsidRPr="008A238F">
              <w:rPr>
                <w:color w:val="000000"/>
              </w:rPr>
              <w:t>SK</w:t>
            </w:r>
          </w:p>
        </w:tc>
        <w:tc>
          <w:tcPr>
            <w:tcW w:w="2835" w:type="dxa"/>
            <w:tcBorders>
              <w:top w:val="nil"/>
              <w:left w:val="nil"/>
              <w:bottom w:val="nil"/>
              <w:right w:val="nil"/>
            </w:tcBorders>
            <w:shd w:val="clear" w:color="auto" w:fill="auto"/>
            <w:vAlign w:val="center"/>
          </w:tcPr>
          <w:p w14:paraId="2F4F29E3" w14:textId="77777777" w:rsidR="008A238F" w:rsidRPr="008A238F" w:rsidRDefault="008A238F" w:rsidP="008A238F">
            <w:pPr>
              <w:keepNext/>
              <w:keepLines/>
              <w:spacing w:line="360" w:lineRule="auto"/>
            </w:pPr>
            <w:r w:rsidRPr="008A238F">
              <w:t>Slovakia</w:t>
            </w:r>
          </w:p>
        </w:tc>
      </w:tr>
      <w:tr w:rsidR="008A238F" w:rsidRPr="008A238F" w14:paraId="7FD27CEA" w14:textId="77777777" w:rsidTr="008A238F">
        <w:trPr>
          <w:trHeight w:val="270"/>
        </w:trPr>
        <w:tc>
          <w:tcPr>
            <w:tcW w:w="960" w:type="dxa"/>
            <w:tcBorders>
              <w:top w:val="nil"/>
              <w:left w:val="nil"/>
              <w:bottom w:val="nil"/>
              <w:right w:val="nil"/>
            </w:tcBorders>
            <w:shd w:val="clear" w:color="auto" w:fill="auto"/>
            <w:noWrap/>
            <w:vAlign w:val="bottom"/>
          </w:tcPr>
          <w:p w14:paraId="1CA7C2B6" w14:textId="77777777" w:rsidR="008A238F" w:rsidRPr="008A238F" w:rsidRDefault="008A238F" w:rsidP="008A238F">
            <w:pPr>
              <w:keepNext/>
              <w:keepLines/>
              <w:spacing w:line="360" w:lineRule="auto"/>
              <w:rPr>
                <w:color w:val="000000"/>
              </w:rPr>
            </w:pPr>
            <w:r w:rsidRPr="008A238F">
              <w:rPr>
                <w:color w:val="000000"/>
              </w:rPr>
              <w:t>UA</w:t>
            </w:r>
          </w:p>
        </w:tc>
        <w:tc>
          <w:tcPr>
            <w:tcW w:w="2835" w:type="dxa"/>
            <w:tcBorders>
              <w:top w:val="nil"/>
              <w:left w:val="nil"/>
              <w:bottom w:val="nil"/>
              <w:right w:val="nil"/>
            </w:tcBorders>
            <w:shd w:val="clear" w:color="auto" w:fill="auto"/>
            <w:vAlign w:val="center"/>
          </w:tcPr>
          <w:p w14:paraId="6AE57550" w14:textId="77777777" w:rsidR="008A238F" w:rsidRPr="008A238F" w:rsidRDefault="008A238F" w:rsidP="008A238F">
            <w:pPr>
              <w:keepNext/>
              <w:keepLines/>
              <w:spacing w:line="360" w:lineRule="auto"/>
            </w:pPr>
            <w:r w:rsidRPr="008A238F">
              <w:t>Ukraine</w:t>
            </w:r>
          </w:p>
        </w:tc>
      </w:tr>
      <w:tr w:rsidR="008A238F" w:rsidRPr="008A238F" w14:paraId="3CE6790A" w14:textId="77777777" w:rsidTr="008A238F">
        <w:trPr>
          <w:trHeight w:val="270"/>
        </w:trPr>
        <w:tc>
          <w:tcPr>
            <w:tcW w:w="960" w:type="dxa"/>
            <w:tcBorders>
              <w:top w:val="nil"/>
              <w:left w:val="nil"/>
              <w:bottom w:val="nil"/>
              <w:right w:val="nil"/>
            </w:tcBorders>
            <w:shd w:val="clear" w:color="auto" w:fill="auto"/>
            <w:noWrap/>
            <w:vAlign w:val="bottom"/>
          </w:tcPr>
          <w:p w14:paraId="490F0AC7" w14:textId="77777777" w:rsidR="008A238F" w:rsidRPr="008A238F" w:rsidRDefault="008A238F" w:rsidP="008A238F">
            <w:pPr>
              <w:keepNext/>
              <w:keepLines/>
              <w:spacing w:line="360" w:lineRule="auto"/>
              <w:rPr>
                <w:color w:val="000000"/>
              </w:rPr>
            </w:pPr>
            <w:r w:rsidRPr="008A238F">
              <w:rPr>
                <w:color w:val="000000"/>
              </w:rPr>
              <w:t>US</w:t>
            </w:r>
          </w:p>
        </w:tc>
        <w:tc>
          <w:tcPr>
            <w:tcW w:w="2835" w:type="dxa"/>
            <w:tcBorders>
              <w:top w:val="nil"/>
              <w:left w:val="nil"/>
              <w:bottom w:val="nil"/>
              <w:right w:val="nil"/>
            </w:tcBorders>
            <w:shd w:val="clear" w:color="auto" w:fill="auto"/>
            <w:vAlign w:val="center"/>
          </w:tcPr>
          <w:p w14:paraId="611D522D" w14:textId="77777777" w:rsidR="008A238F" w:rsidRPr="008A238F" w:rsidRDefault="008A238F" w:rsidP="008A238F">
            <w:pPr>
              <w:keepNext/>
              <w:keepLines/>
              <w:spacing w:line="360" w:lineRule="auto"/>
            </w:pPr>
            <w:r w:rsidRPr="008A238F">
              <w:t>United States of America</w:t>
            </w:r>
          </w:p>
        </w:tc>
      </w:tr>
    </w:tbl>
    <w:p w14:paraId="5840AF39" w14:textId="77777777" w:rsidR="00061FE7" w:rsidRPr="003C4B82" w:rsidRDefault="00061FE7" w:rsidP="00061FE7">
      <w:pPr>
        <w:spacing w:line="360" w:lineRule="auto"/>
      </w:pPr>
    </w:p>
    <w:p w14:paraId="6B1932EE" w14:textId="77777777" w:rsidR="004C2479" w:rsidRDefault="00061FE7" w:rsidP="00AB7E57">
      <w:pPr>
        <w:pStyle w:val="BodyText"/>
      </w:pPr>
      <w:r w:rsidRPr="003C4B82">
        <w:fldChar w:fldCharType="begin"/>
      </w:r>
      <w:r w:rsidRPr="003C4B82">
        <w:instrText xml:space="preserve"> AUTONUM </w:instrText>
      </w:r>
      <w:r w:rsidRPr="003C4B82">
        <w:fldChar w:fldCharType="end"/>
      </w:r>
      <w:r w:rsidRPr="003C4B82">
        <w:tab/>
        <w:t xml:space="preserve">This report presents a summary of responses to the questionnaire.  In this report, certain comments have been reworded from the original responses for the purpose of translation, abbreviation, clarification, or harmonization.  Any deviation in meaning from the original comment </w:t>
      </w:r>
      <w:r w:rsidR="005A0113">
        <w:t>is</w:t>
      </w:r>
      <w:r w:rsidRPr="003C4B82">
        <w:t xml:space="preserve"> not intended.</w:t>
      </w:r>
      <w:r w:rsidR="00C811A6">
        <w:t xml:space="preserve">  The questionnaire </w:t>
      </w:r>
      <w:r w:rsidR="00CC168E">
        <w:t>consists</w:t>
      </w:r>
      <w:r w:rsidR="00C811A6">
        <w:t xml:space="preserve"> of three </w:t>
      </w:r>
      <w:r w:rsidR="00CC168E">
        <w:t>p</w:t>
      </w:r>
      <w:r w:rsidR="00C811A6">
        <w:t xml:space="preserve">arts and </w:t>
      </w:r>
      <w:r w:rsidR="00CC168E">
        <w:t>a</w:t>
      </w:r>
      <w:r w:rsidR="00C811A6">
        <w:t xml:space="preserve"> summary </w:t>
      </w:r>
      <w:r w:rsidR="00CC168E">
        <w:t xml:space="preserve">of each part </w:t>
      </w:r>
      <w:r w:rsidR="00C811A6">
        <w:t>is described below.</w:t>
      </w:r>
    </w:p>
    <w:p w14:paraId="448EFBF8" w14:textId="415F64BE" w:rsidR="00061FE7" w:rsidRDefault="004C2479" w:rsidP="00AB7E57">
      <w:pPr>
        <w:pStyle w:val="BodyText"/>
      </w:pPr>
      <w:r w:rsidRPr="003C4B82">
        <w:fldChar w:fldCharType="begin"/>
      </w:r>
      <w:r w:rsidRPr="003C4B82">
        <w:instrText xml:space="preserve"> AUTONUM </w:instrText>
      </w:r>
      <w:r w:rsidRPr="003C4B82">
        <w:fldChar w:fldCharType="end"/>
      </w:r>
      <w:r w:rsidRPr="003C4B82">
        <w:tab/>
      </w:r>
      <w:r>
        <w:t>Twenty respondents answered the questions in Part A for Offices that use or plan to use identifiers.  Four offices (CA, CR, DO, US) answered the questions in Part B for Offices with no identifiers.  One office answered questions in both parts.</w:t>
      </w:r>
    </w:p>
    <w:p w14:paraId="0E85AD59" w14:textId="25103E26" w:rsidR="00061FE7" w:rsidRPr="00AB7E57" w:rsidRDefault="00AB7E57" w:rsidP="00482F0F">
      <w:pPr>
        <w:pStyle w:val="Heading3"/>
        <w:keepLines/>
      </w:pPr>
      <w:r>
        <w:lastRenderedPageBreak/>
        <w:t>Part A - I</w:t>
      </w:r>
      <w:r w:rsidRPr="00AB7E57">
        <w:t>dentifiers</w:t>
      </w:r>
    </w:p>
    <w:p w14:paraId="7D375EC3" w14:textId="4B0E2A8D" w:rsidR="00061FE7" w:rsidRPr="003C4B82" w:rsidRDefault="00061FE7" w:rsidP="00482F0F">
      <w:pPr>
        <w:pStyle w:val="BodyText"/>
        <w:keepNext/>
        <w:keepLines/>
      </w:pPr>
      <w:r w:rsidRPr="003C4B82">
        <w:fldChar w:fldCharType="begin"/>
      </w:r>
      <w:r w:rsidRPr="003C4B82">
        <w:instrText xml:space="preserve"> AUTONUM </w:instrText>
      </w:r>
      <w:r w:rsidRPr="003C4B82">
        <w:fldChar w:fldCharType="end"/>
      </w:r>
      <w:r w:rsidRPr="003C4B82">
        <w:tab/>
        <w:t>The first part of the survey contains questions about IPOs' use or planned use of identifiers.  Responses show that most Offices consider the main advantages of identifiers to be:</w:t>
      </w:r>
    </w:p>
    <w:p w14:paraId="503B5D18" w14:textId="68D0BED8" w:rsidR="00061FE7" w:rsidRPr="00AB7E57" w:rsidRDefault="00061FE7" w:rsidP="00482F0F">
      <w:pPr>
        <w:pStyle w:val="ListParagraph"/>
        <w:keepNext/>
        <w:keepLines/>
        <w:numPr>
          <w:ilvl w:val="0"/>
          <w:numId w:val="9"/>
        </w:numPr>
        <w:spacing w:after="60"/>
        <w:contextualSpacing w:val="0"/>
        <w:rPr>
          <w:szCs w:val="22"/>
        </w:rPr>
      </w:pPr>
      <w:r w:rsidRPr="00AB7E57">
        <w:rPr>
          <w:szCs w:val="22"/>
        </w:rPr>
        <w:t>Effective management of applicant information (95%)</w:t>
      </w:r>
      <w:r w:rsidR="00C811A6">
        <w:rPr>
          <w:szCs w:val="22"/>
        </w:rPr>
        <w:t>;</w:t>
      </w:r>
      <w:r w:rsidR="00533CC1">
        <w:rPr>
          <w:szCs w:val="22"/>
        </w:rPr>
        <w:t xml:space="preserve"> and</w:t>
      </w:r>
    </w:p>
    <w:p w14:paraId="106F3E1C" w14:textId="03A8B10F" w:rsidR="00061FE7" w:rsidRPr="00AB7E57" w:rsidRDefault="00061FE7" w:rsidP="00482F0F">
      <w:pPr>
        <w:pStyle w:val="ListParagraph"/>
        <w:keepNext/>
        <w:keepLines/>
        <w:numPr>
          <w:ilvl w:val="0"/>
          <w:numId w:val="9"/>
        </w:numPr>
        <w:spacing w:after="220"/>
        <w:contextualSpacing w:val="0"/>
        <w:rPr>
          <w:szCs w:val="22"/>
        </w:rPr>
      </w:pPr>
      <w:r w:rsidRPr="00AB7E57">
        <w:rPr>
          <w:szCs w:val="22"/>
        </w:rPr>
        <w:t>Easy to change applicant’s information in all relevant records simultaneously (85%)</w:t>
      </w:r>
      <w:r w:rsidR="00533CC1">
        <w:rPr>
          <w:szCs w:val="22"/>
        </w:rPr>
        <w:t>.</w:t>
      </w:r>
    </w:p>
    <w:p w14:paraId="16AE6A3A" w14:textId="00A7810C" w:rsidR="00061FE7" w:rsidRPr="003C4B82" w:rsidRDefault="00061FE7" w:rsidP="00AB7E57">
      <w:pPr>
        <w:pStyle w:val="BodyText"/>
      </w:pPr>
      <w:r w:rsidRPr="003C4B82">
        <w:t>Other responses were selected by under a third of IPOs taking the survey.  Still, the range of responses, including six write-in options, shows that</w:t>
      </w:r>
      <w:r w:rsidR="00A052A7">
        <w:t xml:space="preserve"> in general</w:t>
      </w:r>
      <w:r w:rsidRPr="003C4B82">
        <w:t xml:space="preserve"> IPOs perceive many potential advantages to using applicant identifiers.</w:t>
      </w:r>
    </w:p>
    <w:p w14:paraId="3C2DF36F" w14:textId="1640FD01" w:rsidR="00061FE7" w:rsidRPr="003C4B82" w:rsidRDefault="00061FE7" w:rsidP="00AB7E57">
      <w:pPr>
        <w:pStyle w:val="BodyText"/>
      </w:pPr>
      <w:r w:rsidRPr="003C4B82">
        <w:fldChar w:fldCharType="begin"/>
      </w:r>
      <w:r w:rsidRPr="003C4B82">
        <w:instrText xml:space="preserve"> AUTONUM </w:instrText>
      </w:r>
      <w:r w:rsidRPr="003C4B82">
        <w:fldChar w:fldCharType="end"/>
      </w:r>
      <w:r w:rsidRPr="003C4B82">
        <w:tab/>
        <w:t>On perceived advantages for applicants and patent information users, IPO responses were more varied.  The top responses were:</w:t>
      </w:r>
    </w:p>
    <w:p w14:paraId="49E0C449" w14:textId="77777777" w:rsidR="00061FE7" w:rsidRPr="00AB7E57" w:rsidRDefault="00061FE7" w:rsidP="00AB7E57">
      <w:pPr>
        <w:pStyle w:val="ListParagraph"/>
        <w:numPr>
          <w:ilvl w:val="0"/>
          <w:numId w:val="9"/>
        </w:numPr>
        <w:spacing w:after="60"/>
        <w:contextualSpacing w:val="0"/>
        <w:rPr>
          <w:szCs w:val="22"/>
        </w:rPr>
      </w:pPr>
      <w:r w:rsidRPr="00AB7E57">
        <w:rPr>
          <w:szCs w:val="22"/>
        </w:rPr>
        <w:t>Eliminating confusion and inconsistency by unifying multiple versions of an applicant name into a single, standardized name (79%)</w:t>
      </w:r>
    </w:p>
    <w:p w14:paraId="4ED711FD" w14:textId="77777777" w:rsidR="00061FE7" w:rsidRPr="00AB7E57" w:rsidRDefault="00061FE7" w:rsidP="00AB7E57">
      <w:pPr>
        <w:pStyle w:val="ListParagraph"/>
        <w:numPr>
          <w:ilvl w:val="0"/>
          <w:numId w:val="9"/>
        </w:numPr>
        <w:spacing w:after="60"/>
        <w:contextualSpacing w:val="0"/>
        <w:rPr>
          <w:szCs w:val="22"/>
        </w:rPr>
      </w:pPr>
      <w:r w:rsidRPr="00AB7E57">
        <w:rPr>
          <w:szCs w:val="22"/>
        </w:rPr>
        <w:t>Accurate statistics on patent applicants and owners (68%)</w:t>
      </w:r>
    </w:p>
    <w:p w14:paraId="2BD9FF36" w14:textId="77777777" w:rsidR="00061FE7" w:rsidRPr="00AB7E57" w:rsidRDefault="00061FE7" w:rsidP="00AB7E57">
      <w:pPr>
        <w:pStyle w:val="ListParagraph"/>
        <w:numPr>
          <w:ilvl w:val="0"/>
          <w:numId w:val="9"/>
        </w:numPr>
        <w:spacing w:after="220"/>
        <w:contextualSpacing w:val="0"/>
        <w:rPr>
          <w:szCs w:val="22"/>
        </w:rPr>
      </w:pPr>
      <w:r w:rsidRPr="00AB7E57">
        <w:rPr>
          <w:szCs w:val="22"/>
        </w:rPr>
        <w:t>No need (for applicants) to repeatedly input the same information (63%)</w:t>
      </w:r>
    </w:p>
    <w:p w14:paraId="65208E76" w14:textId="77777777" w:rsidR="00061FE7" w:rsidRPr="003C4B82" w:rsidRDefault="00061FE7" w:rsidP="00AB7E57">
      <w:pPr>
        <w:pStyle w:val="BodyText"/>
      </w:pPr>
      <w:r w:rsidRPr="003C4B82">
        <w:t>Between a quarter and a third of IPOs agreed with the other listed advantages for applicants, with four additional write-in options.</w:t>
      </w:r>
    </w:p>
    <w:p w14:paraId="2D062886" w14:textId="6E39DCC2" w:rsidR="00061FE7" w:rsidRPr="003C4B82" w:rsidRDefault="00061FE7" w:rsidP="00AB7E57">
      <w:pPr>
        <w:pStyle w:val="BodyText"/>
      </w:pPr>
      <w:r w:rsidRPr="003C4B82">
        <w:fldChar w:fldCharType="begin"/>
      </w:r>
      <w:r w:rsidRPr="003C4B82">
        <w:instrText xml:space="preserve"> AUTONUM </w:instrText>
      </w:r>
      <w:r w:rsidRPr="003C4B82">
        <w:fldChar w:fldCharType="end"/>
      </w:r>
      <w:r w:rsidRPr="003C4B82">
        <w:tab/>
        <w:t xml:space="preserve">Only one third of responding </w:t>
      </w:r>
      <w:r w:rsidR="007C6D5B">
        <w:t>O</w:t>
      </w:r>
      <w:r w:rsidRPr="003C4B82">
        <w:t>ffices say they publish or intend to publish the identifiers they use or plan to use for applicants.  While this shows that a significant number of Offices do or will make identifiers public, it also means that two thirds of IPOs do not intend to publish their identifiers.  This could indicate potential difficulties with cooperation between Offices on using identifiers.  Alternatively, it could simply indicate that the identifiers these Offices currently use are not suitable for publication (such as passport or tax id numbers), while they may be open to publishing other types of identifiers that are designed to be public.  Or it may indicate that these IPOs have not decided yet whether to publish identifiers that are planned for future use.  Some Offices cited the EU General Data Protection Regulation as a reason not to publish, while others indicated the identifiers are only for internal purposes at the IPO.  Unfortunately, the question does not distinguish between identifiers that are in use and identifiers that are planned to be used, making it difficult to tell the reasons for some Offices' reluctance to publish.</w:t>
      </w:r>
    </w:p>
    <w:p w14:paraId="604D667B" w14:textId="10D461A3" w:rsidR="00061FE7" w:rsidRPr="003C4B82" w:rsidRDefault="00061FE7" w:rsidP="00AB7E57">
      <w:pPr>
        <w:pStyle w:val="BodyText"/>
      </w:pPr>
      <w:r w:rsidRPr="003C4B82">
        <w:fldChar w:fldCharType="begin"/>
      </w:r>
      <w:r w:rsidRPr="003C4B82">
        <w:instrText xml:space="preserve"> AUTONUM </w:instrText>
      </w:r>
      <w:r w:rsidRPr="003C4B82">
        <w:fldChar w:fldCharType="end"/>
      </w:r>
      <w:r w:rsidRPr="003C4B82">
        <w:tab/>
        <w:t>Among Offices that publish or plan to publish identifiers, the identifiers will be available in Official Gazettes, online portals, or e-filing systems.</w:t>
      </w:r>
    </w:p>
    <w:p w14:paraId="146179AB" w14:textId="6EBAE07D" w:rsidR="00061FE7" w:rsidRPr="003C4B82" w:rsidRDefault="00061FE7" w:rsidP="00AB7E57">
      <w:pPr>
        <w:pStyle w:val="BodyText"/>
      </w:pPr>
      <w:r w:rsidRPr="003C4B82">
        <w:fldChar w:fldCharType="begin"/>
      </w:r>
      <w:r w:rsidRPr="003C4B82">
        <w:instrText xml:space="preserve"> AUTONUM </w:instrText>
      </w:r>
      <w:r w:rsidRPr="003C4B82">
        <w:fldChar w:fldCharType="end"/>
      </w:r>
      <w:r w:rsidRPr="003C4B82">
        <w:tab/>
        <w:t>Almost two third</w:t>
      </w:r>
      <w:r w:rsidR="007C6D5B">
        <w:t>s</w:t>
      </w:r>
      <w:r w:rsidRPr="003C4B82">
        <w:t xml:space="preserve"> (63%) of IPOs do not plan to include identifiers in the data they exchange with other Offices.  An additional 20% are not sure if they will exchange identifiers, leaving only 16% who include or plan to include identifiers in exchange data.  Again, this could pose difficulties for Offices to cooperate on use of identifiers.  However, at least two </w:t>
      </w:r>
      <w:r w:rsidR="007C6D5B">
        <w:t>O</w:t>
      </w:r>
      <w:r w:rsidRPr="003C4B82">
        <w:t>ffices indicated in comments that they would be willing to consider exchanging identifiers in the future.</w:t>
      </w:r>
    </w:p>
    <w:p w14:paraId="7A8547B2" w14:textId="7A78E272" w:rsidR="00061FE7" w:rsidRPr="003C4B82" w:rsidRDefault="00061FE7" w:rsidP="00AB7E57">
      <w:pPr>
        <w:pStyle w:val="BodyText"/>
      </w:pPr>
      <w:r w:rsidRPr="003C4B82">
        <w:fldChar w:fldCharType="begin"/>
      </w:r>
      <w:r w:rsidRPr="003C4B82">
        <w:instrText xml:space="preserve"> AUTONUM </w:instrText>
      </w:r>
      <w:r w:rsidRPr="003C4B82">
        <w:fldChar w:fldCharType="end"/>
      </w:r>
      <w:r w:rsidRPr="003C4B82">
        <w:tab/>
        <w:t xml:space="preserve">About 60% of IPOs indicated that they use </w:t>
      </w:r>
      <w:r>
        <w:t xml:space="preserve">or plan to use codes assigned by a national authority as identifiers, while only 20% plan to use codes assigned by an international authority such as WIPO.  Of the 40% who indicated </w:t>
      </w:r>
      <w:r w:rsidR="007C6D5B">
        <w:t>“</w:t>
      </w:r>
      <w:r>
        <w:t>Other</w:t>
      </w:r>
      <w:r w:rsidR="007C6D5B">
        <w:t>”</w:t>
      </w:r>
      <w:r>
        <w:t>, the sources of identifiers they noted in their comments were mostly State registries or identification services.</w:t>
      </w:r>
    </w:p>
    <w:p w14:paraId="6F662660" w14:textId="799D2C5E" w:rsidR="00533CC1" w:rsidRDefault="00061FE7" w:rsidP="00AB7E57">
      <w:pPr>
        <w:pStyle w:val="BodyText"/>
      </w:pPr>
      <w:r w:rsidRPr="003C4B82">
        <w:fldChar w:fldCharType="begin"/>
      </w:r>
      <w:r w:rsidRPr="003C4B82">
        <w:instrText xml:space="preserve"> AUTONUM </w:instrText>
      </w:r>
      <w:r w:rsidRPr="003C4B82">
        <w:fldChar w:fldCharType="end"/>
      </w:r>
      <w:r w:rsidRPr="003C4B82">
        <w:tab/>
      </w:r>
      <w:r>
        <w:t xml:space="preserve">Offices reported using a variety of mechanisms to ensure that each applicant only has one unique identifier.  These </w:t>
      </w:r>
      <w:r w:rsidR="007C6D5B">
        <w:t xml:space="preserve">include: </w:t>
      </w:r>
      <w:r>
        <w:t>using State personal identification cards, matching name and address, using business registration or license numbers, or using tax identifiers.  Several respondents also indicated that they do not check for multiple identifiers assigned to one person or business.</w:t>
      </w:r>
    </w:p>
    <w:p w14:paraId="6AED8B76" w14:textId="5D06C8D5" w:rsidR="00061FE7" w:rsidRPr="003C4B82" w:rsidRDefault="00061FE7" w:rsidP="00676638">
      <w:pPr>
        <w:pStyle w:val="BodyText"/>
        <w:keepLines/>
      </w:pPr>
      <w:r w:rsidRPr="003C4B82">
        <w:lastRenderedPageBreak/>
        <w:fldChar w:fldCharType="begin"/>
      </w:r>
      <w:r w:rsidRPr="003C4B82">
        <w:instrText xml:space="preserve"> AUTONUM </w:instrText>
      </w:r>
      <w:r w:rsidRPr="003C4B82">
        <w:fldChar w:fldCharType="end"/>
      </w:r>
      <w:r w:rsidRPr="003C4B82">
        <w:tab/>
      </w:r>
      <w:r>
        <w:t>In terms of what information IPOs request from national applicants to determine identifiers, the most common responses were: entry in the register of legal entities (42%), tax number (26%), email address (21%), and passport number (10%).  A number of other types of information are also used by some Offices to assign identifiers, such as names, addresses, and personal identification numbers.  For foreign applicants, Offices use these sources of information with similar frequency, with the exception of the register of legal entities (13%).</w:t>
      </w:r>
    </w:p>
    <w:p w14:paraId="360C2BE6" w14:textId="6C89CD12" w:rsidR="00061FE7" w:rsidRDefault="00061FE7" w:rsidP="00AB7E57">
      <w:pPr>
        <w:pStyle w:val="BodyText"/>
      </w:pPr>
      <w:r w:rsidRPr="003C4B82">
        <w:fldChar w:fldCharType="begin"/>
      </w:r>
      <w:r w:rsidRPr="003C4B82">
        <w:instrText xml:space="preserve"> AUTONUM </w:instrText>
      </w:r>
      <w:r w:rsidRPr="003C4B82">
        <w:fldChar w:fldCharType="end"/>
      </w:r>
      <w:r w:rsidRPr="003C4B82">
        <w:tab/>
      </w:r>
      <w:r>
        <w:t xml:space="preserve">63% of IPOs consider that a global identifier is a desirable solution to applicant name issues, with another 5% not sure.  However, this means almost a third of Offices (32%) do not consider global identifiers to be desirable.  Among the comments given, IPOs indicated that they were unsure of how a potential global id would be used and how many offices would adopt it, limiting their information for supporting global ids.  On how to implement global identifiers, some Offices suggested creating a scheme for Offices to indicate national identifiers already in use by other Offices.  A couple </w:t>
      </w:r>
      <w:r w:rsidR="007C6D5B">
        <w:t xml:space="preserve">of </w:t>
      </w:r>
      <w:r>
        <w:t>Offices suggested having WIPO issue and manage global identifiers with PCT or Madrid applications.  If global identifiers were adopted, 11 Offices indicated they would use both the global identifiers and national identifiers.  Three Offices indicated they would likely transition from using national identifiers to using global ones.  Four Offices indicated that there is currently not enough information about global identifiers to say what approach they would take.</w:t>
      </w:r>
    </w:p>
    <w:p w14:paraId="0BFCDE1D" w14:textId="0123D8CE" w:rsidR="00061FE7" w:rsidRPr="000F29FF" w:rsidRDefault="00AB7E57" w:rsidP="00AB7E57">
      <w:pPr>
        <w:pStyle w:val="Heading3"/>
      </w:pPr>
      <w:r>
        <w:t>Part B - N</w:t>
      </w:r>
      <w:r w:rsidRPr="000F29FF">
        <w:t>o</w:t>
      </w:r>
      <w:r>
        <w:t xml:space="preserve"> I</w:t>
      </w:r>
      <w:r w:rsidRPr="000F29FF">
        <w:t>dentifier</w:t>
      </w:r>
    </w:p>
    <w:p w14:paraId="7EE1C3EA" w14:textId="152777F9" w:rsidR="00061FE7" w:rsidRDefault="00061FE7" w:rsidP="00AB7E57">
      <w:pPr>
        <w:pStyle w:val="BodyText"/>
      </w:pPr>
      <w:r w:rsidRPr="003C4B82">
        <w:fldChar w:fldCharType="begin"/>
      </w:r>
      <w:r w:rsidRPr="00A35CB4">
        <w:instrText xml:space="preserve"> AUTONUM </w:instrText>
      </w:r>
      <w:r w:rsidRPr="003C4B82">
        <w:fldChar w:fldCharType="end"/>
      </w:r>
      <w:r w:rsidRPr="00A35CB4">
        <w:tab/>
      </w:r>
      <w:r>
        <w:t xml:space="preserve">Responses on this part of the survey were low, with questions 8 and 9 only receiving about 5 answers each.  This likely reflects that most Offices participating in the survey use some form of identifier, as indicated by the number of responses in the first section.  </w:t>
      </w:r>
      <w:r w:rsidR="007C6D5B">
        <w:t>However, it is</w:t>
      </w:r>
      <w:r>
        <w:t xml:space="preserve"> hard to be absolutely certain because that question was </w:t>
      </w:r>
      <w:r w:rsidR="00A052A7">
        <w:t>not</w:t>
      </w:r>
      <w:r>
        <w:t xml:space="preserve"> asked explicitly in the survey.</w:t>
      </w:r>
    </w:p>
    <w:p w14:paraId="3625EFDB" w14:textId="3B129E34" w:rsidR="00061FE7" w:rsidRPr="00A35CB4" w:rsidRDefault="00061FE7" w:rsidP="00AB7E57">
      <w:pPr>
        <w:pStyle w:val="BodyText"/>
      </w:pPr>
      <w:r w:rsidRPr="003C4B82">
        <w:fldChar w:fldCharType="begin"/>
      </w:r>
      <w:r w:rsidRPr="00BE7319">
        <w:instrText xml:space="preserve"> AUTONUM </w:instrText>
      </w:r>
      <w:r w:rsidRPr="003C4B82">
        <w:fldChar w:fldCharType="end"/>
      </w:r>
      <w:r w:rsidRPr="00BE7319">
        <w:tab/>
      </w:r>
      <w:r w:rsidRPr="00A35CB4">
        <w:t>For Offices which d</w:t>
      </w:r>
      <w:r>
        <w:t xml:space="preserve">o not intend to use identifiers, three offices reported the reason as because their IT systems are not setup to support applicant identifiers.  One </w:t>
      </w:r>
      <w:r w:rsidR="00FB0945">
        <w:t>O</w:t>
      </w:r>
      <w:r>
        <w:t xml:space="preserve">ffice (US) simply said they do not require identifiers from applicants without further explanation.  As alternative approaches to using identifiers, one </w:t>
      </w:r>
      <w:r w:rsidR="00FB0945">
        <w:t>O</w:t>
      </w:r>
      <w:r>
        <w:t xml:space="preserve">ffice (CR) reported using data searches with manual review correction to address duplicate entries for the same owner, while another </w:t>
      </w:r>
      <w:r w:rsidR="00FB0945">
        <w:t>O</w:t>
      </w:r>
      <w:r>
        <w:t>ffice (DO) reported using statistical reports to detect and resolve problems.</w:t>
      </w:r>
    </w:p>
    <w:p w14:paraId="686F642C" w14:textId="5C8EC7E2" w:rsidR="00061FE7" w:rsidRPr="005D3040" w:rsidRDefault="00061FE7" w:rsidP="00AB7E57">
      <w:pPr>
        <w:pStyle w:val="BodyText"/>
      </w:pPr>
      <w:r w:rsidRPr="003C4B82">
        <w:fldChar w:fldCharType="begin"/>
      </w:r>
      <w:r w:rsidRPr="005D3040">
        <w:instrText xml:space="preserve"> AUTONUM </w:instrText>
      </w:r>
      <w:r w:rsidRPr="003C4B82">
        <w:fldChar w:fldCharType="end"/>
      </w:r>
      <w:r w:rsidRPr="005D3040">
        <w:tab/>
        <w:t>As drawbacks or legal complications</w:t>
      </w:r>
      <w:r>
        <w:t xml:space="preserve"> with using identifiers, </w:t>
      </w:r>
      <w:r w:rsidR="00FB0945">
        <w:t>O</w:t>
      </w:r>
      <w:r>
        <w:t xml:space="preserve">ffices provided several issues.  Some </w:t>
      </w:r>
      <w:r w:rsidR="00FB0945">
        <w:t>O</w:t>
      </w:r>
      <w:r>
        <w:t>ffices (US, CA) legally require only the applicant's name and address, and they must accept what is provide</w:t>
      </w:r>
      <w:r w:rsidR="00392FC8">
        <w:t>d</w:t>
      </w:r>
      <w:r>
        <w:t>.  Privacy regulations for handling personal data were identified as another possible complication.  Other complications were suggested with ensuring users provide the correct information and with obtaining identifiers for foreign applicants.</w:t>
      </w:r>
    </w:p>
    <w:p w14:paraId="1462CDFE" w14:textId="2C336165" w:rsidR="00061FE7" w:rsidRPr="009C780F" w:rsidRDefault="00AB7E57" w:rsidP="00AB7E57">
      <w:pPr>
        <w:pStyle w:val="Heading3"/>
      </w:pPr>
      <w:r>
        <w:t>Part C - Standardization E</w:t>
      </w:r>
      <w:r w:rsidRPr="009C780F">
        <w:t>fforts</w:t>
      </w:r>
    </w:p>
    <w:p w14:paraId="2D85533B" w14:textId="77777777" w:rsidR="00061FE7" w:rsidRDefault="00061FE7" w:rsidP="00AB7E57">
      <w:pPr>
        <w:pStyle w:val="BodyText"/>
      </w:pPr>
      <w:r w:rsidRPr="003C4B82">
        <w:fldChar w:fldCharType="begin"/>
      </w:r>
      <w:r w:rsidRPr="00BE7319">
        <w:instrText xml:space="preserve"> AUTONUM </w:instrText>
      </w:r>
      <w:r w:rsidRPr="003C4B82">
        <w:fldChar w:fldCharType="end"/>
      </w:r>
      <w:r w:rsidRPr="00BE7319">
        <w:tab/>
      </w:r>
      <w:r>
        <w:t>This part of the survey had very high response rates, averaging around 20 responses to each question.</w:t>
      </w:r>
    </w:p>
    <w:p w14:paraId="6ED6BC9F" w14:textId="3C877E37" w:rsidR="00061FE7" w:rsidRPr="008510D0" w:rsidRDefault="00061FE7" w:rsidP="00AB7E57">
      <w:pPr>
        <w:pStyle w:val="BodyText"/>
      </w:pPr>
      <w:r w:rsidRPr="003C4B82">
        <w:fldChar w:fldCharType="begin"/>
      </w:r>
      <w:r w:rsidRPr="008510D0">
        <w:instrText xml:space="preserve"> AUTONUM </w:instrText>
      </w:r>
      <w:r w:rsidRPr="003C4B82">
        <w:fldChar w:fldCharType="end"/>
      </w:r>
      <w:r w:rsidRPr="008510D0">
        <w:tab/>
        <w:t>On issues that IPOs</w:t>
      </w:r>
      <w:r>
        <w:t xml:space="preserve"> would consider for further investigation</w:t>
      </w:r>
      <w:r w:rsidRPr="008510D0">
        <w:t xml:space="preserve">, </w:t>
      </w:r>
      <w:r>
        <w:t xml:space="preserve">three quarters (75%) indicated that use of identifiers was a high priority, with only </w:t>
      </w:r>
      <w:r w:rsidR="00FB0945">
        <w:t>two O</w:t>
      </w:r>
      <w:r>
        <w:t xml:space="preserve">ffices </w:t>
      </w:r>
      <w:r w:rsidR="00494C42">
        <w:t xml:space="preserve">(CR, US) </w:t>
      </w:r>
      <w:r>
        <w:t xml:space="preserve">making it a low priority.  </w:t>
      </w:r>
      <w:r w:rsidR="00722E25">
        <w:t xml:space="preserve">This shows significant support among IPOs for investigating the use of identifiers.  </w:t>
      </w:r>
      <w:r>
        <w:t xml:space="preserve">No other option commanded support from more than half of respondents.  Roughly half </w:t>
      </w:r>
      <w:r w:rsidR="005A7282">
        <w:t xml:space="preserve">of </w:t>
      </w:r>
      <w:r w:rsidR="00FB0945">
        <w:t>O</w:t>
      </w:r>
      <w:r w:rsidR="005A7282">
        <w:t xml:space="preserve">ffices </w:t>
      </w:r>
      <w:r>
        <w:t xml:space="preserve">considered normalized names or use of standardized names by applicants to be a medium or high priority, </w:t>
      </w:r>
      <w:r w:rsidR="006318AA">
        <w:t>while the other half considered</w:t>
      </w:r>
      <w:r>
        <w:t xml:space="preserve"> those items low priority.  Use of dictionaries for patentee names had the lowest support, with only seven offices assigning medium priority and none giving high priority.</w:t>
      </w:r>
    </w:p>
    <w:p w14:paraId="3F0F16D3" w14:textId="7BDA98D1" w:rsidR="00061FE7" w:rsidRPr="003C4B82" w:rsidRDefault="00061FE7" w:rsidP="00AB7E57">
      <w:pPr>
        <w:pStyle w:val="BodyText"/>
        <w:keepLines/>
      </w:pPr>
      <w:r w:rsidRPr="003C4B82">
        <w:lastRenderedPageBreak/>
        <w:fldChar w:fldCharType="begin"/>
      </w:r>
      <w:r w:rsidRPr="003C4B82">
        <w:instrText xml:space="preserve"> AUTONUM </w:instrText>
      </w:r>
      <w:r w:rsidRPr="003C4B82">
        <w:fldChar w:fldCharType="end"/>
      </w:r>
      <w:r w:rsidRPr="003C4B82">
        <w:tab/>
      </w:r>
      <w:r>
        <w:t>On desired outcomes for the CWS Name Standardization Task Force, the most common response was a set of recommendations for Offices or applicants on using identifiers or name standardization (45% of responses).  Another option suggested was creating a unified database of persons and legal identities (45% of responses), usually for storing global identifiers.  Other suggestions included identifying situations where applicants would need identifiers (US), clarifying how to provide information such as applicant addresses (SE), and sharing computer algorithms for name standardization (KR).</w:t>
      </w:r>
    </w:p>
    <w:p w14:paraId="40EB6841" w14:textId="45627CC1" w:rsidR="00061FE7" w:rsidRDefault="00061FE7" w:rsidP="00676638">
      <w:pPr>
        <w:pStyle w:val="BodyText"/>
        <w:keepLines/>
      </w:pPr>
      <w:r w:rsidRPr="003C4B82">
        <w:fldChar w:fldCharType="begin"/>
      </w:r>
      <w:r w:rsidRPr="003C4B82">
        <w:instrText xml:space="preserve"> AUTONUM </w:instrText>
      </w:r>
      <w:r w:rsidRPr="003C4B82">
        <w:fldChar w:fldCharType="end"/>
      </w:r>
      <w:r w:rsidRPr="003C4B82">
        <w:tab/>
      </w:r>
      <w:r>
        <w:t>On where standardization efforts should focus, there was no clear majority</w:t>
      </w:r>
      <w:r w:rsidR="00A74049">
        <w:t>.  S</w:t>
      </w:r>
      <w:r>
        <w:t xml:space="preserve">ix of 17 responses (35%) preferred focusing on both internal IPO systems and external identifier databases.  Four </w:t>
      </w:r>
      <w:r w:rsidR="00FB0945">
        <w:t>O</w:t>
      </w:r>
      <w:r>
        <w:t xml:space="preserve">ffices (AU, CA, CO, IT) preferred to focus only on an external system, while three offices (ES, JP, NZ) preferred focusing on IPO internal systems.  Three </w:t>
      </w:r>
      <w:r w:rsidR="00FB0945">
        <w:t>O</w:t>
      </w:r>
      <w:r>
        <w:t>ffices (KR, DO, US) expressed no preference.  One IPO (KR) suggested addressing the problem for different groups of applicants (domestic, foreign, past filers, future filers) according to IPOs' priorities.</w:t>
      </w:r>
    </w:p>
    <w:p w14:paraId="220B6A05" w14:textId="77777777" w:rsidR="00061FE7" w:rsidRPr="003C4B82" w:rsidRDefault="00061FE7" w:rsidP="00AB7E57">
      <w:pPr>
        <w:pStyle w:val="BodyText"/>
      </w:pPr>
      <w:r w:rsidRPr="003C4B82">
        <w:fldChar w:fldCharType="begin"/>
      </w:r>
      <w:r w:rsidRPr="003C4B82">
        <w:instrText xml:space="preserve"> AUTONUM </w:instrText>
      </w:r>
      <w:r w:rsidRPr="003C4B82">
        <w:fldChar w:fldCharType="end"/>
      </w:r>
      <w:r w:rsidRPr="003C4B82">
        <w:tab/>
        <w:t xml:space="preserve">Question </w:t>
      </w:r>
      <w:r>
        <w:t>12, parts (a) and (b)</w:t>
      </w:r>
      <w:r w:rsidRPr="003C4B82">
        <w:t xml:space="preserve">: </w:t>
      </w:r>
      <w:r>
        <w:t>On computer algorithms that Offices use or plan to use for name normalization or standardization, one third of respondents reported using an algorithm, one third reported not planning to use an algorithm, and one third weren't sure.  Of those using algorithms: four Offices perform manual determinations after consulting additional data (one with applicant confirmation of the result); two offices report using fuzzy matching on names; one performs normalization on postal addresses; one uses name normalization (replacing white space, punctuation, etc); and one checks against external databases for probabilistic matching.</w:t>
      </w:r>
    </w:p>
    <w:p w14:paraId="2AEF0494" w14:textId="1445875D" w:rsidR="00061FE7" w:rsidRPr="003C4B82" w:rsidRDefault="00061FE7" w:rsidP="00AB7E57">
      <w:pPr>
        <w:pStyle w:val="BodyText"/>
      </w:pPr>
      <w:r w:rsidRPr="003C4B82">
        <w:fldChar w:fldCharType="begin"/>
      </w:r>
      <w:r w:rsidRPr="003C4B82">
        <w:instrText xml:space="preserve"> AUTONUM </w:instrText>
      </w:r>
      <w:r w:rsidRPr="003C4B82">
        <w:fldChar w:fldCharType="end"/>
      </w:r>
      <w:r w:rsidRPr="003C4B82">
        <w:tab/>
      </w:r>
      <w:r>
        <w:t>On whether standardization efforts should harmonize approaches for data exchange, 13 of 19 respondents (about 70%) said that this would be ideal.  Other respondents were not sure it would be helpful.  Three Offices (CA, GB, KR) remarked that name standardization has too much variability and the focus should be on developing and sharing identifiers instead.</w:t>
      </w:r>
    </w:p>
    <w:p w14:paraId="6BF61FE2" w14:textId="77777777" w:rsidR="00F23F38" w:rsidRPr="007C4727" w:rsidRDefault="00F23F38" w:rsidP="00F23F38">
      <w:pPr>
        <w:pStyle w:val="ONUME"/>
        <w:numPr>
          <w:ilvl w:val="0"/>
          <w:numId w:val="0"/>
        </w:numPr>
        <w:ind w:left="5533"/>
        <w:rPr>
          <w:i/>
        </w:rPr>
      </w:pPr>
      <w:r w:rsidRPr="007C4727">
        <w:rPr>
          <w:i/>
        </w:rPr>
        <w:fldChar w:fldCharType="begin"/>
      </w:r>
      <w:r w:rsidRPr="007C4727">
        <w:rPr>
          <w:i/>
        </w:rPr>
        <w:instrText xml:space="preserve"> AUTONUM  </w:instrText>
      </w:r>
      <w:r w:rsidRPr="007C4727">
        <w:rPr>
          <w:i/>
        </w:rPr>
        <w:fldChar w:fldCharType="end"/>
      </w:r>
      <w:r w:rsidRPr="007C4727">
        <w:rPr>
          <w:i/>
        </w:rPr>
        <w:tab/>
        <w:t xml:space="preserve">The CWS is invited to: </w:t>
      </w:r>
    </w:p>
    <w:p w14:paraId="5C321EC1" w14:textId="77777777" w:rsidR="00F23F38" w:rsidRPr="007C4727" w:rsidRDefault="00F23F38" w:rsidP="00F23F38">
      <w:pPr>
        <w:pStyle w:val="BodyText"/>
        <w:tabs>
          <w:tab w:val="left" w:pos="6160"/>
          <w:tab w:val="left" w:pos="6710"/>
        </w:tabs>
        <w:spacing w:after="120"/>
        <w:ind w:left="5534"/>
        <w:rPr>
          <w:i/>
        </w:rPr>
      </w:pPr>
      <w:r w:rsidRPr="007C4727">
        <w:rPr>
          <w:i/>
        </w:rPr>
        <w:tab/>
        <w:t>(a)</w:t>
      </w:r>
      <w:r w:rsidRPr="007C4727">
        <w:rPr>
          <w:i/>
        </w:rPr>
        <w:tab/>
        <w:t xml:space="preserve">note the content of the present document; </w:t>
      </w:r>
    </w:p>
    <w:p w14:paraId="09D2C37C" w14:textId="0F8BB435" w:rsidR="00F23F38" w:rsidRPr="007C4727" w:rsidRDefault="00F23F38" w:rsidP="00AB7E57">
      <w:pPr>
        <w:pStyle w:val="BodyText"/>
        <w:tabs>
          <w:tab w:val="left" w:pos="6160"/>
          <w:tab w:val="left" w:pos="6710"/>
        </w:tabs>
        <w:spacing w:after="0"/>
        <w:ind w:left="5530"/>
        <w:rPr>
          <w:i/>
        </w:rPr>
      </w:pPr>
      <w:r w:rsidRPr="007C4727">
        <w:rPr>
          <w:i/>
        </w:rPr>
        <w:tab/>
        <w:t>(b)</w:t>
      </w:r>
      <w:r w:rsidRPr="007C4727">
        <w:rPr>
          <w:i/>
        </w:rPr>
        <w:tab/>
        <w:t>request the International Bureau to prepare and publish the</w:t>
      </w:r>
      <w:r w:rsidR="00C811A6">
        <w:rPr>
          <w:i/>
        </w:rPr>
        <w:t xml:space="preserve"> report as well as individual and collective</w:t>
      </w:r>
      <w:r w:rsidRPr="007C4727">
        <w:rPr>
          <w:i/>
        </w:rPr>
        <w:t xml:space="preserve"> </w:t>
      </w:r>
      <w:r w:rsidR="002371C7">
        <w:rPr>
          <w:i/>
        </w:rPr>
        <w:t xml:space="preserve">responses </w:t>
      </w:r>
      <w:r w:rsidR="00545E7B">
        <w:rPr>
          <w:i/>
        </w:rPr>
        <w:t>on the WIPO website</w:t>
      </w:r>
      <w:r w:rsidR="002371C7">
        <w:rPr>
          <w:i/>
        </w:rPr>
        <w:t>.</w:t>
      </w:r>
    </w:p>
    <w:p w14:paraId="75A218B4" w14:textId="52E8F62E" w:rsidR="00F23F38" w:rsidRDefault="00F23F38" w:rsidP="00F23F38">
      <w:pPr>
        <w:pStyle w:val="BodyText"/>
        <w:tabs>
          <w:tab w:val="left" w:pos="6160"/>
          <w:tab w:val="left" w:pos="6710"/>
        </w:tabs>
        <w:spacing w:after="0"/>
        <w:ind w:left="5533"/>
        <w:rPr>
          <w:i/>
        </w:rPr>
      </w:pPr>
    </w:p>
    <w:p w14:paraId="4E391907" w14:textId="77777777" w:rsidR="00AB7E57" w:rsidRPr="007C4727" w:rsidRDefault="00AB7E57" w:rsidP="00F23F38">
      <w:pPr>
        <w:pStyle w:val="BodyText"/>
        <w:tabs>
          <w:tab w:val="left" w:pos="6160"/>
          <w:tab w:val="left" w:pos="6710"/>
        </w:tabs>
        <w:spacing w:after="0"/>
        <w:ind w:left="5533"/>
        <w:rPr>
          <w:i/>
        </w:rPr>
      </w:pPr>
    </w:p>
    <w:p w14:paraId="669A951E" w14:textId="641C7C95" w:rsidR="00F23F38" w:rsidRPr="007C4727" w:rsidRDefault="00F23F38" w:rsidP="00F23F38">
      <w:pPr>
        <w:pStyle w:val="Endofdocument-Annex"/>
        <w:rPr>
          <w:lang w:val="en-GB"/>
        </w:rPr>
      </w:pPr>
      <w:r w:rsidRPr="007C4727">
        <w:rPr>
          <w:lang w:val="en-GB"/>
        </w:rPr>
        <w:t>[</w:t>
      </w:r>
      <w:r w:rsidR="00D66119">
        <w:rPr>
          <w:lang w:val="en-GB"/>
        </w:rPr>
        <w:t>End of document</w:t>
      </w:r>
      <w:r w:rsidRPr="007C4727">
        <w:rPr>
          <w:lang w:val="en-GB"/>
        </w:rPr>
        <w:t>]</w:t>
      </w:r>
    </w:p>
    <w:sectPr w:rsidR="00F23F38" w:rsidRPr="007C4727" w:rsidSect="005E46FD">
      <w:headerReference w:type="default" r:id="rId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46D66F" w14:textId="77777777" w:rsidR="005E46FD" w:rsidRDefault="005E46FD">
      <w:r>
        <w:separator/>
      </w:r>
    </w:p>
  </w:endnote>
  <w:endnote w:type="continuationSeparator" w:id="0">
    <w:p w14:paraId="57EAC72F" w14:textId="77777777" w:rsidR="005E46FD" w:rsidRDefault="005E46FD" w:rsidP="003B38C1">
      <w:r>
        <w:separator/>
      </w:r>
    </w:p>
    <w:p w14:paraId="64E84B69" w14:textId="77777777" w:rsidR="005E46FD" w:rsidRPr="003B38C1" w:rsidRDefault="005E46FD" w:rsidP="003B38C1">
      <w:pPr>
        <w:spacing w:after="60"/>
        <w:rPr>
          <w:sz w:val="17"/>
        </w:rPr>
      </w:pPr>
      <w:r>
        <w:rPr>
          <w:sz w:val="17"/>
        </w:rPr>
        <w:t>[Endnote continued from previous page]</w:t>
      </w:r>
    </w:p>
  </w:endnote>
  <w:endnote w:type="continuationNotice" w:id="1">
    <w:p w14:paraId="6409BB79" w14:textId="77777777" w:rsidR="005E46FD" w:rsidRPr="003B38C1" w:rsidRDefault="005E46F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32503C" w14:textId="77777777" w:rsidR="005E46FD" w:rsidRDefault="005E46FD">
      <w:r>
        <w:separator/>
      </w:r>
    </w:p>
  </w:footnote>
  <w:footnote w:type="continuationSeparator" w:id="0">
    <w:p w14:paraId="6A1FD3F9" w14:textId="77777777" w:rsidR="005E46FD" w:rsidRDefault="005E46FD" w:rsidP="008B60B2">
      <w:r>
        <w:separator/>
      </w:r>
    </w:p>
    <w:p w14:paraId="6213D856" w14:textId="77777777" w:rsidR="005E46FD" w:rsidRPr="00ED77FB" w:rsidRDefault="005E46FD" w:rsidP="008B60B2">
      <w:pPr>
        <w:spacing w:after="60"/>
        <w:rPr>
          <w:sz w:val="17"/>
          <w:szCs w:val="17"/>
        </w:rPr>
      </w:pPr>
      <w:r w:rsidRPr="00ED77FB">
        <w:rPr>
          <w:sz w:val="17"/>
          <w:szCs w:val="17"/>
        </w:rPr>
        <w:t>[Footnote continued from previous page]</w:t>
      </w:r>
    </w:p>
  </w:footnote>
  <w:footnote w:type="continuationNotice" w:id="1">
    <w:p w14:paraId="1A77DF45" w14:textId="77777777" w:rsidR="005E46FD" w:rsidRPr="00ED77FB" w:rsidRDefault="005E46FD"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F5328" w14:textId="48E259B3" w:rsidR="00EC4E49" w:rsidRDefault="005E46FD" w:rsidP="00477D6B">
    <w:pPr>
      <w:jc w:val="right"/>
    </w:pPr>
    <w:bookmarkStart w:id="6" w:name="Code2"/>
    <w:bookmarkEnd w:id="6"/>
    <w:r>
      <w:t>CWS/7/</w:t>
    </w:r>
    <w:r w:rsidR="005C4A6E">
      <w:t>8</w:t>
    </w:r>
  </w:p>
  <w:p w14:paraId="1126134E" w14:textId="1B16773F" w:rsidR="00EC4E49" w:rsidRDefault="00EC4E49" w:rsidP="00477D6B">
    <w:pPr>
      <w:jc w:val="right"/>
    </w:pPr>
    <w:r>
      <w:t xml:space="preserve">page </w:t>
    </w:r>
    <w:r>
      <w:fldChar w:fldCharType="begin"/>
    </w:r>
    <w:r>
      <w:instrText xml:space="preserve"> PAGE  \* MERGEFORMAT </w:instrText>
    </w:r>
    <w:r>
      <w:fldChar w:fldCharType="separate"/>
    </w:r>
    <w:r w:rsidR="00FC565F">
      <w:rPr>
        <w:noProof/>
      </w:rPr>
      <w:t>5</w:t>
    </w:r>
    <w:r>
      <w:fldChar w:fldCharType="end"/>
    </w:r>
  </w:p>
  <w:p w14:paraId="7CBF4EC8" w14:textId="77777777" w:rsidR="00EC4E49" w:rsidRDefault="00EC4E49" w:rsidP="00477D6B">
    <w:pPr>
      <w:jc w:val="right"/>
    </w:pPr>
  </w:p>
  <w:p w14:paraId="523E3861" w14:textId="77777777"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513725D"/>
    <w:multiLevelType w:val="hybridMultilevel"/>
    <w:tmpl w:val="6C6CF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4D4019C"/>
    <w:multiLevelType w:val="hybridMultilevel"/>
    <w:tmpl w:val="34FABAB0"/>
    <w:lvl w:ilvl="0" w:tplc="9BBE40F2">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15:restartNumberingAfterBreak="0">
    <w:nsid w:val="57CA2D68"/>
    <w:multiLevelType w:val="hybridMultilevel"/>
    <w:tmpl w:val="763EA266"/>
    <w:lvl w:ilvl="0" w:tplc="E1D8A5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8861E4"/>
    <w:multiLevelType w:val="multilevel"/>
    <w:tmpl w:val="4AE6E7AA"/>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7"/>
  </w:num>
  <w:num w:numId="8">
    <w:abstractNumId w:val="9"/>
  </w:num>
  <w:num w:numId="9">
    <w:abstractNumId w:val="8"/>
  </w:num>
  <w:num w:numId="10">
    <w:abstractNumId w:val="4"/>
  </w:num>
  <w:num w:numId="11">
    <w:abstractNumId w:val="1"/>
  </w:num>
  <w:num w:numId="12">
    <w:abstractNumId w:val="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6FD"/>
    <w:rsid w:val="00043CAA"/>
    <w:rsid w:val="00060D52"/>
    <w:rsid w:val="00061FE7"/>
    <w:rsid w:val="00075432"/>
    <w:rsid w:val="00084C62"/>
    <w:rsid w:val="000968ED"/>
    <w:rsid w:val="000B7F08"/>
    <w:rsid w:val="000F5E56"/>
    <w:rsid w:val="001362EE"/>
    <w:rsid w:val="001647D5"/>
    <w:rsid w:val="001832A6"/>
    <w:rsid w:val="0021217E"/>
    <w:rsid w:val="00220FA8"/>
    <w:rsid w:val="002371C7"/>
    <w:rsid w:val="002634C4"/>
    <w:rsid w:val="002928D3"/>
    <w:rsid w:val="002F1FE6"/>
    <w:rsid w:val="002F4E68"/>
    <w:rsid w:val="00312F7F"/>
    <w:rsid w:val="003452F4"/>
    <w:rsid w:val="00361450"/>
    <w:rsid w:val="003673CF"/>
    <w:rsid w:val="003845C1"/>
    <w:rsid w:val="00392FC8"/>
    <w:rsid w:val="003A6F89"/>
    <w:rsid w:val="003B38C1"/>
    <w:rsid w:val="003B6FAC"/>
    <w:rsid w:val="00423E3E"/>
    <w:rsid w:val="00427AF4"/>
    <w:rsid w:val="004647DA"/>
    <w:rsid w:val="00474062"/>
    <w:rsid w:val="00477D6B"/>
    <w:rsid w:val="00482F0F"/>
    <w:rsid w:val="00494C42"/>
    <w:rsid w:val="004B5048"/>
    <w:rsid w:val="004C2479"/>
    <w:rsid w:val="005019FF"/>
    <w:rsid w:val="0053057A"/>
    <w:rsid w:val="00533CC1"/>
    <w:rsid w:val="00540A4D"/>
    <w:rsid w:val="00545E7B"/>
    <w:rsid w:val="00560A29"/>
    <w:rsid w:val="005A0113"/>
    <w:rsid w:val="005A7282"/>
    <w:rsid w:val="005C4A6E"/>
    <w:rsid w:val="005C6649"/>
    <w:rsid w:val="005E46FD"/>
    <w:rsid w:val="00605827"/>
    <w:rsid w:val="006318AA"/>
    <w:rsid w:val="00646050"/>
    <w:rsid w:val="006533FE"/>
    <w:rsid w:val="006713CA"/>
    <w:rsid w:val="00676638"/>
    <w:rsid w:val="00676C5C"/>
    <w:rsid w:val="00722E25"/>
    <w:rsid w:val="007816C9"/>
    <w:rsid w:val="007C6D5B"/>
    <w:rsid w:val="007D1613"/>
    <w:rsid w:val="007E4C0E"/>
    <w:rsid w:val="007F46F8"/>
    <w:rsid w:val="008A134B"/>
    <w:rsid w:val="008A238F"/>
    <w:rsid w:val="008B2CC1"/>
    <w:rsid w:val="008B60B2"/>
    <w:rsid w:val="008C0ABC"/>
    <w:rsid w:val="0090731E"/>
    <w:rsid w:val="00916EE2"/>
    <w:rsid w:val="00966A22"/>
    <w:rsid w:val="0096722F"/>
    <w:rsid w:val="00980843"/>
    <w:rsid w:val="009C7DB0"/>
    <w:rsid w:val="009E2791"/>
    <w:rsid w:val="009E3F6F"/>
    <w:rsid w:val="009F499F"/>
    <w:rsid w:val="00A052A7"/>
    <w:rsid w:val="00A37342"/>
    <w:rsid w:val="00A42DAF"/>
    <w:rsid w:val="00A45BD8"/>
    <w:rsid w:val="00A61666"/>
    <w:rsid w:val="00A74049"/>
    <w:rsid w:val="00A869B7"/>
    <w:rsid w:val="00AB7E57"/>
    <w:rsid w:val="00AC205C"/>
    <w:rsid w:val="00AD73C4"/>
    <w:rsid w:val="00AF0A6B"/>
    <w:rsid w:val="00B01324"/>
    <w:rsid w:val="00B05A69"/>
    <w:rsid w:val="00B9734B"/>
    <w:rsid w:val="00BA30E2"/>
    <w:rsid w:val="00C0065B"/>
    <w:rsid w:val="00C11BFE"/>
    <w:rsid w:val="00C5068F"/>
    <w:rsid w:val="00C811A6"/>
    <w:rsid w:val="00C86D74"/>
    <w:rsid w:val="00CC168E"/>
    <w:rsid w:val="00CC3BFB"/>
    <w:rsid w:val="00CD04F1"/>
    <w:rsid w:val="00CD59F2"/>
    <w:rsid w:val="00D3124F"/>
    <w:rsid w:val="00D45252"/>
    <w:rsid w:val="00D66119"/>
    <w:rsid w:val="00D71B4D"/>
    <w:rsid w:val="00D93D55"/>
    <w:rsid w:val="00E15015"/>
    <w:rsid w:val="00E25D2E"/>
    <w:rsid w:val="00E335FE"/>
    <w:rsid w:val="00EA7D6E"/>
    <w:rsid w:val="00EC4E49"/>
    <w:rsid w:val="00ED77FB"/>
    <w:rsid w:val="00EE45FA"/>
    <w:rsid w:val="00F23F38"/>
    <w:rsid w:val="00F66152"/>
    <w:rsid w:val="00F67180"/>
    <w:rsid w:val="00FB0945"/>
    <w:rsid w:val="00FC565F"/>
  </w:rsids>
  <m:mathPr>
    <m:mathFont m:val="Cambria Math"/>
    <m:brkBin m:val="before"/>
    <m:brkBinSub m:val="--"/>
    <m:smallFrac m:val="0"/>
    <m:dispDef/>
    <m:lMargin m:val="0"/>
    <m:rMargin m:val="0"/>
    <m:defJc m:val="centerGroup"/>
    <m:wrapIndent m:val="1440"/>
    <m:intLim m:val="subSup"/>
    <m:naryLim m:val="undOvr"/>
  </m:mathPr>
  <w:themeFontLang w:val="fr-CH"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7F3D21CF"/>
  <w15:docId w15:val="{3A5C24A9-FFF8-4A08-AF5A-6435E8085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084C62"/>
    <w:rPr>
      <w:rFonts w:ascii="Segoe UI" w:hAnsi="Segoe UI" w:cs="Segoe UI"/>
      <w:sz w:val="18"/>
      <w:szCs w:val="18"/>
    </w:rPr>
  </w:style>
  <w:style w:type="character" w:customStyle="1" w:styleId="BalloonTextChar">
    <w:name w:val="Balloon Text Char"/>
    <w:basedOn w:val="DefaultParagraphFont"/>
    <w:link w:val="BalloonText"/>
    <w:semiHidden/>
    <w:rsid w:val="00084C62"/>
    <w:rPr>
      <w:rFonts w:ascii="Segoe UI" w:eastAsia="SimSun" w:hAnsi="Segoe UI" w:cs="Segoe UI"/>
      <w:sz w:val="18"/>
      <w:szCs w:val="18"/>
      <w:lang w:val="en-US" w:eastAsia="zh-CN"/>
    </w:rPr>
  </w:style>
  <w:style w:type="character" w:customStyle="1" w:styleId="ONUMEChar">
    <w:name w:val="ONUM E Char"/>
    <w:link w:val="ONUME"/>
    <w:rsid w:val="00F23F38"/>
    <w:rPr>
      <w:rFonts w:ascii="Arial" w:eastAsia="SimSun" w:hAnsi="Arial" w:cs="Arial"/>
      <w:sz w:val="22"/>
      <w:lang w:val="en-US" w:eastAsia="zh-CN"/>
    </w:rPr>
  </w:style>
  <w:style w:type="character" w:customStyle="1" w:styleId="BodyTextChar">
    <w:name w:val="Body Text Char"/>
    <w:basedOn w:val="DefaultParagraphFont"/>
    <w:link w:val="BodyText"/>
    <w:rsid w:val="00F23F38"/>
    <w:rPr>
      <w:rFonts w:ascii="Arial" w:eastAsia="SimSun" w:hAnsi="Arial" w:cs="Arial"/>
      <w:sz w:val="22"/>
      <w:lang w:val="en-US" w:eastAsia="zh-CN"/>
    </w:rPr>
  </w:style>
  <w:style w:type="character" w:styleId="CommentReference">
    <w:name w:val="annotation reference"/>
    <w:basedOn w:val="DefaultParagraphFont"/>
    <w:semiHidden/>
    <w:unhideWhenUsed/>
    <w:rsid w:val="00545E7B"/>
    <w:rPr>
      <w:sz w:val="16"/>
      <w:szCs w:val="16"/>
    </w:rPr>
  </w:style>
  <w:style w:type="paragraph" w:styleId="CommentSubject">
    <w:name w:val="annotation subject"/>
    <w:basedOn w:val="CommentText"/>
    <w:next w:val="CommentText"/>
    <w:link w:val="CommentSubjectChar"/>
    <w:semiHidden/>
    <w:unhideWhenUsed/>
    <w:rsid w:val="00545E7B"/>
    <w:rPr>
      <w:b/>
      <w:bCs/>
      <w:sz w:val="20"/>
    </w:rPr>
  </w:style>
  <w:style w:type="character" w:customStyle="1" w:styleId="CommentTextChar">
    <w:name w:val="Comment Text Char"/>
    <w:basedOn w:val="DefaultParagraphFont"/>
    <w:link w:val="CommentText"/>
    <w:semiHidden/>
    <w:rsid w:val="00545E7B"/>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545E7B"/>
    <w:rPr>
      <w:rFonts w:ascii="Arial" w:eastAsia="SimSun" w:hAnsi="Arial" w:cs="Arial"/>
      <w:b/>
      <w:bCs/>
      <w:sz w:val="18"/>
      <w:lang w:val="en-US" w:eastAsia="zh-CN"/>
    </w:rPr>
  </w:style>
  <w:style w:type="character" w:customStyle="1" w:styleId="HeaderChar">
    <w:name w:val="Header Char"/>
    <w:basedOn w:val="DefaultParagraphFont"/>
    <w:link w:val="Header"/>
    <w:rsid w:val="00061FE7"/>
    <w:rPr>
      <w:rFonts w:ascii="Arial" w:eastAsia="SimSun" w:hAnsi="Arial" w:cs="Arial"/>
      <w:sz w:val="22"/>
      <w:lang w:val="en-US" w:eastAsia="zh-CN"/>
    </w:rPr>
  </w:style>
  <w:style w:type="character" w:customStyle="1" w:styleId="FooterChar">
    <w:name w:val="Footer Char"/>
    <w:basedOn w:val="DefaultParagraphFont"/>
    <w:link w:val="Footer"/>
    <w:rsid w:val="00061FE7"/>
    <w:rPr>
      <w:rFonts w:ascii="Arial" w:eastAsia="SimSun" w:hAnsi="Arial" w:cs="Arial"/>
      <w:sz w:val="22"/>
      <w:lang w:val="en-US" w:eastAsia="zh-CN"/>
    </w:rPr>
  </w:style>
  <w:style w:type="character" w:styleId="PageNumber">
    <w:name w:val="page number"/>
    <w:basedOn w:val="DefaultParagraphFont"/>
    <w:rsid w:val="00061FE7"/>
  </w:style>
  <w:style w:type="paragraph" w:styleId="ListParagraph">
    <w:name w:val="List Paragraph"/>
    <w:basedOn w:val="Normal"/>
    <w:qFormat/>
    <w:rsid w:val="00AB7E57"/>
    <w:pPr>
      <w:ind w:left="720"/>
      <w:contextualSpacing/>
    </w:pPr>
  </w:style>
  <w:style w:type="character" w:styleId="Hyperlink">
    <w:name w:val="Hyperlink"/>
    <w:basedOn w:val="DefaultParagraphFont"/>
    <w:uiPriority w:val="99"/>
    <w:unhideWhenUsed/>
    <w:rsid w:val="00FC56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612165">
      <w:bodyDiv w:val="1"/>
      <w:marLeft w:val="0"/>
      <w:marRight w:val="0"/>
      <w:marTop w:val="0"/>
      <w:marBottom w:val="0"/>
      <w:divBdr>
        <w:top w:val="none" w:sz="0" w:space="0" w:color="auto"/>
        <w:left w:val="none" w:sz="0" w:space="0" w:color="auto"/>
        <w:bottom w:val="none" w:sz="0" w:space="0" w:color="auto"/>
        <w:right w:val="none" w:sz="0" w:space="0" w:color="auto"/>
      </w:divBdr>
    </w:div>
    <w:div w:id="897865283">
      <w:bodyDiv w:val="1"/>
      <w:marLeft w:val="0"/>
      <w:marRight w:val="0"/>
      <w:marTop w:val="0"/>
      <w:marBottom w:val="0"/>
      <w:divBdr>
        <w:top w:val="none" w:sz="0" w:space="0" w:color="auto"/>
        <w:left w:val="none" w:sz="0" w:space="0" w:color="auto"/>
        <w:bottom w:val="none" w:sz="0" w:space="0" w:color="auto"/>
        <w:right w:val="none" w:sz="0" w:space="0" w:color="auto"/>
      </w:divBdr>
    </w:div>
    <w:div w:id="188228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20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 7 (E).dotm</Template>
  <TotalTime>0</TotalTime>
  <Pages>5</Pages>
  <Words>1918</Words>
  <Characters>10858</Characters>
  <Application>Microsoft Office Word</Application>
  <DocSecurity>0</DocSecurity>
  <Lines>452</Lines>
  <Paragraphs>297</Paragraphs>
  <ScaleCrop>false</ScaleCrop>
  <HeadingPairs>
    <vt:vector size="2" baseType="variant">
      <vt:variant>
        <vt:lpstr>Title</vt:lpstr>
      </vt:variant>
      <vt:variant>
        <vt:i4>1</vt:i4>
      </vt:variant>
    </vt:vector>
  </HeadingPairs>
  <TitlesOfParts>
    <vt:vector size="1" baseType="lpstr">
      <vt:lpstr>CWS/7/8 (in English)</vt:lpstr>
    </vt:vector>
  </TitlesOfParts>
  <Company>WIPO</Company>
  <LinksUpToDate>false</LinksUpToDate>
  <CharactersWithSpaces>12479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CWS/7/8 (in English)</dc:title>
  <dc:subject>RESULTS OF THE SURVEY ON USE OF IDENTIFIERS FOR APPLICANTS BY INTELLECTUAL PROPERTY OFFICES</dc:subject>
  <dc:creator>WIPO</dc:creator>
  <cp:keywords>CWS, WIPO</cp:keywords>
  <cp:lastModifiedBy>DRAKE Sophie</cp:lastModifiedBy>
  <cp:revision>11</cp:revision>
  <cp:lastPrinted>2011-02-15T11:56:00Z</cp:lastPrinted>
  <dcterms:created xsi:type="dcterms:W3CDTF">2019-05-09T10:10:00Z</dcterms:created>
  <dcterms:modified xsi:type="dcterms:W3CDTF">2019-05-14T15:14:00Z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393a2225-5d6b-4e4e-b796-1a4ecd225729</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