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88760F3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72F94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D16009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7EF58A3C" wp14:editId="2CC51643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5E0F8C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60396492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C9F241D" w14:textId="730F60CA" w:rsidR="008B2CC1" w:rsidRPr="0090731E" w:rsidRDefault="00C0065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6A26F2">
              <w:rPr>
                <w:rFonts w:ascii="Arial Black" w:hAnsi="Arial Black"/>
                <w:caps/>
                <w:sz w:val="15"/>
              </w:rPr>
              <w:t>7/19</w:t>
            </w:r>
          </w:p>
        </w:tc>
      </w:tr>
      <w:tr w:rsidR="008B2CC1" w:rsidRPr="001832A6" w14:paraId="263A603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D40E6E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Original"/>
            <w:bookmarkEnd w:id="0"/>
            <w:r w:rsidR="003D38D1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259A6CC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888DD31" w14:textId="3259C72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3D38D1">
              <w:rPr>
                <w:rFonts w:ascii="Arial Black" w:hAnsi="Arial Black"/>
                <w:caps/>
                <w:sz w:val="15"/>
              </w:rPr>
              <w:t xml:space="preserve">MAY </w:t>
            </w:r>
            <w:r w:rsidR="00E32CC2" w:rsidRPr="00E32CC2">
              <w:rPr>
                <w:rFonts w:ascii="Arial Black" w:hAnsi="Arial Black"/>
                <w:caps/>
                <w:sz w:val="15"/>
              </w:rPr>
              <w:t>22</w:t>
            </w:r>
            <w:r w:rsidR="003D38D1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304BEF2D" w14:textId="77777777" w:rsidR="008B2CC1" w:rsidRPr="008B2CC1" w:rsidRDefault="008B2CC1" w:rsidP="008B2CC1"/>
    <w:p w14:paraId="6C2365DD" w14:textId="77777777" w:rsidR="008B2CC1" w:rsidRPr="008B2CC1" w:rsidRDefault="008B2CC1" w:rsidP="008B2CC1"/>
    <w:p w14:paraId="2507CB4B" w14:textId="77777777" w:rsidR="008B2CC1" w:rsidRPr="008B2CC1" w:rsidRDefault="008B2CC1" w:rsidP="008B2CC1"/>
    <w:p w14:paraId="370EC766" w14:textId="77777777" w:rsidR="008B2CC1" w:rsidRPr="008B2CC1" w:rsidRDefault="008B2CC1" w:rsidP="008B2CC1"/>
    <w:p w14:paraId="4D047503" w14:textId="77777777" w:rsidR="008B2CC1" w:rsidRPr="008B2CC1" w:rsidRDefault="008B2CC1" w:rsidP="008B2CC1"/>
    <w:p w14:paraId="3F09CF94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766D3249" w14:textId="77777777" w:rsidR="003845C1" w:rsidRDefault="003845C1" w:rsidP="003845C1"/>
    <w:p w14:paraId="562F0C56" w14:textId="77777777" w:rsidR="003845C1" w:rsidRDefault="003845C1" w:rsidP="003845C1"/>
    <w:p w14:paraId="65F915C8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1FC591FE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797E8C2B" w14:textId="77777777" w:rsidR="008B2CC1" w:rsidRPr="008B2CC1" w:rsidRDefault="008B2CC1" w:rsidP="008B2CC1"/>
    <w:p w14:paraId="06D45818" w14:textId="77777777" w:rsidR="008B2CC1" w:rsidRPr="008B2CC1" w:rsidRDefault="008B2CC1" w:rsidP="008B2CC1"/>
    <w:p w14:paraId="1B44379C" w14:textId="77777777" w:rsidR="008B2CC1" w:rsidRPr="008B2CC1" w:rsidRDefault="008B2CC1" w:rsidP="008B2CC1"/>
    <w:p w14:paraId="23161991" w14:textId="15C742C9" w:rsidR="008B2CC1" w:rsidRPr="003845C1" w:rsidRDefault="009A09E4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revision of WIPO Standard ST.</w:t>
      </w:r>
      <w:bookmarkStart w:id="3" w:name="_GoBack"/>
      <w:bookmarkEnd w:id="3"/>
      <w:r w:rsidR="006A26F2" w:rsidRPr="006A26F2">
        <w:rPr>
          <w:caps/>
          <w:sz w:val="24"/>
        </w:rPr>
        <w:t>60</w:t>
      </w:r>
    </w:p>
    <w:p w14:paraId="21DF8481" w14:textId="77777777" w:rsidR="008B2CC1" w:rsidRPr="008B2CC1" w:rsidRDefault="008B2CC1" w:rsidP="008B2CC1"/>
    <w:p w14:paraId="16EAFE84" w14:textId="77777777" w:rsidR="008B2CC1" w:rsidRPr="008B2CC1" w:rsidRDefault="003D38D1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International Bureau</w:t>
      </w:r>
    </w:p>
    <w:p w14:paraId="5032C387" w14:textId="77777777" w:rsidR="00AC205C" w:rsidRDefault="00AC205C"/>
    <w:p w14:paraId="4683E703" w14:textId="7AA132E3" w:rsidR="000F5E56" w:rsidRDefault="000F5E56"/>
    <w:p w14:paraId="60D25E85" w14:textId="52BB1629" w:rsidR="006C2347" w:rsidRPr="00E32CC2" w:rsidRDefault="006C2347">
      <w:pPr>
        <w:rPr>
          <w:u w:val="single"/>
        </w:rPr>
      </w:pPr>
    </w:p>
    <w:p w14:paraId="6E4E0BA4" w14:textId="77777777" w:rsidR="00E32CC2" w:rsidRDefault="00E32CC2"/>
    <w:p w14:paraId="7D4BA588" w14:textId="77777777" w:rsidR="006C2347" w:rsidRDefault="006C2347"/>
    <w:p w14:paraId="7E7BBE6B" w14:textId="77777777" w:rsidR="00CF3DB6" w:rsidRPr="00510549" w:rsidRDefault="00CF3DB6" w:rsidP="00F46E6A">
      <w:pPr>
        <w:pStyle w:val="Heading2"/>
        <w:spacing w:before="0"/>
        <w:rPr>
          <w:rFonts w:eastAsia="Malgun Gothic"/>
          <w:szCs w:val="22"/>
        </w:rPr>
      </w:pPr>
      <w:r w:rsidRPr="00510549">
        <w:rPr>
          <w:rFonts w:eastAsia="Malgun Gothic"/>
          <w:caps w:val="0"/>
          <w:szCs w:val="22"/>
        </w:rPr>
        <w:t>BACKGROUND</w:t>
      </w:r>
    </w:p>
    <w:p w14:paraId="142EC5F9" w14:textId="186F0D17" w:rsidR="009E1E4E" w:rsidRDefault="00CF3DB6" w:rsidP="00CF3DB6">
      <w:pPr>
        <w:pStyle w:val="ONUME"/>
        <w:numPr>
          <w:ilvl w:val="0"/>
          <w:numId w:val="0"/>
        </w:numPr>
        <w:rPr>
          <w:iCs/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F7925">
        <w:t>At the sixth session of the Committee on WIPO Standards (CWS) in 2018, t</w:t>
      </w:r>
      <w:r w:rsidR="00EF7925" w:rsidRPr="00510549">
        <w:t xml:space="preserve">he Committee </w:t>
      </w:r>
      <w:r w:rsidR="00EF7925">
        <w:t xml:space="preserve">considered proposals to update WIPO Standard ST.60 on </w:t>
      </w:r>
      <w:r w:rsidR="00EF7925" w:rsidRPr="00287694">
        <w:rPr>
          <w:i/>
          <w:iCs/>
          <w:szCs w:val="22"/>
        </w:rPr>
        <w:t>‘Recommendation concerning bibliographic data relating to marks</w:t>
      </w:r>
      <w:r w:rsidR="00EF7925" w:rsidRPr="00336C65">
        <w:rPr>
          <w:iCs/>
          <w:szCs w:val="22"/>
        </w:rPr>
        <w:t>'</w:t>
      </w:r>
      <w:r w:rsidR="00AE49A4">
        <w:rPr>
          <w:iCs/>
          <w:szCs w:val="22"/>
        </w:rPr>
        <w:t xml:space="preserve"> by t</w:t>
      </w:r>
      <w:r w:rsidR="009E1E4E">
        <w:t xml:space="preserve">he </w:t>
      </w:r>
      <w:r w:rsidR="00EF7925" w:rsidRPr="00EF7925">
        <w:t>European Union Intellectual Property Office (EUIPO)</w:t>
      </w:r>
      <w:r w:rsidR="009E1E4E">
        <w:t xml:space="preserve"> (</w:t>
      </w:r>
      <w:r w:rsidR="009E1E4E">
        <w:rPr>
          <w:iCs/>
          <w:szCs w:val="22"/>
        </w:rPr>
        <w:t xml:space="preserve">see document CWS/6/20).  </w:t>
      </w:r>
      <w:r w:rsidR="00EF7925">
        <w:t xml:space="preserve">The CWS adopted the EUIPO's "optimal" proposal, except for the allocation of INID code numbers for word marks and figurative marks.  Several other </w:t>
      </w:r>
      <w:r w:rsidR="009E1E4E">
        <w:t xml:space="preserve">proposals </w:t>
      </w:r>
      <w:r w:rsidR="00EF7925">
        <w:t xml:space="preserve">were </w:t>
      </w:r>
      <w:r w:rsidR="009E1E4E">
        <w:t xml:space="preserve">made on the floor during the plenary </w:t>
      </w:r>
      <w:proofErr w:type="gramStart"/>
      <w:r w:rsidR="009E1E4E">
        <w:t>session</w:t>
      </w:r>
      <w:r w:rsidR="00EF7925">
        <w:t xml:space="preserve"> which</w:t>
      </w:r>
      <w:proofErr w:type="gramEnd"/>
      <w:r w:rsidR="00EF7925">
        <w:t xml:space="preserve"> required further investigation</w:t>
      </w:r>
      <w:r w:rsidR="00684CCE">
        <w:t xml:space="preserve"> </w:t>
      </w:r>
      <w:r w:rsidR="00EF7925">
        <w:t>(</w:t>
      </w:r>
      <w:r w:rsidR="00AE49A4">
        <w:rPr>
          <w:iCs/>
          <w:szCs w:val="22"/>
        </w:rPr>
        <w:t>s</w:t>
      </w:r>
      <w:r w:rsidR="009E1E4E">
        <w:rPr>
          <w:iCs/>
          <w:szCs w:val="22"/>
        </w:rPr>
        <w:t>ee paragraphs 128 to 130 of document CWS/6/34</w:t>
      </w:r>
      <w:r w:rsidR="00EF7925">
        <w:rPr>
          <w:iCs/>
          <w:szCs w:val="22"/>
        </w:rPr>
        <w:t>)</w:t>
      </w:r>
      <w:r w:rsidR="009E1E4E">
        <w:rPr>
          <w:iCs/>
          <w:szCs w:val="22"/>
        </w:rPr>
        <w:t>.</w:t>
      </w:r>
    </w:p>
    <w:p w14:paraId="6C450D7F" w14:textId="2273D36C" w:rsidR="00CF3DB6" w:rsidRDefault="00EF7925" w:rsidP="00CF3DB6">
      <w:pPr>
        <w:pStyle w:val="ONUME"/>
        <w:numPr>
          <w:ilvl w:val="0"/>
          <w:numId w:val="0"/>
        </w:numPr>
        <w:rPr>
          <w:iCs/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>
        <w:rPr>
          <w:iCs/>
          <w:szCs w:val="22"/>
        </w:rPr>
        <w:t>As a result</w:t>
      </w:r>
      <w:proofErr w:type="gramEnd"/>
      <w:r>
        <w:rPr>
          <w:iCs/>
          <w:szCs w:val="22"/>
        </w:rPr>
        <w:t xml:space="preserve"> of these proposals, t</w:t>
      </w:r>
      <w:r w:rsidR="00CF3DB6">
        <w:rPr>
          <w:iCs/>
          <w:szCs w:val="22"/>
        </w:rPr>
        <w:t>he CWS created a new Task No. 60, the description of which reads:</w:t>
      </w:r>
    </w:p>
    <w:p w14:paraId="3023C071" w14:textId="77777777" w:rsidR="00CF3DB6" w:rsidRDefault="00CF3DB6" w:rsidP="00CF3DB6">
      <w:pPr>
        <w:pStyle w:val="ONUME"/>
        <w:numPr>
          <w:ilvl w:val="0"/>
          <w:numId w:val="0"/>
        </w:numPr>
        <w:ind w:left="567"/>
        <w:rPr>
          <w:iCs/>
          <w:szCs w:val="22"/>
        </w:rPr>
      </w:pPr>
      <w:r>
        <w:rPr>
          <w:iCs/>
          <w:szCs w:val="22"/>
        </w:rPr>
        <w:t>"</w:t>
      </w:r>
      <w:r>
        <w:t>Prepare a proposal for the numbering of INID codes regarding word marks and figurative marks, on splitting INID code (551), and a potential INID code for combined marks."</w:t>
      </w:r>
    </w:p>
    <w:p w14:paraId="4F437E5D" w14:textId="0A02EE3A" w:rsidR="00CF3DB6" w:rsidRDefault="00CF3DB6" w:rsidP="00CF3DB6">
      <w:pPr>
        <w:pStyle w:val="ONUME"/>
        <w:numPr>
          <w:ilvl w:val="0"/>
          <w:numId w:val="0"/>
        </w:numPr>
        <w:rPr>
          <w:iCs/>
          <w:szCs w:val="22"/>
        </w:rPr>
      </w:pPr>
      <w:r>
        <w:t xml:space="preserve">The CWS </w:t>
      </w:r>
      <w:r w:rsidR="009E1E4E">
        <w:t xml:space="preserve">assigned </w:t>
      </w:r>
      <w:r>
        <w:t xml:space="preserve">the new </w:t>
      </w:r>
      <w:r w:rsidR="009E1E4E">
        <w:t>Task No. 60</w:t>
      </w:r>
      <w:r>
        <w:t xml:space="preserve"> to the Trademark Standardization Task Force for further consideration and requested the Task Force to present a proposal or a progress report at its se</w:t>
      </w:r>
      <w:r w:rsidR="00AE49A4">
        <w:t>venth session</w:t>
      </w:r>
      <w:r>
        <w:t xml:space="preserve"> </w:t>
      </w:r>
      <w:r w:rsidR="009E1E4E">
        <w:t>(</w:t>
      </w:r>
      <w:r w:rsidR="00AE49A4">
        <w:rPr>
          <w:iCs/>
          <w:szCs w:val="22"/>
        </w:rPr>
        <w:t>s</w:t>
      </w:r>
      <w:r>
        <w:rPr>
          <w:iCs/>
          <w:szCs w:val="22"/>
        </w:rPr>
        <w:t xml:space="preserve">ee paragraphs </w:t>
      </w:r>
      <w:r w:rsidR="00E32CC2">
        <w:rPr>
          <w:iCs/>
          <w:szCs w:val="22"/>
        </w:rPr>
        <w:t>128 to 133 of document CWS/6/34</w:t>
      </w:r>
      <w:r w:rsidR="009E1E4E">
        <w:rPr>
          <w:iCs/>
          <w:szCs w:val="22"/>
        </w:rPr>
        <w:t>)</w:t>
      </w:r>
      <w:r w:rsidR="00E32CC2">
        <w:rPr>
          <w:iCs/>
          <w:szCs w:val="22"/>
        </w:rPr>
        <w:t>.</w:t>
      </w:r>
    </w:p>
    <w:p w14:paraId="02715F81" w14:textId="75653DED" w:rsidR="00CF3DB6" w:rsidRPr="007F296E" w:rsidRDefault="003142B2" w:rsidP="006C2347">
      <w:pPr>
        <w:pStyle w:val="Heading2"/>
        <w:keepLines/>
      </w:pPr>
      <w:r w:rsidRPr="0035210B">
        <w:rPr>
          <w:caps w:val="0"/>
        </w:rPr>
        <w:t>PROPOSED REV</w:t>
      </w:r>
      <w:r>
        <w:rPr>
          <w:caps w:val="0"/>
        </w:rPr>
        <w:t>I</w:t>
      </w:r>
      <w:r w:rsidRPr="008746A2">
        <w:rPr>
          <w:caps w:val="0"/>
        </w:rPr>
        <w:t>SION</w:t>
      </w:r>
    </w:p>
    <w:p w14:paraId="52698B0A" w14:textId="50197241" w:rsidR="00CF3DB6" w:rsidRDefault="00CF3DB6" w:rsidP="006C2347">
      <w:pPr>
        <w:keepLines/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E1E4E">
        <w:t>Under the framework of Task No. 60</w:t>
      </w:r>
      <w:r w:rsidR="008746A2">
        <w:t>,</w:t>
      </w:r>
      <w:r w:rsidR="009E1E4E">
        <w:t xml:space="preserve"> t</w:t>
      </w:r>
      <w:r>
        <w:t xml:space="preserve">he Trademark Standardization Task Force </w:t>
      </w:r>
      <w:r w:rsidR="0035210B">
        <w:t xml:space="preserve">considered the three issues in Task No. 60 and held online discussions about them.  The International Bureau also had internal discussions </w:t>
      </w:r>
      <w:r w:rsidR="008746A2">
        <w:t xml:space="preserve">about the issues </w:t>
      </w:r>
      <w:r w:rsidR="005767DB">
        <w:t>among relevant work unit</w:t>
      </w:r>
      <w:r w:rsidR="0035210B">
        <w:t>s, including the Madrid System.</w:t>
      </w:r>
    </w:p>
    <w:p w14:paraId="45FDCCFF" w14:textId="6D9630F1" w:rsidR="0035210B" w:rsidRDefault="00CF3DB6" w:rsidP="008746A2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On the subject of finding suitable INID codes for word m</w:t>
      </w:r>
      <w:r w:rsidR="006C2347">
        <w:t xml:space="preserve">arks and figurative marks, </w:t>
      </w:r>
      <w:r w:rsidR="0035210B">
        <w:t xml:space="preserve">the Task Force considered possible ranges within </w:t>
      </w:r>
      <w:r w:rsidR="008746A2">
        <w:t xml:space="preserve">WIPO </w:t>
      </w:r>
      <w:r w:rsidR="0035210B">
        <w:t>ST.60.  The range 59x seems to be the most suitable location for the new codes.  Every range from 53x to 59x is already in use in ST.60:</w:t>
      </w:r>
    </w:p>
    <w:p w14:paraId="1A238807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INID codes 531 to 591 are used for Descriptions of the elements of the mark</w:t>
      </w:r>
    </w:p>
    <w:p w14:paraId="602636DA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Codes 53x are used for the type of classification</w:t>
      </w:r>
    </w:p>
    <w:p w14:paraId="35133FE2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Codes 54x are used for reproductions of the mark</w:t>
      </w:r>
    </w:p>
    <w:p w14:paraId="3E869027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Codes 55x indicate the type of mark.  All codes are in use.</w:t>
      </w:r>
    </w:p>
    <w:p w14:paraId="4B54F3D8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Codes 561 and 566 are for translation or transliteration</w:t>
      </w:r>
    </w:p>
    <w:p w14:paraId="151B90D8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 571 is for description of the mark</w:t>
      </w:r>
    </w:p>
    <w:p w14:paraId="5D906D1B" w14:textId="77777777" w:rsidR="0035210B" w:rsidRDefault="0035210B" w:rsidP="0035210B">
      <w:pPr>
        <w:pStyle w:val="ListParagraph"/>
        <w:numPr>
          <w:ilvl w:val="0"/>
          <w:numId w:val="7"/>
        </w:numPr>
      </w:pPr>
      <w:r>
        <w:t>Codes 58x are used for date information</w:t>
      </w:r>
    </w:p>
    <w:p w14:paraId="08B69F52" w14:textId="77777777" w:rsidR="0035210B" w:rsidRDefault="0035210B" w:rsidP="008746A2">
      <w:pPr>
        <w:pStyle w:val="ListParagraph"/>
        <w:numPr>
          <w:ilvl w:val="0"/>
          <w:numId w:val="7"/>
        </w:numPr>
        <w:spacing w:after="220"/>
        <w:ind w:left="922"/>
        <w:contextualSpacing w:val="0"/>
      </w:pPr>
      <w:r>
        <w:t>Code 591 concerns colors of the mark.  The rest of 59x is unused.</w:t>
      </w:r>
    </w:p>
    <w:p w14:paraId="7464E389" w14:textId="1F67B073" w:rsidR="0035210B" w:rsidRDefault="008746A2" w:rsidP="0035210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5210B">
        <w:t>Since t</w:t>
      </w:r>
      <w:r w:rsidR="0035210B" w:rsidRPr="00547FEC">
        <w:t xml:space="preserve">he </w:t>
      </w:r>
      <w:proofErr w:type="gramStart"/>
      <w:r w:rsidR="0035210B" w:rsidRPr="00547FEC">
        <w:t>55x</w:t>
      </w:r>
      <w:proofErr w:type="gramEnd"/>
      <w:r w:rsidR="0035210B" w:rsidRPr="00547FEC">
        <w:t xml:space="preserve"> range is full, and the other ranges between 53x and 58x are used for different types of infor</w:t>
      </w:r>
      <w:r w:rsidR="0035210B">
        <w:t>mation besides the kind of mark, the task force considered 59x to be the best location for the new codes for word and figurative marks.</w:t>
      </w:r>
    </w:p>
    <w:p w14:paraId="3607DACC" w14:textId="4C338259" w:rsidR="00CF3DB6" w:rsidRDefault="0035210B" w:rsidP="00CF3DB6">
      <w:r>
        <w:fldChar w:fldCharType="begin"/>
      </w:r>
      <w:r>
        <w:instrText xml:space="preserve"> AUTONUM  </w:instrText>
      </w:r>
      <w:r>
        <w:fldChar w:fldCharType="end"/>
      </w:r>
      <w:r>
        <w:tab/>
        <w:t>T</w:t>
      </w:r>
      <w:r w:rsidR="006C2347">
        <w:t>he Task F</w:t>
      </w:r>
      <w:r w:rsidR="00CF3DB6">
        <w:t xml:space="preserve">orce proposes adding the following codes to </w:t>
      </w:r>
      <w:r w:rsidR="00F13852">
        <w:t xml:space="preserve">WIPO </w:t>
      </w:r>
      <w:r w:rsidR="00CF3DB6">
        <w:t>ST.60, with an accompanying note to the change log in Appendix 2</w:t>
      </w:r>
      <w:r w:rsidR="00F13852">
        <w:t xml:space="preserve"> of WIPO ST.60</w:t>
      </w:r>
      <w:r w:rsidR="00CF3DB6">
        <w:t>:</w:t>
      </w:r>
    </w:p>
    <w:p w14:paraId="66619E9F" w14:textId="5BCE71F8" w:rsidR="00CF3DB6" w:rsidRDefault="00CF3DB6" w:rsidP="00CF3DB6"/>
    <w:p w14:paraId="19F716B4" w14:textId="139BBED2" w:rsidR="0035210B" w:rsidRDefault="0035210B" w:rsidP="00CF3DB6">
      <w:proofErr w:type="gramStart"/>
      <w:r>
        <w:t>page</w:t>
      </w:r>
      <w:proofErr w:type="gramEnd"/>
      <w:r>
        <w:t xml:space="preserve"> 4:</w:t>
      </w:r>
    </w:p>
    <w:p w14:paraId="7BEC4E27" w14:textId="0E03F4C5" w:rsidR="0035210B" w:rsidRDefault="0035210B" w:rsidP="0035210B">
      <w:pPr>
        <w:keepNext/>
        <w:ind w:left="567"/>
      </w:pPr>
      <w:r>
        <w:t>Description of the figurative elements of the mark</w:t>
      </w:r>
    </w:p>
    <w:p w14:paraId="48D1D83F" w14:textId="5DF440B8" w:rsidR="0035210B" w:rsidRDefault="0035210B" w:rsidP="0035210B">
      <w:pPr>
        <w:keepNext/>
        <w:ind w:left="567"/>
      </w:pPr>
      <w:r>
        <w:tab/>
        <w:t>…</w:t>
      </w:r>
    </w:p>
    <w:p w14:paraId="4A0F23C9" w14:textId="630CC4F1" w:rsidR="00CF3DB6" w:rsidRDefault="00CF3DB6" w:rsidP="00CF3DB6">
      <w:pPr>
        <w:keepNext/>
        <w:ind w:left="1134"/>
      </w:pPr>
      <w:r w:rsidRPr="008A12DB">
        <w:tab/>
        <w:t>(581)</w:t>
      </w:r>
      <w:r w:rsidRPr="008A12DB">
        <w:tab/>
        <w:t xml:space="preserve">Date of notification by the International Bureau to the designated Contracting </w:t>
      </w:r>
      <w:proofErr w:type="gramStart"/>
      <w:r w:rsidRPr="008A12DB">
        <w:t>Parties</w:t>
      </w:r>
      <w:proofErr w:type="gramEnd"/>
      <w:r w:rsidRPr="008A12DB">
        <w:br/>
        <w:t>(591)</w:t>
      </w:r>
      <w:r w:rsidRPr="008A12DB">
        <w:tab/>
        <w:t>Information concerning colors claimed</w:t>
      </w:r>
      <w:r>
        <w:t xml:space="preserve"> </w:t>
      </w:r>
    </w:p>
    <w:p w14:paraId="41DCB0AF" w14:textId="77777777" w:rsidR="00CF3DB6" w:rsidRPr="00163786" w:rsidRDefault="00CF3DB6" w:rsidP="00CF3DB6">
      <w:pPr>
        <w:keepNext/>
        <w:ind w:left="1134"/>
        <w:rPr>
          <w:u w:val="single"/>
        </w:rPr>
      </w:pPr>
      <w:r>
        <w:t>(</w:t>
      </w:r>
      <w:r w:rsidRPr="00163786">
        <w:rPr>
          <w:u w:val="single"/>
        </w:rPr>
        <w:t>592</w:t>
      </w:r>
      <w:r>
        <w:rPr>
          <w:u w:val="single"/>
        </w:rPr>
        <w:t>)</w:t>
      </w:r>
      <w:r w:rsidRPr="00163786">
        <w:rPr>
          <w:u w:val="single"/>
        </w:rPr>
        <w:t xml:space="preserve"> Word Mark</w:t>
      </w:r>
    </w:p>
    <w:p w14:paraId="4A72FB2C" w14:textId="77777777" w:rsidR="00CF3DB6" w:rsidRDefault="00CF3DB6" w:rsidP="00CF3DB6">
      <w:pPr>
        <w:ind w:left="1139"/>
        <w:rPr>
          <w:u w:val="single"/>
        </w:rPr>
      </w:pPr>
      <w:r>
        <w:rPr>
          <w:u w:val="single"/>
        </w:rPr>
        <w:t>(</w:t>
      </w:r>
      <w:r w:rsidRPr="00163786">
        <w:rPr>
          <w:u w:val="single"/>
        </w:rPr>
        <w:t>593</w:t>
      </w:r>
      <w:r>
        <w:rPr>
          <w:u w:val="single"/>
        </w:rPr>
        <w:t xml:space="preserve">) </w:t>
      </w:r>
      <w:r w:rsidRPr="00163786">
        <w:rPr>
          <w:u w:val="single"/>
        </w:rPr>
        <w:t>Figurative Mark</w:t>
      </w:r>
    </w:p>
    <w:p w14:paraId="381A9968" w14:textId="77777777" w:rsidR="00CF3DB6" w:rsidRDefault="00CF3DB6" w:rsidP="00CF3DB6">
      <w:pPr>
        <w:ind w:left="572"/>
        <w:rPr>
          <w:u w:val="single"/>
        </w:rPr>
      </w:pPr>
    </w:p>
    <w:p w14:paraId="6F7BFD20" w14:textId="77777777" w:rsidR="00CF3DB6" w:rsidRPr="00475DAA" w:rsidRDefault="00CF3DB6" w:rsidP="006C2347">
      <w:pPr>
        <w:ind w:left="572" w:firstLine="562"/>
        <w:rPr>
          <w:i/>
        </w:rPr>
      </w:pPr>
      <w:r w:rsidRPr="00475DAA">
        <w:rPr>
          <w:i/>
        </w:rPr>
        <w:t>(600)</w:t>
      </w:r>
      <w:r w:rsidRPr="00475DAA">
        <w:rPr>
          <w:i/>
        </w:rPr>
        <w:tab/>
        <w:t>References to other legally related application(s) and registration(s)</w:t>
      </w:r>
    </w:p>
    <w:p w14:paraId="02AAA65F" w14:textId="77777777" w:rsidR="00CF3DB6" w:rsidRDefault="00CF3DB6" w:rsidP="00CF3DB6">
      <w:pPr>
        <w:rPr>
          <w:u w:val="single"/>
        </w:rPr>
      </w:pPr>
    </w:p>
    <w:p w14:paraId="67BD33CC" w14:textId="6F1C7D46" w:rsidR="00CF3DB6" w:rsidRPr="00475DAA" w:rsidRDefault="0035210B" w:rsidP="0035210B">
      <w:proofErr w:type="gramStart"/>
      <w:r>
        <w:t>page</w:t>
      </w:r>
      <w:proofErr w:type="gramEnd"/>
      <w:r>
        <w:t xml:space="preserve"> 11:</w:t>
      </w:r>
    </w:p>
    <w:p w14:paraId="101BC28E" w14:textId="568E0B45" w:rsidR="006C2347" w:rsidRDefault="00CF3DB6" w:rsidP="00A556F6">
      <w:pPr>
        <w:pStyle w:val="Heading2"/>
      </w:pPr>
      <w:r w:rsidRPr="00475DAA">
        <w:t>APPE</w:t>
      </w:r>
      <w:r w:rsidRPr="008A12DB">
        <w:t>NDIX 2</w:t>
      </w:r>
    </w:p>
    <w:p w14:paraId="22532D36" w14:textId="77777777" w:rsidR="006C2347" w:rsidRPr="006C2347" w:rsidRDefault="006C2347" w:rsidP="006C234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8"/>
        <w:gridCol w:w="2552"/>
        <w:gridCol w:w="1874"/>
        <w:gridCol w:w="1701"/>
        <w:gridCol w:w="2268"/>
      </w:tblGrid>
      <w:tr w:rsidR="00CF3DB6" w:rsidRPr="008A12DB" w14:paraId="14F288AE" w14:textId="77777777" w:rsidTr="007A01B6">
        <w:trPr>
          <w:trHeight w:val="400"/>
          <w:tblHeader/>
          <w:jc w:val="center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88D765" w14:textId="77777777" w:rsidR="00CF3DB6" w:rsidRPr="008A12DB" w:rsidRDefault="00CF3DB6" w:rsidP="007A01B6">
            <w:pPr>
              <w:pStyle w:val="TrowF"/>
              <w:spacing w:after="60"/>
              <w:jc w:val="center"/>
              <w:rPr>
                <w:b/>
              </w:rPr>
            </w:pPr>
            <w:r w:rsidRPr="008A12DB">
              <w:rPr>
                <w:b/>
              </w:rPr>
              <w:t>INID Code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6BBBF643" w14:textId="77777777" w:rsidR="00CF3DB6" w:rsidRPr="008A12DB" w:rsidRDefault="00CF3DB6" w:rsidP="007A01B6">
            <w:pPr>
              <w:pStyle w:val="TrowF"/>
              <w:spacing w:after="60"/>
              <w:jc w:val="center"/>
              <w:rPr>
                <w:b/>
              </w:rPr>
            </w:pPr>
            <w:r w:rsidRPr="008A12DB">
              <w:rPr>
                <w:b/>
              </w:rPr>
              <w:t>Previous definition(s) of code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</w:tcPr>
          <w:p w14:paraId="24E34780" w14:textId="77777777" w:rsidR="00CF3DB6" w:rsidRPr="008A12DB" w:rsidRDefault="00CF3DB6" w:rsidP="007A01B6">
            <w:pPr>
              <w:pStyle w:val="TrowF"/>
              <w:spacing w:after="60"/>
              <w:jc w:val="center"/>
              <w:rPr>
                <w:b/>
              </w:rPr>
            </w:pPr>
            <w:r w:rsidRPr="008A12DB">
              <w:rPr>
                <w:b/>
              </w:rPr>
              <w:t>Pertinent previous note(s)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E3AC75A" w14:textId="77777777" w:rsidR="00CF3DB6" w:rsidRPr="008A12DB" w:rsidRDefault="00CF3DB6" w:rsidP="007A01B6">
            <w:pPr>
              <w:pStyle w:val="TrowF"/>
              <w:spacing w:after="60"/>
              <w:jc w:val="center"/>
              <w:rPr>
                <w:b/>
              </w:rPr>
            </w:pPr>
            <w:r w:rsidRPr="008A12DB">
              <w:rPr>
                <w:b/>
              </w:rPr>
              <w:t>Date of deletion or amendment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E96F8" w14:textId="77777777" w:rsidR="00CF3DB6" w:rsidRPr="008A12DB" w:rsidRDefault="00CF3DB6" w:rsidP="007A01B6">
            <w:pPr>
              <w:pStyle w:val="TrowF"/>
              <w:spacing w:after="60"/>
              <w:jc w:val="center"/>
              <w:rPr>
                <w:b/>
              </w:rPr>
            </w:pPr>
            <w:r w:rsidRPr="008A12DB">
              <w:rPr>
                <w:b/>
              </w:rPr>
              <w:t>Kind of change</w:t>
            </w:r>
          </w:p>
        </w:tc>
      </w:tr>
      <w:tr w:rsidR="00CF3DB6" w:rsidRPr="008A12DB" w14:paraId="30FF9A76" w14:textId="77777777" w:rsidTr="007A01B6">
        <w:trPr>
          <w:trHeight w:val="400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3EF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(592)</w:t>
            </w:r>
          </w:p>
          <w:p w14:paraId="333F1E8F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and</w:t>
            </w:r>
          </w:p>
          <w:p w14:paraId="17841969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(593)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933B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–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037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B965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July xx, 2019, by CWS/7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2240" w14:textId="77777777" w:rsidR="00CF3DB6" w:rsidRPr="00475DAA" w:rsidRDefault="00CF3DB6" w:rsidP="007A01B6">
            <w:pPr>
              <w:pStyle w:val="TrowF"/>
              <w:rPr>
                <w:u w:val="single"/>
              </w:rPr>
            </w:pPr>
            <w:r w:rsidRPr="00475DAA">
              <w:rPr>
                <w:u w:val="single"/>
              </w:rPr>
              <w:t>Code added</w:t>
            </w:r>
          </w:p>
        </w:tc>
      </w:tr>
    </w:tbl>
    <w:p w14:paraId="58D576F5" w14:textId="3D524A6E" w:rsidR="00CF3DB6" w:rsidRDefault="00CF3DB6" w:rsidP="006C2347">
      <w:pPr>
        <w:rPr>
          <w:u w:val="single"/>
        </w:rPr>
      </w:pPr>
    </w:p>
    <w:p w14:paraId="73D60BC5" w14:textId="2863A1D5" w:rsidR="0035210B" w:rsidRDefault="0035210B" w:rsidP="008746A2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For the other two items in Task No. 60, splitting INID code (551) and a potential INID code for combined marks, the Task Force </w:t>
      </w:r>
      <w:r w:rsidR="004C4F81">
        <w:t xml:space="preserve">proposes </w:t>
      </w:r>
      <w:r w:rsidR="00684CCE">
        <w:t>no changes</w:t>
      </w:r>
      <w:r w:rsidR="00AE49A4">
        <w:t xml:space="preserve"> (see document CWS/7/18).</w:t>
      </w:r>
    </w:p>
    <w:p w14:paraId="58496518" w14:textId="77777777" w:rsidR="0035210B" w:rsidRDefault="0035210B" w:rsidP="008746A2"/>
    <w:p w14:paraId="274589B5" w14:textId="77777777" w:rsidR="00090443" w:rsidRPr="006A730D" w:rsidRDefault="00090443" w:rsidP="006C2347">
      <w:pPr>
        <w:pStyle w:val="ONUME"/>
        <w:keepNext/>
        <w:keepLines/>
        <w:numPr>
          <w:ilvl w:val="0"/>
          <w:numId w:val="0"/>
        </w:numPr>
        <w:ind w:left="4966" w:firstLine="567"/>
        <w:rPr>
          <w:i/>
        </w:rPr>
      </w:pPr>
      <w:r w:rsidRPr="006A730D">
        <w:rPr>
          <w:i/>
        </w:rPr>
        <w:lastRenderedPageBreak/>
        <w:fldChar w:fldCharType="begin"/>
      </w:r>
      <w:r w:rsidRPr="006A730D">
        <w:rPr>
          <w:i/>
        </w:rPr>
        <w:instrText xml:space="preserve"> AUTONUM  </w:instrText>
      </w:r>
      <w:r w:rsidRPr="006A730D">
        <w:rPr>
          <w:i/>
        </w:rPr>
        <w:fldChar w:fldCharType="end"/>
      </w:r>
      <w:r w:rsidRPr="006A730D">
        <w:rPr>
          <w:i/>
        </w:rPr>
        <w:tab/>
        <w:t xml:space="preserve">The CWS </w:t>
      </w:r>
      <w:proofErr w:type="gramStart"/>
      <w:r w:rsidRPr="006A730D">
        <w:rPr>
          <w:i/>
        </w:rPr>
        <w:t>is invited</w:t>
      </w:r>
      <w:proofErr w:type="gramEnd"/>
      <w:r w:rsidRPr="006A730D">
        <w:rPr>
          <w:i/>
        </w:rPr>
        <w:t xml:space="preserve"> to: </w:t>
      </w:r>
    </w:p>
    <w:p w14:paraId="31C0BB99" w14:textId="07A78063" w:rsidR="00090443" w:rsidRPr="006A730D" w:rsidRDefault="00090443" w:rsidP="006C2347">
      <w:pPr>
        <w:pStyle w:val="BodyText"/>
        <w:keepNext/>
        <w:keepLines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Pr="006A730D">
        <w:rPr>
          <w:i/>
        </w:rPr>
        <w:t>note</w:t>
      </w:r>
      <w:proofErr w:type="gramEnd"/>
      <w:r w:rsidRPr="006A730D">
        <w:rPr>
          <w:i/>
        </w:rPr>
        <w:t xml:space="preserve"> the content of the present document;</w:t>
      </w:r>
      <w:r w:rsidR="004B6D1A">
        <w:rPr>
          <w:i/>
        </w:rPr>
        <w:t xml:space="preserve"> and</w:t>
      </w:r>
    </w:p>
    <w:p w14:paraId="4C483627" w14:textId="1B00EBBF" w:rsidR="006C2347" w:rsidRDefault="00090443" w:rsidP="006C2347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  <w:r>
        <w:rPr>
          <w:i/>
        </w:rPr>
        <w:tab/>
        <w:t>(b)</w:t>
      </w:r>
      <w:r>
        <w:rPr>
          <w:i/>
        </w:rPr>
        <w:tab/>
      </w:r>
      <w:proofErr w:type="gramStart"/>
      <w:r>
        <w:rPr>
          <w:i/>
        </w:rPr>
        <w:t>adopt</w:t>
      </w:r>
      <w:proofErr w:type="gramEnd"/>
      <w:r>
        <w:rPr>
          <w:i/>
        </w:rPr>
        <w:t xml:space="preserve"> the proposal to create new INID codes for wor</w:t>
      </w:r>
      <w:r w:rsidR="00B002F8">
        <w:rPr>
          <w:i/>
        </w:rPr>
        <w:t>d</w:t>
      </w:r>
      <w:r>
        <w:rPr>
          <w:i/>
        </w:rPr>
        <w:t xml:space="preserve"> marks and</w:t>
      </w:r>
      <w:r w:rsidR="00AE49A4">
        <w:rPr>
          <w:i/>
        </w:rPr>
        <w:t xml:space="preserve"> figurative marks in paragraph 6</w:t>
      </w:r>
      <w:r>
        <w:rPr>
          <w:i/>
        </w:rPr>
        <w:t xml:space="preserve"> above.</w:t>
      </w:r>
    </w:p>
    <w:p w14:paraId="01101253" w14:textId="3E6FE94E" w:rsidR="006C2347" w:rsidRDefault="006C2347" w:rsidP="006C2347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</w:p>
    <w:p w14:paraId="66562D26" w14:textId="77777777" w:rsidR="006C2347" w:rsidRDefault="006C2347" w:rsidP="006C2347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</w:p>
    <w:p w14:paraId="043BD000" w14:textId="163A0E6D" w:rsidR="008B7A90" w:rsidRPr="008B7A90" w:rsidRDefault="008B7A90" w:rsidP="006C2347">
      <w:pPr>
        <w:pStyle w:val="BodyText"/>
        <w:keepNext/>
        <w:keepLines/>
        <w:tabs>
          <w:tab w:val="left" w:pos="6160"/>
          <w:tab w:val="left" w:pos="6710"/>
        </w:tabs>
        <w:ind w:left="5533"/>
      </w:pPr>
      <w:r w:rsidRPr="008B7A90">
        <w:t>[End of document]</w:t>
      </w:r>
    </w:p>
    <w:sectPr w:rsidR="008B7A90" w:rsidRPr="008B7A90" w:rsidSect="003D38D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31FD" w14:textId="77777777" w:rsidR="003D38D1" w:rsidRDefault="003D38D1">
      <w:r>
        <w:separator/>
      </w:r>
    </w:p>
  </w:endnote>
  <w:endnote w:type="continuationSeparator" w:id="0">
    <w:p w14:paraId="7D6D1405" w14:textId="77777777" w:rsidR="003D38D1" w:rsidRDefault="003D38D1" w:rsidP="003B38C1">
      <w:r>
        <w:separator/>
      </w:r>
    </w:p>
    <w:p w14:paraId="5CA5FF39" w14:textId="77777777" w:rsidR="003D38D1" w:rsidRPr="003B38C1" w:rsidRDefault="003D38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48CCAB" w14:textId="77777777" w:rsidR="003D38D1" w:rsidRPr="003B38C1" w:rsidRDefault="003D38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1362" w14:textId="77777777" w:rsidR="003D38D1" w:rsidRDefault="003D38D1">
      <w:r>
        <w:separator/>
      </w:r>
    </w:p>
  </w:footnote>
  <w:footnote w:type="continuationSeparator" w:id="0">
    <w:p w14:paraId="29B5D985" w14:textId="77777777" w:rsidR="003D38D1" w:rsidRDefault="003D38D1" w:rsidP="008B60B2">
      <w:r>
        <w:separator/>
      </w:r>
    </w:p>
    <w:p w14:paraId="406696C9" w14:textId="77777777" w:rsidR="003D38D1" w:rsidRPr="00ED77FB" w:rsidRDefault="003D38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E35094" w14:textId="77777777" w:rsidR="003D38D1" w:rsidRPr="00ED77FB" w:rsidRDefault="003D38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125D" w14:textId="3698C26A" w:rsidR="00EC4E49" w:rsidRDefault="003D38D1" w:rsidP="00477D6B">
    <w:pPr>
      <w:jc w:val="right"/>
    </w:pPr>
    <w:bookmarkStart w:id="5" w:name="Code2"/>
    <w:bookmarkEnd w:id="5"/>
    <w:r>
      <w:t>CWS/</w:t>
    </w:r>
    <w:r w:rsidR="006A26F2">
      <w:t>7/19</w:t>
    </w:r>
  </w:p>
  <w:p w14:paraId="7B7776FD" w14:textId="3F81AE10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09E4">
      <w:rPr>
        <w:noProof/>
      </w:rPr>
      <w:t>3</w:t>
    </w:r>
    <w:r>
      <w:fldChar w:fldCharType="end"/>
    </w:r>
  </w:p>
  <w:p w14:paraId="311CB5C2" w14:textId="77777777" w:rsidR="00EC4E49" w:rsidRDefault="00EC4E49" w:rsidP="00477D6B">
    <w:pPr>
      <w:jc w:val="right"/>
    </w:pPr>
  </w:p>
  <w:p w14:paraId="3575920B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E0CFA"/>
    <w:multiLevelType w:val="hybridMultilevel"/>
    <w:tmpl w:val="9A94C4D6"/>
    <w:lvl w:ilvl="0" w:tplc="F9B663D2">
      <w:start w:val="1"/>
      <w:numFmt w:val="lowerLetter"/>
      <w:lvlText w:val="(%1)"/>
      <w:lvlJc w:val="left"/>
      <w:pPr>
        <w:ind w:left="687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594" w:hanging="360"/>
      </w:pPr>
    </w:lvl>
    <w:lvl w:ilvl="2" w:tplc="0409001B" w:tentative="1">
      <w:start w:val="1"/>
      <w:numFmt w:val="lowerRoman"/>
      <w:lvlText w:val="%3."/>
      <w:lvlJc w:val="right"/>
      <w:pPr>
        <w:ind w:left="8314" w:hanging="180"/>
      </w:pPr>
    </w:lvl>
    <w:lvl w:ilvl="3" w:tplc="0409000F" w:tentative="1">
      <w:start w:val="1"/>
      <w:numFmt w:val="decimal"/>
      <w:lvlText w:val="%4."/>
      <w:lvlJc w:val="left"/>
      <w:pPr>
        <w:ind w:left="9034" w:hanging="360"/>
      </w:pPr>
    </w:lvl>
    <w:lvl w:ilvl="4" w:tplc="04090019" w:tentative="1">
      <w:start w:val="1"/>
      <w:numFmt w:val="lowerLetter"/>
      <w:lvlText w:val="%5."/>
      <w:lvlJc w:val="left"/>
      <w:pPr>
        <w:ind w:left="9754" w:hanging="360"/>
      </w:pPr>
    </w:lvl>
    <w:lvl w:ilvl="5" w:tplc="0409001B" w:tentative="1">
      <w:start w:val="1"/>
      <w:numFmt w:val="lowerRoman"/>
      <w:lvlText w:val="%6."/>
      <w:lvlJc w:val="right"/>
      <w:pPr>
        <w:ind w:left="10474" w:hanging="180"/>
      </w:pPr>
    </w:lvl>
    <w:lvl w:ilvl="6" w:tplc="0409000F" w:tentative="1">
      <w:start w:val="1"/>
      <w:numFmt w:val="decimal"/>
      <w:lvlText w:val="%7."/>
      <w:lvlJc w:val="left"/>
      <w:pPr>
        <w:ind w:left="11194" w:hanging="360"/>
      </w:pPr>
    </w:lvl>
    <w:lvl w:ilvl="7" w:tplc="04090019" w:tentative="1">
      <w:start w:val="1"/>
      <w:numFmt w:val="lowerLetter"/>
      <w:lvlText w:val="%8."/>
      <w:lvlJc w:val="left"/>
      <w:pPr>
        <w:ind w:left="11914" w:hanging="360"/>
      </w:pPr>
    </w:lvl>
    <w:lvl w:ilvl="8" w:tplc="0409001B" w:tentative="1">
      <w:start w:val="1"/>
      <w:numFmt w:val="lowerRoman"/>
      <w:lvlText w:val="%9."/>
      <w:lvlJc w:val="right"/>
      <w:pPr>
        <w:ind w:left="12634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C2693"/>
    <w:multiLevelType w:val="hybridMultilevel"/>
    <w:tmpl w:val="3F585D9A"/>
    <w:lvl w:ilvl="0" w:tplc="E1D8A5F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D1"/>
    <w:rsid w:val="00005505"/>
    <w:rsid w:val="00043CAA"/>
    <w:rsid w:val="00066BA1"/>
    <w:rsid w:val="000700ED"/>
    <w:rsid w:val="00075432"/>
    <w:rsid w:val="00084C62"/>
    <w:rsid w:val="00090443"/>
    <w:rsid w:val="000968ED"/>
    <w:rsid w:val="000F5E56"/>
    <w:rsid w:val="001250EB"/>
    <w:rsid w:val="001362EE"/>
    <w:rsid w:val="001647D5"/>
    <w:rsid w:val="001832A6"/>
    <w:rsid w:val="00210958"/>
    <w:rsid w:val="0021217E"/>
    <w:rsid w:val="002634C4"/>
    <w:rsid w:val="002928D3"/>
    <w:rsid w:val="002E1F5C"/>
    <w:rsid w:val="002F1FE6"/>
    <w:rsid w:val="002F4E68"/>
    <w:rsid w:val="00312F7F"/>
    <w:rsid w:val="003142B2"/>
    <w:rsid w:val="0035121A"/>
    <w:rsid w:val="0035210B"/>
    <w:rsid w:val="00361450"/>
    <w:rsid w:val="003673CF"/>
    <w:rsid w:val="003845C1"/>
    <w:rsid w:val="003A6F89"/>
    <w:rsid w:val="003B38C1"/>
    <w:rsid w:val="003D38D1"/>
    <w:rsid w:val="00423E3E"/>
    <w:rsid w:val="00427AF4"/>
    <w:rsid w:val="004647DA"/>
    <w:rsid w:val="00474062"/>
    <w:rsid w:val="00475DAA"/>
    <w:rsid w:val="00477D6B"/>
    <w:rsid w:val="00493E4F"/>
    <w:rsid w:val="004B6D1A"/>
    <w:rsid w:val="004C4F81"/>
    <w:rsid w:val="004E5E8D"/>
    <w:rsid w:val="005019FF"/>
    <w:rsid w:val="0053057A"/>
    <w:rsid w:val="00560A29"/>
    <w:rsid w:val="005767DB"/>
    <w:rsid w:val="005C6649"/>
    <w:rsid w:val="00605827"/>
    <w:rsid w:val="00646050"/>
    <w:rsid w:val="006713CA"/>
    <w:rsid w:val="00676C5C"/>
    <w:rsid w:val="00684CCE"/>
    <w:rsid w:val="006A26F2"/>
    <w:rsid w:val="006A730D"/>
    <w:rsid w:val="006C2347"/>
    <w:rsid w:val="00743339"/>
    <w:rsid w:val="007D1613"/>
    <w:rsid w:val="007E4C0E"/>
    <w:rsid w:val="007F7AD1"/>
    <w:rsid w:val="008746A2"/>
    <w:rsid w:val="00892CD6"/>
    <w:rsid w:val="008A134B"/>
    <w:rsid w:val="008A55F7"/>
    <w:rsid w:val="008B2CC1"/>
    <w:rsid w:val="008B60B2"/>
    <w:rsid w:val="008B7A90"/>
    <w:rsid w:val="009017C6"/>
    <w:rsid w:val="0090731E"/>
    <w:rsid w:val="00916EE2"/>
    <w:rsid w:val="00966A22"/>
    <w:rsid w:val="0096722F"/>
    <w:rsid w:val="00980843"/>
    <w:rsid w:val="009A09E4"/>
    <w:rsid w:val="009C7DB0"/>
    <w:rsid w:val="009E1E4E"/>
    <w:rsid w:val="009E2791"/>
    <w:rsid w:val="009E3F6F"/>
    <w:rsid w:val="009F499F"/>
    <w:rsid w:val="00A007E6"/>
    <w:rsid w:val="00A37342"/>
    <w:rsid w:val="00A42DAF"/>
    <w:rsid w:val="00A45BD8"/>
    <w:rsid w:val="00A556F6"/>
    <w:rsid w:val="00A85F0A"/>
    <w:rsid w:val="00A869B7"/>
    <w:rsid w:val="00AC205C"/>
    <w:rsid w:val="00AE49A4"/>
    <w:rsid w:val="00AF0A6B"/>
    <w:rsid w:val="00B002F8"/>
    <w:rsid w:val="00B05A69"/>
    <w:rsid w:val="00B9734B"/>
    <w:rsid w:val="00BA30E2"/>
    <w:rsid w:val="00C0065B"/>
    <w:rsid w:val="00C020C9"/>
    <w:rsid w:val="00C11BFE"/>
    <w:rsid w:val="00C124C5"/>
    <w:rsid w:val="00C5068F"/>
    <w:rsid w:val="00C86D74"/>
    <w:rsid w:val="00CD04F1"/>
    <w:rsid w:val="00CD59F2"/>
    <w:rsid w:val="00CD7C48"/>
    <w:rsid w:val="00CF3DB6"/>
    <w:rsid w:val="00D16647"/>
    <w:rsid w:val="00D3124F"/>
    <w:rsid w:val="00D45252"/>
    <w:rsid w:val="00D62C3B"/>
    <w:rsid w:val="00D71B4D"/>
    <w:rsid w:val="00D93D55"/>
    <w:rsid w:val="00E06C6A"/>
    <w:rsid w:val="00E1219A"/>
    <w:rsid w:val="00E15015"/>
    <w:rsid w:val="00E32CC2"/>
    <w:rsid w:val="00E335FE"/>
    <w:rsid w:val="00EA7D6E"/>
    <w:rsid w:val="00EC4E49"/>
    <w:rsid w:val="00ED77FB"/>
    <w:rsid w:val="00EE45FA"/>
    <w:rsid w:val="00EF7925"/>
    <w:rsid w:val="00F13852"/>
    <w:rsid w:val="00F254DC"/>
    <w:rsid w:val="00F46E6A"/>
    <w:rsid w:val="00F66152"/>
    <w:rsid w:val="00F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6F1CE1A"/>
  <w15:docId w15:val="{643D561A-C9EC-4E50-916B-85117BC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D38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8D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8D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D38D1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3D38D1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D38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D38D1"/>
    <w:rPr>
      <w:rFonts w:ascii="Arial" w:eastAsia="SimSun" w:hAnsi="Arial" w:cs="Arial"/>
      <w:sz w:val="22"/>
      <w:lang w:val="en-US" w:eastAsia="zh-CN"/>
    </w:rPr>
  </w:style>
  <w:style w:type="paragraph" w:customStyle="1" w:styleId="TrowF">
    <w:name w:val="TrowF"/>
    <w:basedOn w:val="Normal"/>
    <w:rsid w:val="00475DAA"/>
    <w:pPr>
      <w:spacing w:before="60"/>
    </w:pPr>
    <w:rPr>
      <w:rFonts w:eastAsia="Times New Roman" w:cs="Times New Roman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612</Words>
  <Characters>3125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CWS/7/19 (in English)</vt:lpstr>
    </vt:vector>
  </TitlesOfParts>
  <Company>WIPO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CWS/7/19 (in English)</dc:title>
  <dc:subject>PROPOSAL FOR THE REVISION OF WIPO STANDARD ST. 60</dc:subject>
  <dc:creator>WIPO</dc:creator>
  <cp:keywords>CWS, WIPO</cp:keywords>
  <cp:lastModifiedBy>DRAKE Sophie</cp:lastModifiedBy>
  <cp:revision>9</cp:revision>
  <cp:lastPrinted>2011-02-15T11:56:00Z</cp:lastPrinted>
  <dcterms:created xsi:type="dcterms:W3CDTF">2019-05-20T09:31:00Z</dcterms:created>
  <dcterms:modified xsi:type="dcterms:W3CDTF">2019-05-22T09:42:00Z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