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52EC54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33C65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4CD6FE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3CFA9968" wp14:editId="74DC001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E08A85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70E6C1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5391D4" w14:textId="77777777"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45D4A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14:paraId="47B9A7C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F54EAA0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145D4A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768F1A2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8678611" w14:textId="3F7C305C" w:rsidR="008B2CC1" w:rsidRPr="0090731E" w:rsidRDefault="008B2CC1" w:rsidP="00382E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382E19">
              <w:rPr>
                <w:rFonts w:ascii="Arial Black" w:hAnsi="Arial Black"/>
                <w:caps/>
                <w:sz w:val="15"/>
              </w:rPr>
              <w:t xml:space="preserve">May </w:t>
            </w:r>
            <w:r w:rsidR="005D144F" w:rsidRPr="005D144F">
              <w:rPr>
                <w:rFonts w:ascii="Arial Black" w:hAnsi="Arial Black"/>
                <w:caps/>
                <w:sz w:val="15"/>
              </w:rPr>
              <w:t>14</w:t>
            </w:r>
            <w:r w:rsidR="00382E19">
              <w:rPr>
                <w:rFonts w:ascii="Arial Black" w:hAnsi="Arial Black"/>
                <w:caps/>
                <w:sz w:val="15"/>
              </w:rPr>
              <w:t>,</w:t>
            </w:r>
            <w:r w:rsidR="00145D4A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AEB6485" w14:textId="77777777" w:rsidR="008B2CC1" w:rsidRPr="008B2CC1" w:rsidRDefault="008B2CC1" w:rsidP="008B2CC1"/>
    <w:p w14:paraId="637C230C" w14:textId="77777777" w:rsidR="008B2CC1" w:rsidRPr="008B2CC1" w:rsidRDefault="008B2CC1" w:rsidP="008B2CC1"/>
    <w:p w14:paraId="2C597062" w14:textId="77777777" w:rsidR="008B2CC1" w:rsidRPr="008B2CC1" w:rsidRDefault="008B2CC1" w:rsidP="008B2CC1"/>
    <w:p w14:paraId="7E391E17" w14:textId="77777777" w:rsidR="008B2CC1" w:rsidRPr="008B2CC1" w:rsidRDefault="008B2CC1" w:rsidP="008B2CC1"/>
    <w:p w14:paraId="704444ED" w14:textId="77777777" w:rsidR="008B2CC1" w:rsidRPr="008B2CC1" w:rsidRDefault="008B2CC1" w:rsidP="008B2CC1"/>
    <w:p w14:paraId="06151995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728328BE" w14:textId="77777777" w:rsidR="003845C1" w:rsidRDefault="003845C1" w:rsidP="003845C1"/>
    <w:p w14:paraId="2CBEE308" w14:textId="77777777" w:rsidR="003845C1" w:rsidRDefault="003845C1" w:rsidP="003845C1"/>
    <w:p w14:paraId="321873DD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6F21A379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78895004" w14:textId="77777777" w:rsidR="008B2CC1" w:rsidRPr="008B2CC1" w:rsidRDefault="008B2CC1" w:rsidP="008B2CC1"/>
    <w:p w14:paraId="46CF9B6B" w14:textId="77777777" w:rsidR="008B2CC1" w:rsidRPr="008B2CC1" w:rsidRDefault="008B2CC1" w:rsidP="008B2CC1"/>
    <w:p w14:paraId="258A3C5A" w14:textId="77777777" w:rsidR="008B2CC1" w:rsidRPr="008B2CC1" w:rsidRDefault="008B2CC1" w:rsidP="008B2CC1"/>
    <w:p w14:paraId="433A126D" w14:textId="77777777" w:rsidR="008B2CC1" w:rsidRPr="003845C1" w:rsidRDefault="00145D4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Rev</w:t>
      </w:r>
      <w:r w:rsidR="00417E7B">
        <w:rPr>
          <w:caps/>
          <w:sz w:val="24"/>
        </w:rPr>
        <w:t>I</w:t>
      </w:r>
      <w:r>
        <w:rPr>
          <w:caps/>
          <w:sz w:val="24"/>
        </w:rPr>
        <w:t>sion of WIPO Standard ST.26</w:t>
      </w:r>
    </w:p>
    <w:p w14:paraId="25E1AF40" w14:textId="77777777" w:rsidR="008B2CC1" w:rsidRPr="008B2CC1" w:rsidRDefault="008B2CC1" w:rsidP="008B2CC1"/>
    <w:p w14:paraId="5E0CE0F2" w14:textId="1BA3C5D3" w:rsidR="008B2CC1" w:rsidRPr="008B2CC1" w:rsidRDefault="00804D92" w:rsidP="008B2CC1">
      <w:pPr>
        <w:rPr>
          <w:i/>
        </w:rPr>
      </w:pPr>
      <w:bookmarkStart w:id="4" w:name="Prepared"/>
      <w:bookmarkEnd w:id="4"/>
      <w:r>
        <w:rPr>
          <w:i/>
        </w:rPr>
        <w:t>Document p</w:t>
      </w:r>
      <w:r w:rsidR="00145D4A">
        <w:rPr>
          <w:i/>
        </w:rPr>
        <w:t xml:space="preserve">repared by the </w:t>
      </w:r>
      <w:r w:rsidR="00183971">
        <w:rPr>
          <w:i/>
        </w:rPr>
        <w:t>International Bureau</w:t>
      </w:r>
    </w:p>
    <w:p w14:paraId="2F1E94AF" w14:textId="77777777" w:rsidR="00AC205C" w:rsidRDefault="00AC205C"/>
    <w:p w14:paraId="433ABF36" w14:textId="77777777" w:rsidR="000F5E56" w:rsidRDefault="000F5E56"/>
    <w:p w14:paraId="79B30F2C" w14:textId="6C4EF40D" w:rsidR="00792BF0" w:rsidRPr="005D144F" w:rsidRDefault="00792BF0" w:rsidP="0053057A">
      <w:pPr>
        <w:rPr>
          <w:u w:val="single"/>
        </w:rPr>
      </w:pPr>
    </w:p>
    <w:p w14:paraId="2BF58039" w14:textId="77777777" w:rsidR="005D144F" w:rsidRDefault="005D144F" w:rsidP="0053057A"/>
    <w:p w14:paraId="209C007C" w14:textId="77777777" w:rsidR="004F7804" w:rsidRDefault="004F7804" w:rsidP="0053057A"/>
    <w:p w14:paraId="655A160D" w14:textId="77777777" w:rsidR="00202DB6" w:rsidRPr="00792BF0" w:rsidRDefault="00202DB6" w:rsidP="00202DB6">
      <w:pPr>
        <w:pStyle w:val="Heading2"/>
        <w:rPr>
          <w:szCs w:val="22"/>
        </w:rPr>
      </w:pPr>
      <w:r w:rsidRPr="00792BF0">
        <w:rPr>
          <w:szCs w:val="22"/>
        </w:rPr>
        <w:t>INTRODUCTION</w:t>
      </w:r>
    </w:p>
    <w:p w14:paraId="007660F1" w14:textId="617A2F7B" w:rsidR="00CD2D80" w:rsidRPr="00792BF0" w:rsidRDefault="000C1B65" w:rsidP="0036684A">
      <w:pPr>
        <w:spacing w:after="24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3B5B74" w:rsidRPr="003B5B74">
        <w:rPr>
          <w:szCs w:val="22"/>
        </w:rPr>
        <w:t xml:space="preserve">At the sixth session of the Committee on WIPO Standards (CWS), held in Geneva in 2018, </w:t>
      </w:r>
      <w:r w:rsidR="004F58A9" w:rsidRPr="00792BF0">
        <w:rPr>
          <w:szCs w:val="22"/>
        </w:rPr>
        <w:t xml:space="preserve">the </w:t>
      </w:r>
      <w:r w:rsidR="00183971">
        <w:rPr>
          <w:szCs w:val="22"/>
        </w:rPr>
        <w:t xml:space="preserve">Sequence Listing </w:t>
      </w:r>
      <w:r w:rsidR="004F58A9" w:rsidRPr="00792BF0">
        <w:rPr>
          <w:szCs w:val="22"/>
        </w:rPr>
        <w:t>Task Force</w:t>
      </w:r>
      <w:r w:rsidR="00183971">
        <w:rPr>
          <w:szCs w:val="22"/>
        </w:rPr>
        <w:t xml:space="preserve"> </w:t>
      </w:r>
      <w:r w:rsidR="00183971" w:rsidRPr="00792BF0">
        <w:rPr>
          <w:szCs w:val="22"/>
        </w:rPr>
        <w:t>(SEQL</w:t>
      </w:r>
      <w:r w:rsidR="00183971">
        <w:rPr>
          <w:szCs w:val="22"/>
        </w:rPr>
        <w:t xml:space="preserve"> </w:t>
      </w:r>
      <w:r w:rsidR="00183971" w:rsidRPr="00792BF0">
        <w:rPr>
          <w:szCs w:val="22"/>
        </w:rPr>
        <w:t>TF)</w:t>
      </w:r>
      <w:r w:rsidR="004F58A9" w:rsidRPr="00792BF0">
        <w:rPr>
          <w:szCs w:val="22"/>
        </w:rPr>
        <w:t xml:space="preserve"> proposed a series of amendments to the </w:t>
      </w:r>
      <w:r w:rsidR="003B5B74">
        <w:rPr>
          <w:szCs w:val="22"/>
        </w:rPr>
        <w:t>WIPO Standard ST.26</w:t>
      </w:r>
      <w:r w:rsidR="004F58A9" w:rsidRPr="00792BF0">
        <w:rPr>
          <w:szCs w:val="22"/>
        </w:rPr>
        <w:t xml:space="preserve"> (see </w:t>
      </w:r>
      <w:r w:rsidR="00183971">
        <w:rPr>
          <w:szCs w:val="22"/>
        </w:rPr>
        <w:t xml:space="preserve">document </w:t>
      </w:r>
      <w:r w:rsidR="004F58A9" w:rsidRPr="00792BF0">
        <w:rPr>
          <w:szCs w:val="22"/>
        </w:rPr>
        <w:t>CWS/6/16)</w:t>
      </w:r>
      <w:r w:rsidR="00A80287">
        <w:rPr>
          <w:szCs w:val="22"/>
        </w:rPr>
        <w:t xml:space="preserve">.  </w:t>
      </w:r>
      <w:r w:rsidR="00A80287" w:rsidRPr="00792BF0">
        <w:rPr>
          <w:szCs w:val="22"/>
        </w:rPr>
        <w:t>T</w:t>
      </w:r>
      <w:r w:rsidR="004F58A9" w:rsidRPr="00792BF0">
        <w:rPr>
          <w:szCs w:val="22"/>
        </w:rPr>
        <w:t xml:space="preserve">hese amendments included modifications to the </w:t>
      </w:r>
      <w:r w:rsidR="003B5B74">
        <w:rPr>
          <w:szCs w:val="22"/>
        </w:rPr>
        <w:t>M</w:t>
      </w:r>
      <w:r w:rsidR="00183971">
        <w:rPr>
          <w:szCs w:val="22"/>
        </w:rPr>
        <w:t xml:space="preserve">ain </w:t>
      </w:r>
      <w:r w:rsidR="003B5B74">
        <w:rPr>
          <w:szCs w:val="22"/>
        </w:rPr>
        <w:t>B</w:t>
      </w:r>
      <w:r w:rsidR="00AF7224">
        <w:rPr>
          <w:szCs w:val="22"/>
        </w:rPr>
        <w:t>ody</w:t>
      </w:r>
      <w:r w:rsidR="004F58A9" w:rsidRPr="00792BF0">
        <w:rPr>
          <w:szCs w:val="22"/>
        </w:rPr>
        <w:t xml:space="preserve"> of the </w:t>
      </w:r>
      <w:proofErr w:type="gramStart"/>
      <w:r w:rsidR="004F58A9" w:rsidRPr="00792BF0">
        <w:rPr>
          <w:szCs w:val="22"/>
        </w:rPr>
        <w:t>Standard</w:t>
      </w:r>
      <w:proofErr w:type="gramEnd"/>
      <w:r w:rsidR="003B5B74">
        <w:rPr>
          <w:szCs w:val="22"/>
        </w:rPr>
        <w:t>,</w:t>
      </w:r>
      <w:r w:rsidR="004F58A9" w:rsidRPr="00792BF0">
        <w:rPr>
          <w:szCs w:val="22"/>
        </w:rPr>
        <w:t xml:space="preserve"> amendments to Annexes I, II, III, IV and VI </w:t>
      </w:r>
      <w:r w:rsidR="00183971">
        <w:rPr>
          <w:szCs w:val="22"/>
        </w:rPr>
        <w:t xml:space="preserve">of WIPO ST.26 </w:t>
      </w:r>
      <w:r w:rsidR="004F58A9" w:rsidRPr="00792BF0">
        <w:rPr>
          <w:szCs w:val="22"/>
        </w:rPr>
        <w:t xml:space="preserve">and </w:t>
      </w:r>
      <w:r w:rsidR="009D558B">
        <w:rPr>
          <w:szCs w:val="22"/>
        </w:rPr>
        <w:t xml:space="preserve">the </w:t>
      </w:r>
      <w:r w:rsidR="004F58A9" w:rsidRPr="00792BF0">
        <w:rPr>
          <w:szCs w:val="22"/>
        </w:rPr>
        <w:t>addition of a new Annex VII which provid</w:t>
      </w:r>
      <w:r w:rsidR="009D558B">
        <w:rPr>
          <w:szCs w:val="22"/>
        </w:rPr>
        <w:t>es</w:t>
      </w:r>
      <w:r w:rsidR="004F58A9" w:rsidRPr="00792BF0">
        <w:rPr>
          <w:szCs w:val="22"/>
        </w:rPr>
        <w:t xml:space="preserve"> a transformation mapping between WIPO </w:t>
      </w:r>
      <w:r w:rsidR="009D558B">
        <w:rPr>
          <w:szCs w:val="22"/>
        </w:rPr>
        <w:t xml:space="preserve">Standard </w:t>
      </w:r>
      <w:r w:rsidR="004F58A9" w:rsidRPr="00792BF0">
        <w:rPr>
          <w:szCs w:val="22"/>
        </w:rPr>
        <w:t xml:space="preserve">ST.25 and WIPO </w:t>
      </w:r>
      <w:r w:rsidR="009D558B">
        <w:rPr>
          <w:szCs w:val="22"/>
        </w:rPr>
        <w:t>Standard</w:t>
      </w:r>
      <w:r w:rsidR="009D558B" w:rsidRPr="00792BF0">
        <w:rPr>
          <w:szCs w:val="22"/>
        </w:rPr>
        <w:t xml:space="preserve"> </w:t>
      </w:r>
      <w:r w:rsidR="004F58A9" w:rsidRPr="00792BF0">
        <w:rPr>
          <w:szCs w:val="22"/>
        </w:rPr>
        <w:t>ST.26</w:t>
      </w:r>
      <w:r w:rsidR="00A80287">
        <w:rPr>
          <w:szCs w:val="22"/>
        </w:rPr>
        <w:t xml:space="preserve">.  </w:t>
      </w:r>
      <w:r w:rsidR="00A80287" w:rsidRPr="00792BF0">
        <w:rPr>
          <w:szCs w:val="22"/>
        </w:rPr>
        <w:t>T</w:t>
      </w:r>
      <w:r w:rsidR="004F58A9" w:rsidRPr="00792BF0">
        <w:rPr>
          <w:szCs w:val="22"/>
        </w:rPr>
        <w:t xml:space="preserve">he CWS </w:t>
      </w:r>
      <w:r w:rsidR="00183971">
        <w:rPr>
          <w:szCs w:val="22"/>
        </w:rPr>
        <w:t>approved</w:t>
      </w:r>
      <w:r w:rsidR="00183971" w:rsidRPr="00792BF0">
        <w:rPr>
          <w:szCs w:val="22"/>
        </w:rPr>
        <w:t xml:space="preserve"> </w:t>
      </w:r>
      <w:r w:rsidR="0036684A" w:rsidRPr="00792BF0">
        <w:rPr>
          <w:szCs w:val="22"/>
        </w:rPr>
        <w:t xml:space="preserve">a new version of the </w:t>
      </w:r>
      <w:proofErr w:type="gramStart"/>
      <w:r w:rsidR="0036684A" w:rsidRPr="00792BF0">
        <w:rPr>
          <w:szCs w:val="22"/>
        </w:rPr>
        <w:t>Standard</w:t>
      </w:r>
      <w:proofErr w:type="gramEnd"/>
      <w:r w:rsidR="0036684A" w:rsidRPr="00792BF0">
        <w:rPr>
          <w:szCs w:val="22"/>
        </w:rPr>
        <w:t xml:space="preserve">, version 1.2, which included the proposed changes captured </w:t>
      </w:r>
      <w:r w:rsidR="00183971">
        <w:rPr>
          <w:szCs w:val="22"/>
        </w:rPr>
        <w:t xml:space="preserve">in document </w:t>
      </w:r>
      <w:r w:rsidR="00183971" w:rsidRPr="00792BF0">
        <w:rPr>
          <w:szCs w:val="22"/>
        </w:rPr>
        <w:t>CWS/6/16</w:t>
      </w:r>
      <w:r w:rsidR="0036684A" w:rsidRPr="00792BF0">
        <w:rPr>
          <w:szCs w:val="22"/>
        </w:rPr>
        <w:t xml:space="preserve"> but also with the addition of the following:</w:t>
      </w:r>
    </w:p>
    <w:p w14:paraId="5871BD63" w14:textId="77777777" w:rsidR="0036684A" w:rsidRPr="00792BF0" w:rsidRDefault="0036684A" w:rsidP="0036684A">
      <w:pPr>
        <w:pStyle w:val="ListParagraph"/>
        <w:numPr>
          <w:ilvl w:val="0"/>
          <w:numId w:val="16"/>
        </w:numPr>
        <w:rPr>
          <w:szCs w:val="22"/>
        </w:rPr>
      </w:pPr>
      <w:r w:rsidRPr="00792BF0">
        <w:rPr>
          <w:szCs w:val="22"/>
        </w:rPr>
        <w:t>replacement of the word ‘legal’ with ‘permitted’ in three separate instances;</w:t>
      </w:r>
    </w:p>
    <w:p w14:paraId="1E7B75E1" w14:textId="77777777" w:rsidR="0036684A" w:rsidRPr="00792BF0" w:rsidRDefault="0036684A" w:rsidP="0036684A">
      <w:pPr>
        <w:pStyle w:val="ListParagraph"/>
        <w:numPr>
          <w:ilvl w:val="0"/>
          <w:numId w:val="16"/>
        </w:numPr>
        <w:rPr>
          <w:szCs w:val="22"/>
        </w:rPr>
      </w:pPr>
      <w:r w:rsidRPr="00792BF0">
        <w:rPr>
          <w:szCs w:val="22"/>
        </w:rPr>
        <w:t>replacement of the word ‘portion(s)’ with ‘regions’ in 15 separate instances within the Annex VI Guidance Documents; and</w:t>
      </w:r>
    </w:p>
    <w:p w14:paraId="016601CC" w14:textId="3D56747E" w:rsidR="0036684A" w:rsidRDefault="0036684A" w:rsidP="00792BF0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</w:rPr>
      </w:pPr>
      <w:proofErr w:type="gramStart"/>
      <w:r w:rsidRPr="00792BF0">
        <w:rPr>
          <w:szCs w:val="22"/>
        </w:rPr>
        <w:t>addition</w:t>
      </w:r>
      <w:proofErr w:type="gramEnd"/>
      <w:r w:rsidRPr="00792BF0">
        <w:rPr>
          <w:szCs w:val="22"/>
        </w:rPr>
        <w:t xml:space="preserve"> of a new sentence: ‘The nucleotide sequence feature key “modified base” is also present in both </w:t>
      </w:r>
      <w:r w:rsidR="009D558B">
        <w:rPr>
          <w:szCs w:val="22"/>
        </w:rPr>
        <w:t xml:space="preserve">WIPO </w:t>
      </w:r>
      <w:r w:rsidRPr="00792BF0">
        <w:rPr>
          <w:szCs w:val="22"/>
        </w:rPr>
        <w:t xml:space="preserve">ST.25 and ST.26; however, Scenario 7 contains appropriate recommendations’ after the first in Scenario 9 for Annex VII Recommendation for the Transformation of a Sequence Listing from ST.25 to ST.26. </w:t>
      </w:r>
    </w:p>
    <w:p w14:paraId="14D66242" w14:textId="015F6C47" w:rsidR="003B5B74" w:rsidRPr="003B5B74" w:rsidRDefault="003B5B74" w:rsidP="00B36DD8">
      <w:pPr>
        <w:keepNext/>
        <w:keepLines/>
        <w:spacing w:after="220"/>
        <w:rPr>
          <w:szCs w:val="22"/>
        </w:rPr>
      </w:pPr>
      <w:r w:rsidRPr="003B5B74">
        <w:rPr>
          <w:szCs w:val="22"/>
        </w:rPr>
        <w:lastRenderedPageBreak/>
        <w:t>2.</w:t>
      </w:r>
      <w:r w:rsidRPr="003B5B74">
        <w:rPr>
          <w:szCs w:val="22"/>
        </w:rPr>
        <w:tab/>
      </w:r>
      <w:r>
        <w:rPr>
          <w:szCs w:val="22"/>
        </w:rPr>
        <w:t>At its</w:t>
      </w:r>
      <w:r w:rsidRPr="003B5B74">
        <w:rPr>
          <w:szCs w:val="22"/>
        </w:rPr>
        <w:t xml:space="preserve"> sixth session of the CWS </w:t>
      </w:r>
      <w:r>
        <w:rPr>
          <w:szCs w:val="22"/>
        </w:rPr>
        <w:t xml:space="preserve">also </w:t>
      </w:r>
      <w:r w:rsidRPr="003B5B74">
        <w:rPr>
          <w:szCs w:val="22"/>
        </w:rPr>
        <w:t>agreed to modify the description of Task No. 44 to read as follows:</w:t>
      </w:r>
    </w:p>
    <w:p w14:paraId="0E1C03FB" w14:textId="24DCE2BB" w:rsidR="003B5B74" w:rsidRPr="003B5B74" w:rsidRDefault="003B5B74" w:rsidP="00B36DD8">
      <w:pPr>
        <w:pStyle w:val="ListParagraph"/>
        <w:keepNext/>
        <w:keepLines/>
        <w:numPr>
          <w:ilvl w:val="0"/>
          <w:numId w:val="16"/>
        </w:numPr>
        <w:spacing w:after="220"/>
        <w:rPr>
          <w:szCs w:val="22"/>
        </w:rPr>
      </w:pPr>
      <w:r w:rsidRPr="003B5B74">
        <w:rPr>
          <w:szCs w:val="22"/>
        </w:rPr>
        <w:t>“Support the International Bureau by providing users’ requirements and feedback on the ST.26 authoring and validation software tool; support the International Bureau in the consequential revisions of PCT Administrative Instructions; and prepare necessary revisions of WIPO ST.26.”</w:t>
      </w:r>
    </w:p>
    <w:p w14:paraId="38BFD799" w14:textId="75EA71BA" w:rsidR="00AF7224" w:rsidRPr="008C7F45" w:rsidRDefault="003B5B74" w:rsidP="008C7F45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As a result, that latest version of WIPO ST.26, v</w:t>
      </w:r>
      <w:r w:rsidR="00AF7224" w:rsidRPr="008C7F45">
        <w:rPr>
          <w:szCs w:val="22"/>
        </w:rPr>
        <w:t>ersion 1.2</w:t>
      </w:r>
      <w:r>
        <w:rPr>
          <w:szCs w:val="22"/>
        </w:rPr>
        <w:t>,</w:t>
      </w:r>
      <w:r w:rsidR="00AF7224" w:rsidRPr="008C7F45">
        <w:rPr>
          <w:szCs w:val="22"/>
        </w:rPr>
        <w:t xml:space="preserve"> </w:t>
      </w:r>
      <w:proofErr w:type="gramStart"/>
      <w:r w:rsidR="00AF7224" w:rsidRPr="008C7F45">
        <w:rPr>
          <w:szCs w:val="22"/>
        </w:rPr>
        <w:t>was published</w:t>
      </w:r>
      <w:proofErr w:type="gramEnd"/>
      <w:r w:rsidR="00AF7224" w:rsidRPr="008C7F45">
        <w:rPr>
          <w:szCs w:val="22"/>
        </w:rPr>
        <w:t xml:space="preserve"> in February 2019. </w:t>
      </w:r>
    </w:p>
    <w:p w14:paraId="0D7FBF93" w14:textId="4B4FFAF1" w:rsidR="00363D39" w:rsidRDefault="0036684A" w:rsidP="00792BF0">
      <w:pPr>
        <w:spacing w:after="22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  <w:t xml:space="preserve">There have been two Task Force meetings to discuss revisions to WIPO ST.26: one during the sixth session of </w:t>
      </w:r>
      <w:r w:rsidR="00183971">
        <w:rPr>
          <w:szCs w:val="22"/>
        </w:rPr>
        <w:t xml:space="preserve">the </w:t>
      </w:r>
      <w:r w:rsidRPr="00792BF0">
        <w:rPr>
          <w:szCs w:val="22"/>
        </w:rPr>
        <w:t xml:space="preserve">CWS in October 2018 </w:t>
      </w:r>
      <w:r w:rsidR="00183971">
        <w:rPr>
          <w:szCs w:val="22"/>
        </w:rPr>
        <w:t xml:space="preserve">in person </w:t>
      </w:r>
      <w:r w:rsidRPr="00792BF0">
        <w:rPr>
          <w:szCs w:val="22"/>
        </w:rPr>
        <w:t>and one in April 2019</w:t>
      </w:r>
      <w:r w:rsidR="00183971">
        <w:rPr>
          <w:szCs w:val="22"/>
        </w:rPr>
        <w:t xml:space="preserve"> via online con</w:t>
      </w:r>
      <w:r w:rsidR="001A2367">
        <w:rPr>
          <w:szCs w:val="22"/>
        </w:rPr>
        <w:t>f</w:t>
      </w:r>
      <w:r w:rsidR="00183971">
        <w:rPr>
          <w:szCs w:val="22"/>
        </w:rPr>
        <w:t>erence</w:t>
      </w:r>
      <w:r w:rsidRPr="00792BF0">
        <w:rPr>
          <w:szCs w:val="22"/>
        </w:rPr>
        <w:t xml:space="preserve">. </w:t>
      </w:r>
    </w:p>
    <w:p w14:paraId="78E51688" w14:textId="77777777" w:rsidR="00CD2D80" w:rsidRPr="00792BF0" w:rsidRDefault="005414BF" w:rsidP="00CD2D80">
      <w:pPr>
        <w:pStyle w:val="Heading2"/>
        <w:rPr>
          <w:szCs w:val="22"/>
        </w:rPr>
      </w:pPr>
      <w:r w:rsidRPr="00792BF0">
        <w:rPr>
          <w:caps w:val="0"/>
          <w:szCs w:val="22"/>
        </w:rPr>
        <w:t>SUMMARY OF THE PROPOSED REVISION</w:t>
      </w:r>
    </w:p>
    <w:p w14:paraId="079E5F16" w14:textId="4814ADC2" w:rsidR="002928D3" w:rsidRPr="00792BF0" w:rsidRDefault="00F02A99" w:rsidP="00F02A99">
      <w:pPr>
        <w:pStyle w:val="Heading3"/>
        <w:rPr>
          <w:szCs w:val="22"/>
        </w:rPr>
      </w:pPr>
      <w:r w:rsidRPr="00792BF0">
        <w:rPr>
          <w:szCs w:val="22"/>
        </w:rPr>
        <w:t>Editorial Changes</w:t>
      </w:r>
    </w:p>
    <w:p w14:paraId="61B2963F" w14:textId="635F6A65" w:rsidR="00DA3F74" w:rsidRPr="00792BF0" w:rsidRDefault="000C1B65" w:rsidP="00792BF0">
      <w:pPr>
        <w:spacing w:after="22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5C681B">
        <w:rPr>
          <w:szCs w:val="22"/>
        </w:rPr>
        <w:t>Within the framework of</w:t>
      </w:r>
      <w:r w:rsidR="00A51ED3" w:rsidRPr="00792BF0">
        <w:rPr>
          <w:szCs w:val="22"/>
        </w:rPr>
        <w:t xml:space="preserve"> </w:t>
      </w:r>
      <w:r w:rsidR="003B78EA" w:rsidRPr="00792BF0">
        <w:rPr>
          <w:szCs w:val="22"/>
        </w:rPr>
        <w:t xml:space="preserve">Task No.44, </w:t>
      </w:r>
      <w:r w:rsidR="00EF46E5" w:rsidRPr="00792BF0">
        <w:rPr>
          <w:szCs w:val="22"/>
        </w:rPr>
        <w:t xml:space="preserve">the </w:t>
      </w:r>
      <w:r w:rsidR="0036684A" w:rsidRPr="00792BF0">
        <w:rPr>
          <w:szCs w:val="22"/>
        </w:rPr>
        <w:t>SEQL</w:t>
      </w:r>
      <w:r w:rsidR="00F65B72">
        <w:rPr>
          <w:szCs w:val="22"/>
        </w:rPr>
        <w:t xml:space="preserve"> </w:t>
      </w:r>
      <w:r w:rsidR="0036684A" w:rsidRPr="00792BF0">
        <w:rPr>
          <w:szCs w:val="22"/>
        </w:rPr>
        <w:t>TF</w:t>
      </w:r>
      <w:r w:rsidR="00EF46E5" w:rsidRPr="00792BF0">
        <w:rPr>
          <w:szCs w:val="22"/>
        </w:rPr>
        <w:t xml:space="preserve"> carried out a review of the currently published</w:t>
      </w:r>
      <w:r w:rsidR="0036684A" w:rsidRPr="00792BF0">
        <w:rPr>
          <w:szCs w:val="22"/>
        </w:rPr>
        <w:t xml:space="preserve"> version of </w:t>
      </w:r>
      <w:r w:rsidR="009D558B">
        <w:rPr>
          <w:szCs w:val="22"/>
        </w:rPr>
        <w:t xml:space="preserve">WIPO </w:t>
      </w:r>
      <w:r w:rsidR="0036684A" w:rsidRPr="00792BF0">
        <w:rPr>
          <w:szCs w:val="22"/>
        </w:rPr>
        <w:t xml:space="preserve">ST.26 version </w:t>
      </w:r>
      <w:r w:rsidR="00EF46E5" w:rsidRPr="00792BF0">
        <w:rPr>
          <w:szCs w:val="22"/>
        </w:rPr>
        <w:t>1.2</w:t>
      </w:r>
      <w:r w:rsidR="00A80287">
        <w:rPr>
          <w:szCs w:val="22"/>
        </w:rPr>
        <w:t xml:space="preserve">.  </w:t>
      </w:r>
      <w:r w:rsidR="00A80287" w:rsidRPr="00792BF0">
        <w:rPr>
          <w:szCs w:val="22"/>
        </w:rPr>
        <w:t>D</w:t>
      </w:r>
      <w:r w:rsidR="00EF46E5" w:rsidRPr="00792BF0">
        <w:rPr>
          <w:szCs w:val="22"/>
        </w:rPr>
        <w:t>uring this review, they uncovered a series of</w:t>
      </w:r>
      <w:r w:rsidR="00751D1C" w:rsidRPr="00792BF0">
        <w:rPr>
          <w:szCs w:val="22"/>
        </w:rPr>
        <w:t xml:space="preserve"> required</w:t>
      </w:r>
      <w:r w:rsidR="00EF46E5" w:rsidRPr="00792BF0">
        <w:rPr>
          <w:szCs w:val="22"/>
        </w:rPr>
        <w:t xml:space="preserve"> editorial changes, such </w:t>
      </w:r>
      <w:r w:rsidR="00751D1C" w:rsidRPr="00792BF0">
        <w:rPr>
          <w:szCs w:val="22"/>
        </w:rPr>
        <w:t xml:space="preserve">as </w:t>
      </w:r>
      <w:r w:rsidR="00EF46E5" w:rsidRPr="00792BF0">
        <w:rPr>
          <w:szCs w:val="22"/>
        </w:rPr>
        <w:t>unnecessary spaces</w:t>
      </w:r>
      <w:r w:rsidR="00104584" w:rsidRPr="00792BF0">
        <w:rPr>
          <w:szCs w:val="22"/>
        </w:rPr>
        <w:t xml:space="preserve"> or typographical errors</w:t>
      </w:r>
      <w:r w:rsidR="00A80287">
        <w:rPr>
          <w:szCs w:val="22"/>
        </w:rPr>
        <w:t xml:space="preserve">.  </w:t>
      </w:r>
      <w:r w:rsidR="00A80287" w:rsidRPr="00792BF0">
        <w:rPr>
          <w:szCs w:val="22"/>
        </w:rPr>
        <w:t>T</w:t>
      </w:r>
      <w:r w:rsidR="0077455E" w:rsidRPr="00792BF0">
        <w:rPr>
          <w:szCs w:val="22"/>
        </w:rPr>
        <w:t xml:space="preserve">here were also </w:t>
      </w:r>
      <w:r w:rsidR="00183971">
        <w:rPr>
          <w:szCs w:val="22"/>
        </w:rPr>
        <w:t>corrections</w:t>
      </w:r>
      <w:r w:rsidR="0077455E" w:rsidRPr="00792BF0">
        <w:rPr>
          <w:szCs w:val="22"/>
        </w:rPr>
        <w:t xml:space="preserve"> required to ensure that the WIPO Style Guide was being reflected properly within this document such as ensuring that the Latin abbreviation used to replace ‘for example’ was consistently ‘e.g.,’.</w:t>
      </w:r>
      <w:r w:rsidR="00CA7B97">
        <w:rPr>
          <w:szCs w:val="22"/>
        </w:rPr>
        <w:t xml:space="preserve"> </w:t>
      </w:r>
    </w:p>
    <w:p w14:paraId="1B3AE520" w14:textId="0003A632" w:rsidR="00EF46E5" w:rsidRPr="00792BF0" w:rsidRDefault="000C1B65" w:rsidP="00792BF0">
      <w:pPr>
        <w:spacing w:after="22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DA3F74" w:rsidRPr="00792BF0">
        <w:rPr>
          <w:szCs w:val="22"/>
        </w:rPr>
        <w:t xml:space="preserve">These </w:t>
      </w:r>
      <w:r w:rsidR="00183971">
        <w:rPr>
          <w:szCs w:val="22"/>
        </w:rPr>
        <w:t>corrections</w:t>
      </w:r>
      <w:r w:rsidR="00DA3F74" w:rsidRPr="00792BF0">
        <w:rPr>
          <w:szCs w:val="22"/>
        </w:rPr>
        <w:t xml:space="preserve"> </w:t>
      </w:r>
      <w:proofErr w:type="gramStart"/>
      <w:r w:rsidR="00DA3F74" w:rsidRPr="00792BF0">
        <w:rPr>
          <w:szCs w:val="22"/>
        </w:rPr>
        <w:t xml:space="preserve">are </w:t>
      </w:r>
      <w:r w:rsidR="00EF46E5" w:rsidRPr="00792BF0">
        <w:rPr>
          <w:szCs w:val="22"/>
        </w:rPr>
        <w:t>identified</w:t>
      </w:r>
      <w:proofErr w:type="gramEnd"/>
      <w:r w:rsidR="00EF46E5" w:rsidRPr="00792BF0">
        <w:rPr>
          <w:szCs w:val="22"/>
        </w:rPr>
        <w:t xml:space="preserve"> in</w:t>
      </w:r>
      <w:r w:rsidR="009D558B">
        <w:rPr>
          <w:szCs w:val="22"/>
        </w:rPr>
        <w:t xml:space="preserve"> </w:t>
      </w:r>
      <w:r w:rsidR="008444D0">
        <w:rPr>
          <w:szCs w:val="22"/>
        </w:rPr>
        <w:t>the Annex</w:t>
      </w:r>
      <w:r w:rsidR="001A2367" w:rsidRPr="00792BF0">
        <w:rPr>
          <w:szCs w:val="22"/>
        </w:rPr>
        <w:t xml:space="preserve"> </w:t>
      </w:r>
      <w:r w:rsidR="00837164">
        <w:rPr>
          <w:szCs w:val="22"/>
        </w:rPr>
        <w:t>to this document</w:t>
      </w:r>
      <w:r w:rsidR="008444D0">
        <w:rPr>
          <w:szCs w:val="22"/>
        </w:rPr>
        <w:t xml:space="preserve"> (Annex I of WIPO ST.26)</w:t>
      </w:r>
      <w:r w:rsidR="00837164">
        <w:rPr>
          <w:szCs w:val="22"/>
        </w:rPr>
        <w:t xml:space="preserve"> </w:t>
      </w:r>
      <w:r w:rsidR="00DA3F74" w:rsidRPr="00792BF0">
        <w:rPr>
          <w:szCs w:val="22"/>
        </w:rPr>
        <w:t xml:space="preserve">using </w:t>
      </w:r>
      <w:r w:rsidR="00EF46E5" w:rsidRPr="00792BF0">
        <w:rPr>
          <w:szCs w:val="22"/>
        </w:rPr>
        <w:t>green</w:t>
      </w:r>
      <w:r w:rsidR="00DA3F74" w:rsidRPr="00792BF0">
        <w:rPr>
          <w:szCs w:val="22"/>
        </w:rPr>
        <w:t xml:space="preserve"> highlighted text</w:t>
      </w:r>
      <w:r w:rsidR="00433341">
        <w:rPr>
          <w:szCs w:val="22"/>
        </w:rPr>
        <w:t xml:space="preserve"> for consideration</w:t>
      </w:r>
      <w:r w:rsidR="00AA563A">
        <w:rPr>
          <w:szCs w:val="22"/>
        </w:rPr>
        <w:t xml:space="preserve"> </w:t>
      </w:r>
      <w:r w:rsidR="00EF46E5" w:rsidRPr="00792BF0">
        <w:rPr>
          <w:szCs w:val="22"/>
        </w:rPr>
        <w:t xml:space="preserve">by </w:t>
      </w:r>
      <w:r w:rsidR="0036684A" w:rsidRPr="00792BF0">
        <w:rPr>
          <w:szCs w:val="22"/>
        </w:rPr>
        <w:t>the CWS during the seventh session</w:t>
      </w:r>
      <w:r w:rsidR="00EF46E5" w:rsidRPr="00792BF0">
        <w:rPr>
          <w:szCs w:val="22"/>
        </w:rPr>
        <w:t xml:space="preserve">. </w:t>
      </w:r>
      <w:r w:rsidR="005C681B">
        <w:rPr>
          <w:szCs w:val="22"/>
        </w:rPr>
        <w:t xml:space="preserve">There were editorial changes identified by the Task Force in Annexes I to VII of WIPO ST.26, although only Annex I is produced as part of this document.  </w:t>
      </w:r>
    </w:p>
    <w:p w14:paraId="3D74C83A" w14:textId="77777777" w:rsidR="0077455E" w:rsidRPr="00792BF0" w:rsidRDefault="00F02A99" w:rsidP="0077455E">
      <w:pPr>
        <w:pStyle w:val="Heading3"/>
        <w:rPr>
          <w:szCs w:val="22"/>
        </w:rPr>
      </w:pPr>
      <w:r w:rsidRPr="00792BF0">
        <w:rPr>
          <w:szCs w:val="22"/>
        </w:rPr>
        <w:t>Substantive Changes</w:t>
      </w:r>
    </w:p>
    <w:p w14:paraId="44323D79" w14:textId="7A9CA099" w:rsidR="00EF46E5" w:rsidRPr="00792BF0" w:rsidRDefault="000C1B65" w:rsidP="0077455E">
      <w:pPr>
        <w:spacing w:after="24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7B4DD2" w:rsidRPr="00792BF0">
        <w:rPr>
          <w:szCs w:val="22"/>
        </w:rPr>
        <w:t xml:space="preserve">The following changes </w:t>
      </w:r>
      <w:proofErr w:type="gramStart"/>
      <w:r w:rsidR="007B4DD2" w:rsidRPr="00792BF0">
        <w:rPr>
          <w:szCs w:val="22"/>
        </w:rPr>
        <w:t>are proposed</w:t>
      </w:r>
      <w:proofErr w:type="gramEnd"/>
      <w:r w:rsidR="003B5B74">
        <w:rPr>
          <w:szCs w:val="22"/>
        </w:rPr>
        <w:t xml:space="preserve"> by the SEQL TF</w:t>
      </w:r>
      <w:r w:rsidR="007B4DD2" w:rsidRPr="00792BF0">
        <w:rPr>
          <w:szCs w:val="22"/>
        </w:rPr>
        <w:t xml:space="preserve"> to </w:t>
      </w:r>
      <w:r w:rsidR="005C681B">
        <w:rPr>
          <w:szCs w:val="22"/>
        </w:rPr>
        <w:t xml:space="preserve">further </w:t>
      </w:r>
      <w:r w:rsidR="007B4DD2" w:rsidRPr="00792BF0">
        <w:rPr>
          <w:szCs w:val="22"/>
        </w:rPr>
        <w:t xml:space="preserve">revise </w:t>
      </w:r>
      <w:r w:rsidR="00104584" w:rsidRPr="00792BF0">
        <w:rPr>
          <w:szCs w:val="22"/>
        </w:rPr>
        <w:t>Annexes</w:t>
      </w:r>
      <w:r w:rsidR="005C681B">
        <w:rPr>
          <w:szCs w:val="22"/>
        </w:rPr>
        <w:t xml:space="preserve"> I and VII</w:t>
      </w:r>
      <w:r w:rsidR="00104584" w:rsidRPr="00792BF0">
        <w:rPr>
          <w:szCs w:val="22"/>
        </w:rPr>
        <w:t xml:space="preserve"> </w:t>
      </w:r>
      <w:r w:rsidR="00AA563A">
        <w:rPr>
          <w:szCs w:val="22"/>
        </w:rPr>
        <w:t>of WIPO ST.26</w:t>
      </w:r>
      <w:r w:rsidR="005803C0" w:rsidRPr="00792BF0">
        <w:rPr>
          <w:szCs w:val="22"/>
        </w:rPr>
        <w:t xml:space="preserve">, as identified in the Annex </w:t>
      </w:r>
      <w:r w:rsidR="00751D1C" w:rsidRPr="00792BF0">
        <w:rPr>
          <w:szCs w:val="22"/>
        </w:rPr>
        <w:t>using</w:t>
      </w:r>
      <w:r w:rsidR="00974DBC" w:rsidRPr="00792BF0">
        <w:rPr>
          <w:szCs w:val="22"/>
        </w:rPr>
        <w:t xml:space="preserve"> yellow </w:t>
      </w:r>
      <w:r w:rsidR="00751D1C" w:rsidRPr="00792BF0">
        <w:rPr>
          <w:szCs w:val="22"/>
        </w:rPr>
        <w:t xml:space="preserve">highlight </w:t>
      </w:r>
      <w:r w:rsidR="00974DBC" w:rsidRPr="00792BF0">
        <w:rPr>
          <w:szCs w:val="22"/>
        </w:rPr>
        <w:t>for additions and purple</w:t>
      </w:r>
      <w:r w:rsidR="00751D1C" w:rsidRPr="00792BF0">
        <w:rPr>
          <w:szCs w:val="22"/>
        </w:rPr>
        <w:t xml:space="preserve"> highlight</w:t>
      </w:r>
      <w:r w:rsidR="00974DBC" w:rsidRPr="00792BF0">
        <w:rPr>
          <w:szCs w:val="22"/>
        </w:rPr>
        <w:t xml:space="preserve"> for deletions</w:t>
      </w:r>
      <w:r w:rsidR="00A80287">
        <w:rPr>
          <w:szCs w:val="22"/>
        </w:rPr>
        <w:t xml:space="preserve">.  </w:t>
      </w:r>
      <w:r w:rsidR="00A80287" w:rsidRPr="00792BF0">
        <w:rPr>
          <w:szCs w:val="22"/>
        </w:rPr>
        <w:t>N</w:t>
      </w:r>
      <w:r w:rsidR="00CC38F2" w:rsidRPr="00792BF0">
        <w:rPr>
          <w:szCs w:val="22"/>
        </w:rPr>
        <w:t xml:space="preserve">o substantial changes </w:t>
      </w:r>
      <w:proofErr w:type="gramStart"/>
      <w:r w:rsidR="00751D1C" w:rsidRPr="00792BF0">
        <w:rPr>
          <w:szCs w:val="22"/>
        </w:rPr>
        <w:t>are</w:t>
      </w:r>
      <w:r w:rsidR="00CC38F2" w:rsidRPr="00792BF0">
        <w:rPr>
          <w:szCs w:val="22"/>
        </w:rPr>
        <w:t xml:space="preserve"> proposed</w:t>
      </w:r>
      <w:proofErr w:type="gramEnd"/>
      <w:r w:rsidR="00CC38F2" w:rsidRPr="00792BF0">
        <w:rPr>
          <w:szCs w:val="22"/>
        </w:rPr>
        <w:t xml:space="preserve"> for the </w:t>
      </w:r>
      <w:r w:rsidR="008444D0">
        <w:rPr>
          <w:szCs w:val="22"/>
        </w:rPr>
        <w:t>M</w:t>
      </w:r>
      <w:r w:rsidR="00CC38F2" w:rsidRPr="00792BF0">
        <w:rPr>
          <w:szCs w:val="22"/>
        </w:rPr>
        <w:t xml:space="preserve">ain </w:t>
      </w:r>
      <w:r w:rsidR="005C681B">
        <w:rPr>
          <w:szCs w:val="22"/>
        </w:rPr>
        <w:t>B</w:t>
      </w:r>
      <w:r w:rsidR="001A2367">
        <w:rPr>
          <w:szCs w:val="22"/>
        </w:rPr>
        <w:t>ody</w:t>
      </w:r>
      <w:r w:rsidR="00AA563A">
        <w:rPr>
          <w:szCs w:val="22"/>
        </w:rPr>
        <w:t xml:space="preserve"> of WIPO ST.26</w:t>
      </w:r>
      <w:r w:rsidR="007B4DD2" w:rsidRPr="00792BF0">
        <w:rPr>
          <w:szCs w:val="22"/>
        </w:rPr>
        <w:t>:</w:t>
      </w:r>
    </w:p>
    <w:p w14:paraId="566D3415" w14:textId="77777777" w:rsidR="007B4DD2" w:rsidRPr="00792BF0" w:rsidRDefault="00104584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t>An update to Annex I</w:t>
      </w:r>
      <w:r w:rsidR="00AA563A">
        <w:rPr>
          <w:szCs w:val="22"/>
        </w:rPr>
        <w:t>,</w:t>
      </w:r>
      <w:r w:rsidR="00382293" w:rsidRPr="00792BF0">
        <w:rPr>
          <w:szCs w:val="22"/>
        </w:rPr>
        <w:t xml:space="preserve"> Table 9 to incorporate</w:t>
      </w:r>
      <w:r w:rsidRPr="00792BF0">
        <w:rPr>
          <w:szCs w:val="22"/>
        </w:rPr>
        <w:t xml:space="preserve"> u</w:t>
      </w:r>
      <w:r w:rsidR="003B78EA" w:rsidRPr="00792BF0">
        <w:rPr>
          <w:szCs w:val="22"/>
        </w:rPr>
        <w:t xml:space="preserve">pdates </w:t>
      </w:r>
      <w:r w:rsidR="00382293" w:rsidRPr="00792BF0">
        <w:rPr>
          <w:szCs w:val="22"/>
        </w:rPr>
        <w:t>provided in</w:t>
      </w:r>
      <w:r w:rsidR="003B78EA" w:rsidRPr="00792BF0">
        <w:rPr>
          <w:szCs w:val="22"/>
        </w:rPr>
        <w:t xml:space="preserve"> I</w:t>
      </w:r>
      <w:r w:rsidR="00382293" w:rsidRPr="00792BF0">
        <w:rPr>
          <w:szCs w:val="22"/>
        </w:rPr>
        <w:t>N</w:t>
      </w:r>
      <w:r w:rsidR="003B78EA" w:rsidRPr="00792BF0">
        <w:rPr>
          <w:szCs w:val="22"/>
        </w:rPr>
        <w:t xml:space="preserve">SDC feature </w:t>
      </w:r>
      <w:r w:rsidR="00804D92">
        <w:rPr>
          <w:szCs w:val="22"/>
        </w:rPr>
        <w:t>table version 10.8;</w:t>
      </w:r>
    </w:p>
    <w:p w14:paraId="50023CF3" w14:textId="77777777" w:rsidR="00A11BE9" w:rsidRPr="00792BF0" w:rsidRDefault="00B22C99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t xml:space="preserve">In Annex I, </w:t>
      </w:r>
      <w:r w:rsidR="00A11BE9" w:rsidRPr="00792BF0">
        <w:rPr>
          <w:szCs w:val="22"/>
        </w:rPr>
        <w:t>Section 5.27, including the following additional optional qualifiers:</w:t>
      </w:r>
    </w:p>
    <w:p w14:paraId="00E90C86" w14:textId="77777777" w:rsidR="00974DBC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function</w:t>
      </w:r>
    </w:p>
    <w:p w14:paraId="079226C8" w14:textId="77777777" w:rsidR="00A11BE9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gene</w:t>
      </w:r>
    </w:p>
    <w:p w14:paraId="0CE67FAE" w14:textId="77777777" w:rsidR="00A11BE9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proofErr w:type="spellStart"/>
      <w:r w:rsidRPr="00792BF0">
        <w:rPr>
          <w:szCs w:val="22"/>
        </w:rPr>
        <w:t>gene_synonym</w:t>
      </w:r>
      <w:proofErr w:type="spellEnd"/>
    </w:p>
    <w:p w14:paraId="01BCFDF5" w14:textId="77777777" w:rsidR="00A11BE9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 w:rsidRPr="00792BF0">
        <w:rPr>
          <w:szCs w:val="22"/>
        </w:rPr>
        <w:t>map</w:t>
      </w:r>
    </w:p>
    <w:p w14:paraId="4A6763A0" w14:textId="77777777" w:rsidR="00A11BE9" w:rsidRPr="00792BF0" w:rsidRDefault="00A11BE9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t>In Annex I, section 5.33, including the following additional optional qualifiers:</w:t>
      </w:r>
    </w:p>
    <w:p w14:paraId="7B65DB7C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allele</w:t>
      </w:r>
    </w:p>
    <w:p w14:paraId="0DA221DB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direction</w:t>
      </w:r>
    </w:p>
    <w:p w14:paraId="1FF98123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gene</w:t>
      </w:r>
    </w:p>
    <w:p w14:paraId="41DBE67E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proofErr w:type="spellStart"/>
      <w:r w:rsidRPr="00792BF0">
        <w:rPr>
          <w:szCs w:val="22"/>
        </w:rPr>
        <w:t>gene_synonym</w:t>
      </w:r>
      <w:proofErr w:type="spellEnd"/>
    </w:p>
    <w:p w14:paraId="2C265441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map</w:t>
      </w:r>
    </w:p>
    <w:p w14:paraId="557B0B57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note</w:t>
      </w:r>
    </w:p>
    <w:p w14:paraId="6C6EFE9D" w14:textId="77777777" w:rsidR="00A11BE9" w:rsidRPr="00792BF0" w:rsidRDefault="00A11BE9" w:rsidP="005C08E9">
      <w:pPr>
        <w:pStyle w:val="ListParagraph"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proofErr w:type="spellStart"/>
      <w:r w:rsidRPr="00792BF0">
        <w:rPr>
          <w:szCs w:val="22"/>
        </w:rPr>
        <w:t>standard_name</w:t>
      </w:r>
      <w:proofErr w:type="spellEnd"/>
    </w:p>
    <w:p w14:paraId="792AD075" w14:textId="77777777" w:rsidR="00A11BE9" w:rsidRPr="00792BF0" w:rsidRDefault="00A11BE9" w:rsidP="001C407D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lastRenderedPageBreak/>
        <w:t>In Annex I, Section 5.43, including the following additional optional qualifier:</w:t>
      </w:r>
    </w:p>
    <w:p w14:paraId="7A8C096B" w14:textId="77777777" w:rsidR="00A11BE9" w:rsidRPr="00792BF0" w:rsidRDefault="00A11BE9" w:rsidP="005C08E9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 w:rsidRPr="00792BF0">
        <w:rPr>
          <w:szCs w:val="22"/>
        </w:rPr>
        <w:t>operon</w:t>
      </w:r>
    </w:p>
    <w:p w14:paraId="695243E2" w14:textId="77777777" w:rsidR="00A11BE9" w:rsidRPr="00792BF0" w:rsidRDefault="00A11BE9" w:rsidP="00F65B72">
      <w:pPr>
        <w:pStyle w:val="ONUME"/>
        <w:keepNext/>
        <w:keepLines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t>In Annex I, Section 6.16, include the following additional lines:</w:t>
      </w:r>
    </w:p>
    <w:p w14:paraId="1403123E" w14:textId="77777777" w:rsidR="00A11BE9" w:rsidRPr="00792BF0" w:rsidRDefault="00A11BE9" w:rsidP="0049175F">
      <w:pPr>
        <w:pStyle w:val="ListParagraph"/>
        <w:keepNext/>
        <w:keepLines/>
        <w:numPr>
          <w:ilvl w:val="0"/>
          <w:numId w:val="16"/>
        </w:numPr>
        <w:ind w:left="1080" w:firstLine="90"/>
        <w:rPr>
          <w:szCs w:val="22"/>
        </w:rPr>
      </w:pPr>
      <w:r w:rsidRPr="00792BF0">
        <w:rPr>
          <w:szCs w:val="22"/>
        </w:rPr>
        <w:t>In the ‘Example’ column: &lt;</w:t>
      </w:r>
      <w:proofErr w:type="spellStart"/>
      <w:r w:rsidRPr="00792BF0">
        <w:rPr>
          <w:szCs w:val="22"/>
        </w:rPr>
        <w:t>INSDQualifier_value</w:t>
      </w:r>
      <w:proofErr w:type="spellEnd"/>
      <w:r w:rsidRPr="00792BF0">
        <w:rPr>
          <w:szCs w:val="22"/>
        </w:rPr>
        <w:t>&gt;1.1.2.n1&lt;/</w:t>
      </w:r>
      <w:proofErr w:type="spellStart"/>
      <w:r w:rsidRPr="00792BF0">
        <w:rPr>
          <w:szCs w:val="22"/>
        </w:rPr>
        <w:t>INSDQualifier_value</w:t>
      </w:r>
      <w:proofErr w:type="spellEnd"/>
      <w:r w:rsidRPr="00792BF0">
        <w:rPr>
          <w:szCs w:val="22"/>
        </w:rPr>
        <w:t>&gt;</w:t>
      </w:r>
      <w:r w:rsidR="00804D92">
        <w:rPr>
          <w:szCs w:val="22"/>
        </w:rPr>
        <w:t>; and</w:t>
      </w:r>
    </w:p>
    <w:p w14:paraId="54DF7F88" w14:textId="77777777" w:rsidR="00AA563A" w:rsidRDefault="00A11BE9" w:rsidP="0049175F">
      <w:pPr>
        <w:pStyle w:val="ListParagraph"/>
        <w:keepNext/>
        <w:keepLines/>
        <w:numPr>
          <w:ilvl w:val="0"/>
          <w:numId w:val="16"/>
        </w:numPr>
        <w:spacing w:after="220"/>
        <w:ind w:left="1080" w:firstLine="86"/>
        <w:contextualSpacing w:val="0"/>
        <w:rPr>
          <w:szCs w:val="22"/>
        </w:rPr>
      </w:pPr>
      <w:r w:rsidRPr="00792BF0">
        <w:rPr>
          <w:szCs w:val="22"/>
        </w:rPr>
        <w:t>In the ‘Comment’ column, include the following text: “Symbols including a</w:t>
      </w:r>
      <w:r w:rsidR="00804D92">
        <w:rPr>
          <w:szCs w:val="22"/>
        </w:rPr>
        <w:t>n “n”, e.g. “n”, “n1” and so on.</w:t>
      </w:r>
      <w:r w:rsidRPr="00792BF0">
        <w:rPr>
          <w:szCs w:val="22"/>
        </w:rPr>
        <w:t>”</w:t>
      </w:r>
    </w:p>
    <w:p w14:paraId="52636E7F" w14:textId="77777777" w:rsidR="008444D0" w:rsidRDefault="00AA563A" w:rsidP="00F65B72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792BF0">
        <w:rPr>
          <w:szCs w:val="22"/>
        </w:rPr>
        <w:t>An update to Annex VII, third paragraph “Recommendations for potential added or deleted subject matter”, first sentence: to replace the term ‘conversion’ with ‘transformation’</w:t>
      </w:r>
      <w:r>
        <w:rPr>
          <w:szCs w:val="22"/>
        </w:rPr>
        <w:t xml:space="preserve">.  </w:t>
      </w:r>
      <w:r w:rsidRPr="00792BF0">
        <w:rPr>
          <w:szCs w:val="22"/>
        </w:rPr>
        <w:t>The term ‘conversion’ implies that there is a one-to-one mapping between components, where</w:t>
      </w:r>
      <w:r w:rsidR="007821D8">
        <w:rPr>
          <w:szCs w:val="22"/>
        </w:rPr>
        <w:t xml:space="preserve"> this is technically incorrect.</w:t>
      </w:r>
    </w:p>
    <w:p w14:paraId="70064FEA" w14:textId="2C584BDF" w:rsidR="00C63153" w:rsidRPr="008444D0" w:rsidRDefault="00AA563A" w:rsidP="00F65B72">
      <w:pPr>
        <w:pStyle w:val="ONUME"/>
        <w:numPr>
          <w:ilvl w:val="1"/>
          <w:numId w:val="18"/>
        </w:numPr>
        <w:tabs>
          <w:tab w:val="num" w:pos="567"/>
        </w:tabs>
        <w:ind w:left="360" w:firstLine="0"/>
        <w:rPr>
          <w:szCs w:val="22"/>
        </w:rPr>
      </w:pPr>
      <w:r w:rsidRPr="008444D0">
        <w:rPr>
          <w:szCs w:val="22"/>
        </w:rPr>
        <w:t>An update to Annex VII, scenario 8, number 24: to replace the term ‘SITE’ with ‘REGION’.  This change was proposed by the developers who noted there is a conflict between the functional specification outlining ST.25 sequence importing and this example;</w:t>
      </w:r>
      <w:r w:rsidR="00F65B72" w:rsidRPr="008444D0">
        <w:rPr>
          <w:szCs w:val="22"/>
        </w:rPr>
        <w:t xml:space="preserve"> </w:t>
      </w:r>
      <w:r w:rsidR="00C63153" w:rsidRPr="008444D0">
        <w:rPr>
          <w:szCs w:val="22"/>
        </w:rPr>
        <w:t>XML Instances as a separate file</w:t>
      </w:r>
      <w:r w:rsidR="00F65B72" w:rsidRPr="008444D0">
        <w:rPr>
          <w:szCs w:val="22"/>
        </w:rPr>
        <w:t>.</w:t>
      </w:r>
    </w:p>
    <w:p w14:paraId="4A123BFE" w14:textId="60680A24" w:rsidR="001A2367" w:rsidRDefault="000C1B65" w:rsidP="00E823A5">
      <w:pPr>
        <w:spacing w:after="220"/>
        <w:rPr>
          <w:szCs w:val="22"/>
        </w:rPr>
      </w:pPr>
      <w:r w:rsidRPr="00792BF0">
        <w:rPr>
          <w:szCs w:val="22"/>
        </w:rPr>
        <w:fldChar w:fldCharType="begin"/>
      </w:r>
      <w:r w:rsidRPr="00792BF0">
        <w:rPr>
          <w:szCs w:val="22"/>
        </w:rPr>
        <w:instrText xml:space="preserve"> AUTONUM  </w:instrText>
      </w:r>
      <w:r w:rsidRPr="00792BF0">
        <w:rPr>
          <w:szCs w:val="22"/>
        </w:rPr>
        <w:fldChar w:fldCharType="end"/>
      </w:r>
      <w:r w:rsidRPr="00792BF0">
        <w:rPr>
          <w:szCs w:val="22"/>
        </w:rPr>
        <w:tab/>
      </w:r>
      <w:r w:rsidR="001A2367">
        <w:rPr>
          <w:szCs w:val="22"/>
        </w:rPr>
        <w:t>It is further proposed</w:t>
      </w:r>
      <w:r w:rsidR="00C63153">
        <w:rPr>
          <w:szCs w:val="22"/>
        </w:rPr>
        <w:t xml:space="preserve"> by the SEQL TF</w:t>
      </w:r>
      <w:r w:rsidR="001A2367">
        <w:rPr>
          <w:szCs w:val="22"/>
        </w:rPr>
        <w:t xml:space="preserve">, </w:t>
      </w:r>
      <w:r w:rsidR="00C63153">
        <w:rPr>
          <w:szCs w:val="22"/>
        </w:rPr>
        <w:t xml:space="preserve">that </w:t>
      </w:r>
      <w:r w:rsidR="001A2367">
        <w:rPr>
          <w:szCs w:val="22"/>
        </w:rPr>
        <w:t>in line with the proposed amendments to other WIPO Standards, that the</w:t>
      </w:r>
      <w:r w:rsidR="00C63153">
        <w:rPr>
          <w:szCs w:val="22"/>
        </w:rPr>
        <w:t xml:space="preserve"> contents of WIPO ST.26 Annex III and the</w:t>
      </w:r>
      <w:r w:rsidR="001A2367">
        <w:rPr>
          <w:szCs w:val="22"/>
        </w:rPr>
        <w:t xml:space="preserve"> Appendix to </w:t>
      </w:r>
      <w:r w:rsidR="00C63153">
        <w:rPr>
          <w:szCs w:val="22"/>
        </w:rPr>
        <w:t xml:space="preserve">WIPO ST.26 </w:t>
      </w:r>
      <w:r w:rsidR="001A2367">
        <w:rPr>
          <w:szCs w:val="22"/>
        </w:rPr>
        <w:t>Annex VI</w:t>
      </w:r>
      <w:r w:rsidR="00C63153">
        <w:rPr>
          <w:szCs w:val="22"/>
        </w:rPr>
        <w:t>, which are both XML instances,</w:t>
      </w:r>
      <w:r w:rsidR="001A2367">
        <w:rPr>
          <w:szCs w:val="22"/>
        </w:rPr>
        <w:t xml:space="preserve"> be provided as </w:t>
      </w:r>
      <w:r w:rsidR="005C681B">
        <w:rPr>
          <w:szCs w:val="22"/>
        </w:rPr>
        <w:t>two separate</w:t>
      </w:r>
      <w:r w:rsidR="001A2367">
        <w:rPr>
          <w:szCs w:val="22"/>
        </w:rPr>
        <w:t xml:space="preserve"> file</w:t>
      </w:r>
      <w:r w:rsidR="005C681B">
        <w:rPr>
          <w:szCs w:val="22"/>
        </w:rPr>
        <w:t>s</w:t>
      </w:r>
      <w:r w:rsidR="00C63153">
        <w:rPr>
          <w:szCs w:val="22"/>
        </w:rPr>
        <w:t xml:space="preserve"> and that the Standard should instead include a link to these files</w:t>
      </w:r>
      <w:r w:rsidR="001A2367">
        <w:rPr>
          <w:szCs w:val="22"/>
        </w:rPr>
        <w:t xml:space="preserve">. </w:t>
      </w:r>
      <w:r w:rsidR="00837164">
        <w:rPr>
          <w:szCs w:val="22"/>
        </w:rPr>
        <w:t xml:space="preserve"> </w:t>
      </w:r>
      <w:r w:rsidR="00C63153">
        <w:rPr>
          <w:szCs w:val="22"/>
        </w:rPr>
        <w:t xml:space="preserve">It </w:t>
      </w:r>
      <w:proofErr w:type="gramStart"/>
      <w:r w:rsidR="00C63153">
        <w:rPr>
          <w:szCs w:val="22"/>
        </w:rPr>
        <w:t xml:space="preserve">is </w:t>
      </w:r>
      <w:r w:rsidR="00837164">
        <w:rPr>
          <w:szCs w:val="22"/>
        </w:rPr>
        <w:t>expected</w:t>
      </w:r>
      <w:proofErr w:type="gramEnd"/>
      <w:r w:rsidR="00837164">
        <w:rPr>
          <w:szCs w:val="22"/>
        </w:rPr>
        <w:t xml:space="preserve"> </w:t>
      </w:r>
      <w:r w:rsidR="00C63153">
        <w:rPr>
          <w:szCs w:val="22"/>
        </w:rPr>
        <w:t xml:space="preserve">that this will make these examples more accessible to readers of the Standard. </w:t>
      </w:r>
    </w:p>
    <w:p w14:paraId="6D8B4600" w14:textId="706ADEA8" w:rsidR="00E04CD1" w:rsidRPr="00792BF0" w:rsidRDefault="001A2367" w:rsidP="00E823A5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04CD1" w:rsidRPr="00792BF0">
        <w:rPr>
          <w:szCs w:val="22"/>
        </w:rPr>
        <w:t xml:space="preserve">For further information on these changes, please refer to </w:t>
      </w:r>
      <w:r w:rsidR="005803C0" w:rsidRPr="00792BF0">
        <w:rPr>
          <w:szCs w:val="22"/>
        </w:rPr>
        <w:t>the Annex</w:t>
      </w:r>
      <w:r w:rsidR="00804D92">
        <w:rPr>
          <w:szCs w:val="22"/>
        </w:rPr>
        <w:t>.</w:t>
      </w:r>
    </w:p>
    <w:p w14:paraId="13095494" w14:textId="77777777" w:rsidR="00F02A99" w:rsidRPr="00792BF0" w:rsidRDefault="00792BF0" w:rsidP="00792BF0">
      <w:pPr>
        <w:pStyle w:val="ONUME"/>
        <w:tabs>
          <w:tab w:val="num" w:pos="567"/>
        </w:tabs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F02A99" w:rsidRPr="00792BF0">
        <w:rPr>
          <w:i/>
        </w:rPr>
        <w:t xml:space="preserve">The CWS </w:t>
      </w:r>
      <w:proofErr w:type="gramStart"/>
      <w:r w:rsidR="00F02A99" w:rsidRPr="00792BF0">
        <w:rPr>
          <w:i/>
        </w:rPr>
        <w:t>is invited</w:t>
      </w:r>
      <w:proofErr w:type="gramEnd"/>
      <w:r w:rsidR="00F02A99" w:rsidRPr="00792BF0">
        <w:rPr>
          <w:i/>
        </w:rPr>
        <w:t xml:space="preserve"> to:</w:t>
      </w:r>
    </w:p>
    <w:p w14:paraId="67FE7EDD" w14:textId="77777777" w:rsidR="00F02A99" w:rsidRPr="00792BF0" w:rsidRDefault="00B83381" w:rsidP="00B83381">
      <w:pPr>
        <w:pStyle w:val="BodyText"/>
        <w:tabs>
          <w:tab w:val="left" w:pos="6101"/>
          <w:tab w:val="left" w:pos="6668"/>
        </w:tabs>
        <w:ind w:left="5533"/>
        <w:rPr>
          <w:i/>
          <w:szCs w:val="22"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="00F02A99" w:rsidRPr="00792BF0">
        <w:rPr>
          <w:i/>
        </w:rPr>
        <w:t>take</w:t>
      </w:r>
      <w:proofErr w:type="gramEnd"/>
      <w:r w:rsidR="00F02A99" w:rsidRPr="00792BF0">
        <w:rPr>
          <w:i/>
        </w:rPr>
        <w:t xml:space="preserve"> note of the content of</w:t>
      </w:r>
      <w:r w:rsidR="00792BF0">
        <w:rPr>
          <w:i/>
        </w:rPr>
        <w:t xml:space="preserve"> </w:t>
      </w:r>
      <w:r w:rsidR="00F02A99" w:rsidRPr="00792BF0">
        <w:rPr>
          <w:i/>
        </w:rPr>
        <w:t>the present document;</w:t>
      </w:r>
      <w:r w:rsidR="00A86AEA" w:rsidRPr="00792BF0">
        <w:rPr>
          <w:i/>
          <w:szCs w:val="22"/>
        </w:rPr>
        <w:t xml:space="preserve"> and</w:t>
      </w:r>
    </w:p>
    <w:p w14:paraId="2955E0F8" w14:textId="725E6C75" w:rsidR="00F02A99" w:rsidRDefault="00B83381" w:rsidP="00F65B72">
      <w:pPr>
        <w:pStyle w:val="BodyText"/>
        <w:tabs>
          <w:tab w:val="left" w:pos="6101"/>
          <w:tab w:val="left" w:pos="6668"/>
        </w:tabs>
        <w:ind w:left="5530"/>
        <w:rPr>
          <w:i/>
        </w:rPr>
      </w:pPr>
      <w:r>
        <w:rPr>
          <w:i/>
        </w:rPr>
        <w:tab/>
        <w:t>(b)</w:t>
      </w:r>
      <w:r>
        <w:rPr>
          <w:i/>
        </w:rPr>
        <w:tab/>
      </w:r>
      <w:r w:rsidR="005803C0" w:rsidRPr="00B83381">
        <w:rPr>
          <w:i/>
        </w:rPr>
        <w:t>c</w:t>
      </w:r>
      <w:r w:rsidR="00F02A99" w:rsidRPr="00B83381">
        <w:rPr>
          <w:i/>
        </w:rPr>
        <w:t xml:space="preserve">onsider and decide on the approval of the proposed revision of WIPO ST.26, as described in the paragraphs </w:t>
      </w:r>
      <w:r w:rsidR="005C681B">
        <w:rPr>
          <w:i/>
        </w:rPr>
        <w:t>4</w:t>
      </w:r>
      <w:r w:rsidR="009D558B" w:rsidRPr="00B83381">
        <w:rPr>
          <w:i/>
        </w:rPr>
        <w:t xml:space="preserve"> to </w:t>
      </w:r>
      <w:r w:rsidR="005C681B">
        <w:rPr>
          <w:i/>
        </w:rPr>
        <w:t>6</w:t>
      </w:r>
      <w:r w:rsidR="009D558B" w:rsidRPr="00B83381">
        <w:rPr>
          <w:i/>
        </w:rPr>
        <w:t xml:space="preserve">, </w:t>
      </w:r>
      <w:r w:rsidR="00F02A99" w:rsidRPr="00B83381">
        <w:rPr>
          <w:i/>
        </w:rPr>
        <w:t xml:space="preserve">above, </w:t>
      </w:r>
      <w:r w:rsidR="009D558B" w:rsidRPr="00B83381">
        <w:rPr>
          <w:i/>
        </w:rPr>
        <w:t xml:space="preserve">and reproduced in </w:t>
      </w:r>
      <w:r w:rsidR="00C26FD7">
        <w:rPr>
          <w:i/>
        </w:rPr>
        <w:t>the Annex</w:t>
      </w:r>
      <w:r w:rsidR="001A2367" w:rsidRPr="00B83381">
        <w:rPr>
          <w:i/>
        </w:rPr>
        <w:t xml:space="preserve"> </w:t>
      </w:r>
      <w:r w:rsidR="009D558B" w:rsidRPr="00B83381">
        <w:rPr>
          <w:i/>
        </w:rPr>
        <w:t>to the present document</w:t>
      </w:r>
      <w:r w:rsidR="00111590">
        <w:rPr>
          <w:i/>
        </w:rPr>
        <w:t>; and</w:t>
      </w:r>
      <w:r w:rsidR="00F02A99" w:rsidRPr="00B83381">
        <w:rPr>
          <w:i/>
        </w:rPr>
        <w:t xml:space="preserve"> </w:t>
      </w:r>
    </w:p>
    <w:p w14:paraId="35A3A688" w14:textId="07BBAA16" w:rsidR="00111590" w:rsidRPr="00B83381" w:rsidRDefault="00111590" w:rsidP="00B83381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</w:rPr>
      </w:pPr>
      <w:r>
        <w:rPr>
          <w:i/>
        </w:rPr>
        <w:tab/>
        <w:t>(c)</w:t>
      </w:r>
      <w:r>
        <w:rPr>
          <w:i/>
        </w:rPr>
        <w:tab/>
      </w:r>
      <w:proofErr w:type="gramStart"/>
      <w:r>
        <w:rPr>
          <w:i/>
        </w:rPr>
        <w:t>consider</w:t>
      </w:r>
      <w:proofErr w:type="gramEnd"/>
      <w:r>
        <w:rPr>
          <w:i/>
        </w:rPr>
        <w:t xml:space="preserve"> and approve the suggestion to provide the content of Annex III and the Appendix to Annex VI of WIPO ST.26 as two separate files, linked to the Standard</w:t>
      </w:r>
      <w:r w:rsidR="005C681B">
        <w:rPr>
          <w:i/>
        </w:rPr>
        <w:t>, as indicated in paragraph 7</w:t>
      </w:r>
      <w:r w:rsidR="006E3F61">
        <w:rPr>
          <w:i/>
        </w:rPr>
        <w:t xml:space="preserve"> above</w:t>
      </w:r>
      <w:r>
        <w:rPr>
          <w:i/>
        </w:rPr>
        <w:t>.</w:t>
      </w:r>
    </w:p>
    <w:p w14:paraId="5EA44729" w14:textId="77777777" w:rsidR="00792BF0" w:rsidRPr="00A80287" w:rsidRDefault="00792BF0" w:rsidP="00792BF0">
      <w:pPr>
        <w:pStyle w:val="BodyText"/>
        <w:tabs>
          <w:tab w:val="left" w:pos="6101"/>
          <w:tab w:val="left" w:pos="6668"/>
        </w:tabs>
        <w:spacing w:after="0"/>
        <w:ind w:left="5533"/>
      </w:pPr>
    </w:p>
    <w:p w14:paraId="5F4ACB28" w14:textId="77777777" w:rsidR="00792BF0" w:rsidRPr="00A80287" w:rsidRDefault="00792BF0" w:rsidP="00792BF0">
      <w:pPr>
        <w:pStyle w:val="BodyText"/>
        <w:tabs>
          <w:tab w:val="left" w:pos="6101"/>
          <w:tab w:val="left" w:pos="6668"/>
        </w:tabs>
        <w:spacing w:after="0"/>
        <w:ind w:left="5533"/>
      </w:pPr>
    </w:p>
    <w:p w14:paraId="5360A083" w14:textId="75C09457" w:rsidR="00792BF0" w:rsidRDefault="005C681B" w:rsidP="005C681B">
      <w:pPr>
        <w:pStyle w:val="Endofdocument-Annex"/>
        <w:ind w:left="5529"/>
      </w:pPr>
      <w:r>
        <w:t>[Annex</w:t>
      </w:r>
      <w:r w:rsidR="00792BF0">
        <w:t xml:space="preserve"> </w:t>
      </w:r>
      <w:bookmarkStart w:id="5" w:name="_GoBack"/>
      <w:bookmarkEnd w:id="5"/>
      <w:r w:rsidR="00792BF0">
        <w:t xml:space="preserve">(ST.26 </w:t>
      </w:r>
      <w:r w:rsidR="00837164">
        <w:t>Annex I</w:t>
      </w:r>
      <w:r w:rsidR="00792BF0">
        <w:t>) follows]</w:t>
      </w:r>
    </w:p>
    <w:sectPr w:rsidR="00792BF0" w:rsidSect="00145D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BAD11" w14:textId="77777777" w:rsidR="00145D4A" w:rsidRDefault="00145D4A">
      <w:r>
        <w:separator/>
      </w:r>
    </w:p>
  </w:endnote>
  <w:endnote w:type="continuationSeparator" w:id="0">
    <w:p w14:paraId="0C857DAB" w14:textId="77777777" w:rsidR="00145D4A" w:rsidRDefault="00145D4A" w:rsidP="003B38C1">
      <w:r>
        <w:separator/>
      </w:r>
    </w:p>
    <w:p w14:paraId="7832AF42" w14:textId="77777777" w:rsidR="00145D4A" w:rsidRPr="003B38C1" w:rsidRDefault="00145D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18F577" w14:textId="77777777" w:rsidR="00145D4A" w:rsidRPr="003B38C1" w:rsidRDefault="00145D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3C5F" w14:textId="77777777" w:rsidR="00145D4A" w:rsidRDefault="00145D4A">
      <w:r>
        <w:separator/>
      </w:r>
    </w:p>
  </w:footnote>
  <w:footnote w:type="continuationSeparator" w:id="0">
    <w:p w14:paraId="6EED7DFA" w14:textId="77777777" w:rsidR="00145D4A" w:rsidRDefault="00145D4A" w:rsidP="008B60B2">
      <w:r>
        <w:separator/>
      </w:r>
    </w:p>
    <w:p w14:paraId="2806E3EC" w14:textId="77777777" w:rsidR="00145D4A" w:rsidRPr="00ED77FB" w:rsidRDefault="00145D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6941C4" w14:textId="77777777" w:rsidR="00145D4A" w:rsidRPr="00ED77FB" w:rsidRDefault="00145D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16ED" w14:textId="77777777" w:rsidR="00EC4E49" w:rsidRDefault="00145D4A" w:rsidP="00477D6B">
    <w:pPr>
      <w:jc w:val="right"/>
    </w:pPr>
    <w:bookmarkStart w:id="6" w:name="Code2"/>
    <w:bookmarkEnd w:id="6"/>
    <w:r>
      <w:t>CWS/7/14</w:t>
    </w:r>
  </w:p>
  <w:p w14:paraId="18B8654E" w14:textId="37FD9742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5631">
      <w:rPr>
        <w:noProof/>
      </w:rPr>
      <w:t>2</w:t>
    </w:r>
    <w:r>
      <w:fldChar w:fldCharType="end"/>
    </w:r>
  </w:p>
  <w:p w14:paraId="751327B1" w14:textId="77777777" w:rsidR="00EC4E49" w:rsidRDefault="00EC4E49" w:rsidP="00477D6B">
    <w:pPr>
      <w:jc w:val="right"/>
    </w:pPr>
  </w:p>
  <w:p w14:paraId="7AE6A0A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614DA"/>
    <w:multiLevelType w:val="hybridMultilevel"/>
    <w:tmpl w:val="3BE8A102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9F7F80"/>
    <w:multiLevelType w:val="hybridMultilevel"/>
    <w:tmpl w:val="645A2F90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306806"/>
    <w:multiLevelType w:val="hybridMultilevel"/>
    <w:tmpl w:val="D6C2776E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6891A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777D4"/>
    <w:multiLevelType w:val="hybridMultilevel"/>
    <w:tmpl w:val="866665B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B0454"/>
    <w:multiLevelType w:val="hybridMultilevel"/>
    <w:tmpl w:val="E4DEAABA"/>
    <w:lvl w:ilvl="0" w:tplc="49689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578E"/>
    <w:multiLevelType w:val="hybridMultilevel"/>
    <w:tmpl w:val="3C18CC98"/>
    <w:lvl w:ilvl="0" w:tplc="1CAAF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0157"/>
    <w:multiLevelType w:val="hybridMultilevel"/>
    <w:tmpl w:val="14BE2056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2CFF"/>
    <w:multiLevelType w:val="hybridMultilevel"/>
    <w:tmpl w:val="2C788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664E2"/>
    <w:multiLevelType w:val="hybridMultilevel"/>
    <w:tmpl w:val="4064A23C"/>
    <w:lvl w:ilvl="0" w:tplc="B0202D04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28B"/>
    <w:multiLevelType w:val="hybridMultilevel"/>
    <w:tmpl w:val="79BC95D4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0781F19"/>
    <w:multiLevelType w:val="hybridMultilevel"/>
    <w:tmpl w:val="74F8E4D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EA45C2D"/>
    <w:multiLevelType w:val="hybridMultilevel"/>
    <w:tmpl w:val="E48453D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5327"/>
    <w:multiLevelType w:val="hybridMultilevel"/>
    <w:tmpl w:val="A6905BB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79CC5587"/>
    <w:multiLevelType w:val="hybridMultilevel"/>
    <w:tmpl w:val="B2DAFC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7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4A"/>
    <w:rsid w:val="00043CAA"/>
    <w:rsid w:val="00075432"/>
    <w:rsid w:val="000820AB"/>
    <w:rsid w:val="00084C62"/>
    <w:rsid w:val="00093F65"/>
    <w:rsid w:val="000968ED"/>
    <w:rsid w:val="000A72D0"/>
    <w:rsid w:val="000C1B65"/>
    <w:rsid w:val="000C7559"/>
    <w:rsid w:val="000F5E56"/>
    <w:rsid w:val="00104584"/>
    <w:rsid w:val="00111590"/>
    <w:rsid w:val="001362EE"/>
    <w:rsid w:val="00145D4A"/>
    <w:rsid w:val="00150886"/>
    <w:rsid w:val="001647D5"/>
    <w:rsid w:val="001832A6"/>
    <w:rsid w:val="00183971"/>
    <w:rsid w:val="001A2367"/>
    <w:rsid w:val="001C407D"/>
    <w:rsid w:val="00202DB6"/>
    <w:rsid w:val="0021217E"/>
    <w:rsid w:val="002634C4"/>
    <w:rsid w:val="002928D3"/>
    <w:rsid w:val="002F1FE6"/>
    <w:rsid w:val="002F4E68"/>
    <w:rsid w:val="00312F7F"/>
    <w:rsid w:val="00320B2A"/>
    <w:rsid w:val="00325631"/>
    <w:rsid w:val="003457AE"/>
    <w:rsid w:val="00361450"/>
    <w:rsid w:val="00363D39"/>
    <w:rsid w:val="0036684A"/>
    <w:rsid w:val="003673CF"/>
    <w:rsid w:val="00382293"/>
    <w:rsid w:val="00382E19"/>
    <w:rsid w:val="003845C1"/>
    <w:rsid w:val="003A6F89"/>
    <w:rsid w:val="003B38C1"/>
    <w:rsid w:val="003B5B74"/>
    <w:rsid w:val="003B78EA"/>
    <w:rsid w:val="003C2244"/>
    <w:rsid w:val="004023FC"/>
    <w:rsid w:val="00417E7B"/>
    <w:rsid w:val="00423E3E"/>
    <w:rsid w:val="00427AF4"/>
    <w:rsid w:val="00433341"/>
    <w:rsid w:val="004469F5"/>
    <w:rsid w:val="004647DA"/>
    <w:rsid w:val="00474062"/>
    <w:rsid w:val="00477D6B"/>
    <w:rsid w:val="0049175F"/>
    <w:rsid w:val="004F58A9"/>
    <w:rsid w:val="004F7804"/>
    <w:rsid w:val="005019FF"/>
    <w:rsid w:val="0053057A"/>
    <w:rsid w:val="005414BF"/>
    <w:rsid w:val="00560A29"/>
    <w:rsid w:val="005803C0"/>
    <w:rsid w:val="005C08E9"/>
    <w:rsid w:val="005C1A8B"/>
    <w:rsid w:val="005C6649"/>
    <w:rsid w:val="005C681B"/>
    <w:rsid w:val="005D144F"/>
    <w:rsid w:val="005F3DE3"/>
    <w:rsid w:val="00605827"/>
    <w:rsid w:val="00641C5E"/>
    <w:rsid w:val="00646050"/>
    <w:rsid w:val="006503FF"/>
    <w:rsid w:val="006713CA"/>
    <w:rsid w:val="00676C5C"/>
    <w:rsid w:val="00677EA9"/>
    <w:rsid w:val="006E3813"/>
    <w:rsid w:val="006E3F61"/>
    <w:rsid w:val="00703F02"/>
    <w:rsid w:val="00751D1C"/>
    <w:rsid w:val="0077455E"/>
    <w:rsid w:val="007821D8"/>
    <w:rsid w:val="00792BF0"/>
    <w:rsid w:val="007B4DD2"/>
    <w:rsid w:val="007C2BAC"/>
    <w:rsid w:val="007D1613"/>
    <w:rsid w:val="007D2719"/>
    <w:rsid w:val="007E4C0E"/>
    <w:rsid w:val="007E5E5D"/>
    <w:rsid w:val="00804D92"/>
    <w:rsid w:val="00837164"/>
    <w:rsid w:val="008444D0"/>
    <w:rsid w:val="008A134B"/>
    <w:rsid w:val="008B2CC1"/>
    <w:rsid w:val="008B60B2"/>
    <w:rsid w:val="008C3025"/>
    <w:rsid w:val="008C7F45"/>
    <w:rsid w:val="0090731E"/>
    <w:rsid w:val="00916EE2"/>
    <w:rsid w:val="00966A22"/>
    <w:rsid w:val="0096722F"/>
    <w:rsid w:val="00974DBC"/>
    <w:rsid w:val="00980843"/>
    <w:rsid w:val="009C7DB0"/>
    <w:rsid w:val="009D558B"/>
    <w:rsid w:val="009E2791"/>
    <w:rsid w:val="009E3F6F"/>
    <w:rsid w:val="009F499F"/>
    <w:rsid w:val="00A11BE9"/>
    <w:rsid w:val="00A37342"/>
    <w:rsid w:val="00A42DAF"/>
    <w:rsid w:val="00A45BD8"/>
    <w:rsid w:val="00A51ED3"/>
    <w:rsid w:val="00A80287"/>
    <w:rsid w:val="00A869B7"/>
    <w:rsid w:val="00A86AEA"/>
    <w:rsid w:val="00AA563A"/>
    <w:rsid w:val="00AC205C"/>
    <w:rsid w:val="00AF0A6B"/>
    <w:rsid w:val="00AF7224"/>
    <w:rsid w:val="00B05A69"/>
    <w:rsid w:val="00B22C99"/>
    <w:rsid w:val="00B36DD8"/>
    <w:rsid w:val="00B44E4A"/>
    <w:rsid w:val="00B61808"/>
    <w:rsid w:val="00B83381"/>
    <w:rsid w:val="00B9734B"/>
    <w:rsid w:val="00BA30E2"/>
    <w:rsid w:val="00BE59A9"/>
    <w:rsid w:val="00C0065B"/>
    <w:rsid w:val="00C11BFE"/>
    <w:rsid w:val="00C234EA"/>
    <w:rsid w:val="00C26FD7"/>
    <w:rsid w:val="00C5068F"/>
    <w:rsid w:val="00C63153"/>
    <w:rsid w:val="00C64709"/>
    <w:rsid w:val="00C86D74"/>
    <w:rsid w:val="00CA7B97"/>
    <w:rsid w:val="00CC38F2"/>
    <w:rsid w:val="00CD04F1"/>
    <w:rsid w:val="00CD2D80"/>
    <w:rsid w:val="00CD59F2"/>
    <w:rsid w:val="00D3124F"/>
    <w:rsid w:val="00D31ECC"/>
    <w:rsid w:val="00D45252"/>
    <w:rsid w:val="00D71B4D"/>
    <w:rsid w:val="00D93D55"/>
    <w:rsid w:val="00DA3F74"/>
    <w:rsid w:val="00E04CD1"/>
    <w:rsid w:val="00E15015"/>
    <w:rsid w:val="00E221BF"/>
    <w:rsid w:val="00E335FE"/>
    <w:rsid w:val="00E7050B"/>
    <w:rsid w:val="00E823A5"/>
    <w:rsid w:val="00E93E21"/>
    <w:rsid w:val="00EA7D6E"/>
    <w:rsid w:val="00EC4E49"/>
    <w:rsid w:val="00ED77FB"/>
    <w:rsid w:val="00EE45FA"/>
    <w:rsid w:val="00EF46E5"/>
    <w:rsid w:val="00F02A99"/>
    <w:rsid w:val="00F518BB"/>
    <w:rsid w:val="00F65B7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2EAA050"/>
  <w15:docId w15:val="{88975813-6083-4509-8AF8-099401F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02A99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uiPriority w:val="99"/>
    <w:rsid w:val="00792BF0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sid w:val="00792BF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839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9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97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3971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3AF9-A5CA-4D15-847F-14A849BB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905</Words>
  <Characters>4709</Characters>
  <Application>Microsoft Office Word</Application>
  <DocSecurity>0</DocSecurity>
  <Lines>130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CWS/7/14 (in English)</vt:lpstr>
    </vt:vector>
  </TitlesOfParts>
  <Company>WIPO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CWS/7/14 (in English)</dc:title>
  <dc:subject>Revision of WIPO Standard ST.26</dc:subject>
  <dc:creator>WIPO</dc:creator>
  <cp:keywords>CWS, WIPO</cp:keywords>
  <cp:lastModifiedBy>DRAKE Sophie</cp:lastModifiedBy>
  <cp:revision>19</cp:revision>
  <cp:lastPrinted>2019-05-08T09:42:00Z</cp:lastPrinted>
  <dcterms:created xsi:type="dcterms:W3CDTF">2019-05-08T15:08:00Z</dcterms:created>
  <dcterms:modified xsi:type="dcterms:W3CDTF">2019-05-14T13:30:00Z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