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300DA" w14:paraId="512D0CEF" w14:textId="77777777" w:rsidTr="00B25B08">
        <w:tc>
          <w:tcPr>
            <w:tcW w:w="4513" w:type="dxa"/>
            <w:tcBorders>
              <w:bottom w:val="single" w:sz="4" w:space="0" w:color="auto"/>
            </w:tcBorders>
            <w:tcMar>
              <w:bottom w:w="170" w:type="dxa"/>
            </w:tcMar>
          </w:tcPr>
          <w:p w14:paraId="5B0BAEC9" w14:textId="77777777" w:rsidR="00EC4E49" w:rsidRPr="004300DA" w:rsidRDefault="00EC4E49" w:rsidP="00711378">
            <w:pPr>
              <w:rPr>
                <w:szCs w:val="22"/>
              </w:rPr>
            </w:pPr>
          </w:p>
        </w:tc>
        <w:tc>
          <w:tcPr>
            <w:tcW w:w="4337" w:type="dxa"/>
            <w:tcBorders>
              <w:bottom w:val="single" w:sz="4" w:space="0" w:color="auto"/>
            </w:tcBorders>
            <w:tcMar>
              <w:left w:w="0" w:type="dxa"/>
              <w:right w:w="0" w:type="dxa"/>
            </w:tcMar>
          </w:tcPr>
          <w:p w14:paraId="6A3D29D6" w14:textId="77777777" w:rsidR="00EC4E49" w:rsidRPr="004300DA" w:rsidRDefault="00A37342" w:rsidP="00711378">
            <w:pPr>
              <w:rPr>
                <w:szCs w:val="22"/>
              </w:rPr>
            </w:pPr>
            <w:r w:rsidRPr="004300DA">
              <w:rPr>
                <w:noProof/>
                <w:szCs w:val="22"/>
                <w:lang w:val="de-DE" w:eastAsia="de-DE"/>
              </w:rPr>
              <w:drawing>
                <wp:inline distT="0" distB="0" distL="0" distR="0" wp14:anchorId="600E0C18" wp14:editId="15F2E5C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77AE842" w14:textId="77777777" w:rsidR="00EC4E49" w:rsidRPr="004300DA" w:rsidRDefault="00EC4E49" w:rsidP="00711378">
            <w:pPr>
              <w:jc w:val="right"/>
              <w:rPr>
                <w:szCs w:val="22"/>
              </w:rPr>
            </w:pPr>
            <w:r w:rsidRPr="004300DA">
              <w:rPr>
                <w:b/>
                <w:szCs w:val="22"/>
              </w:rPr>
              <w:t>E</w:t>
            </w:r>
          </w:p>
        </w:tc>
      </w:tr>
      <w:tr w:rsidR="00B25B08" w:rsidRPr="004300DA" w14:paraId="2789B696"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8560850" w14:textId="30AF2190" w:rsidR="00B25B08" w:rsidRPr="004300DA" w:rsidRDefault="00B25B08" w:rsidP="00711378">
            <w:pPr>
              <w:jc w:val="right"/>
              <w:rPr>
                <w:caps/>
                <w:szCs w:val="22"/>
              </w:rPr>
            </w:pPr>
            <w:r>
              <w:rPr>
                <w:rFonts w:ascii="Arial Black" w:hAnsi="Arial Black"/>
                <w:caps/>
                <w:sz w:val="15"/>
              </w:rPr>
              <w:t>CWS/7/1</w:t>
            </w:r>
            <w:bookmarkStart w:id="0" w:name="Code"/>
            <w:bookmarkEnd w:id="0"/>
            <w:r>
              <w:rPr>
                <w:rFonts w:ascii="Arial Black" w:hAnsi="Arial Black"/>
                <w:caps/>
                <w:sz w:val="15"/>
              </w:rPr>
              <w:t>2</w:t>
            </w:r>
          </w:p>
        </w:tc>
      </w:tr>
      <w:tr w:rsidR="00B25B08" w:rsidRPr="004300DA" w14:paraId="33BD1162" w14:textId="77777777" w:rsidTr="00916EE2">
        <w:trPr>
          <w:trHeight w:hRule="exact" w:val="170"/>
        </w:trPr>
        <w:tc>
          <w:tcPr>
            <w:tcW w:w="9356" w:type="dxa"/>
            <w:gridSpan w:val="3"/>
            <w:noWrap/>
            <w:tcMar>
              <w:left w:w="0" w:type="dxa"/>
              <w:right w:w="0" w:type="dxa"/>
            </w:tcMar>
            <w:vAlign w:val="bottom"/>
          </w:tcPr>
          <w:p w14:paraId="692E63F1" w14:textId="15792D85" w:rsidR="00B25B08" w:rsidRPr="004300DA" w:rsidRDefault="00B25B08" w:rsidP="00711378">
            <w:pPr>
              <w:jc w:val="right"/>
              <w:rPr>
                <w:caps/>
                <w:szCs w:val="22"/>
              </w:rPr>
            </w:pPr>
            <w:r w:rsidRPr="0090731E">
              <w:rPr>
                <w:rFonts w:ascii="Arial Black" w:hAnsi="Arial Black"/>
                <w:caps/>
                <w:sz w:val="15"/>
              </w:rPr>
              <w:t>ORIGINAL:</w:t>
            </w:r>
            <w:r>
              <w:rPr>
                <w:rFonts w:ascii="Arial Black" w:hAnsi="Arial Black"/>
                <w:caps/>
                <w:sz w:val="15"/>
              </w:rPr>
              <w:t xml:space="preserve">  English</w:t>
            </w:r>
            <w:r w:rsidRPr="0090731E">
              <w:rPr>
                <w:rFonts w:ascii="Arial Black" w:hAnsi="Arial Black"/>
                <w:caps/>
                <w:sz w:val="15"/>
              </w:rPr>
              <w:t xml:space="preserve"> </w:t>
            </w:r>
            <w:bookmarkStart w:id="1" w:name="Original"/>
            <w:bookmarkEnd w:id="1"/>
          </w:p>
        </w:tc>
      </w:tr>
      <w:tr w:rsidR="00B25B08" w:rsidRPr="004300DA" w14:paraId="6C3AB854" w14:textId="77777777" w:rsidTr="00916EE2">
        <w:trPr>
          <w:trHeight w:hRule="exact" w:val="198"/>
        </w:trPr>
        <w:tc>
          <w:tcPr>
            <w:tcW w:w="9356" w:type="dxa"/>
            <w:gridSpan w:val="3"/>
            <w:tcMar>
              <w:left w:w="0" w:type="dxa"/>
              <w:right w:w="0" w:type="dxa"/>
            </w:tcMar>
            <w:vAlign w:val="bottom"/>
          </w:tcPr>
          <w:p w14:paraId="7750A79A" w14:textId="3DCC6196" w:rsidR="00B25B08" w:rsidRPr="004300DA" w:rsidRDefault="00B25B08" w:rsidP="00190076">
            <w:pPr>
              <w:jc w:val="right"/>
              <w:rPr>
                <w:caps/>
                <w:szCs w:val="22"/>
              </w:rPr>
            </w:pPr>
            <w:r w:rsidRPr="0090731E">
              <w:rPr>
                <w:rFonts w:ascii="Arial Black" w:hAnsi="Arial Black"/>
                <w:caps/>
                <w:sz w:val="15"/>
              </w:rPr>
              <w:t>DATE:</w:t>
            </w:r>
            <w:r>
              <w:rPr>
                <w:rFonts w:ascii="Arial Black" w:hAnsi="Arial Black"/>
                <w:caps/>
                <w:sz w:val="15"/>
              </w:rPr>
              <w:t xml:space="preserve">  </w:t>
            </w:r>
            <w:r w:rsidR="007653F6">
              <w:rPr>
                <w:rFonts w:ascii="Arial Black" w:hAnsi="Arial Black"/>
                <w:caps/>
                <w:sz w:val="15"/>
              </w:rPr>
              <w:t>JUNE</w:t>
            </w:r>
            <w:r>
              <w:rPr>
                <w:rFonts w:ascii="Arial Black" w:hAnsi="Arial Black"/>
                <w:caps/>
                <w:sz w:val="15"/>
              </w:rPr>
              <w:t xml:space="preserve"> </w:t>
            </w:r>
            <w:r w:rsidR="00190076">
              <w:rPr>
                <w:rFonts w:ascii="Arial Black" w:hAnsi="Arial Black"/>
                <w:caps/>
                <w:sz w:val="15"/>
              </w:rPr>
              <w:t>12</w:t>
            </w:r>
            <w:r>
              <w:rPr>
                <w:rFonts w:ascii="Arial Black" w:hAnsi="Arial Black"/>
                <w:caps/>
                <w:sz w:val="15"/>
              </w:rPr>
              <w:t>, 2019</w:t>
            </w:r>
            <w:r w:rsidRPr="0090731E">
              <w:rPr>
                <w:rFonts w:ascii="Arial Black" w:hAnsi="Arial Black"/>
                <w:caps/>
                <w:sz w:val="15"/>
              </w:rPr>
              <w:t xml:space="preserve"> </w:t>
            </w:r>
            <w:bookmarkStart w:id="2" w:name="Date"/>
            <w:bookmarkEnd w:id="2"/>
          </w:p>
        </w:tc>
      </w:tr>
    </w:tbl>
    <w:p w14:paraId="23BE523F" w14:textId="77777777" w:rsidR="008B2CC1" w:rsidRPr="004300DA" w:rsidRDefault="008B2CC1" w:rsidP="00711378">
      <w:pPr>
        <w:rPr>
          <w:szCs w:val="22"/>
        </w:rPr>
      </w:pPr>
    </w:p>
    <w:p w14:paraId="57660BBC" w14:textId="77777777" w:rsidR="008B2CC1" w:rsidRPr="004300DA" w:rsidRDefault="008B2CC1" w:rsidP="00711378">
      <w:pPr>
        <w:rPr>
          <w:szCs w:val="22"/>
        </w:rPr>
      </w:pPr>
    </w:p>
    <w:p w14:paraId="00DD04C4" w14:textId="77777777" w:rsidR="008B2CC1" w:rsidRPr="004300DA" w:rsidRDefault="008B2CC1" w:rsidP="00711378">
      <w:pPr>
        <w:rPr>
          <w:szCs w:val="22"/>
        </w:rPr>
      </w:pPr>
    </w:p>
    <w:p w14:paraId="3A0C8209" w14:textId="77777777" w:rsidR="008B2CC1" w:rsidRPr="004300DA" w:rsidRDefault="008B2CC1" w:rsidP="00711378">
      <w:pPr>
        <w:rPr>
          <w:szCs w:val="22"/>
        </w:rPr>
      </w:pPr>
    </w:p>
    <w:p w14:paraId="0CE55AE8" w14:textId="77777777" w:rsidR="008B2CC1" w:rsidRPr="004300DA" w:rsidRDefault="008B2CC1" w:rsidP="00711378">
      <w:pPr>
        <w:rPr>
          <w:szCs w:val="22"/>
        </w:rPr>
      </w:pPr>
    </w:p>
    <w:p w14:paraId="55DD27BC" w14:textId="77777777" w:rsidR="008B2CC1" w:rsidRPr="00F9539B" w:rsidRDefault="00CD59F2" w:rsidP="00711378">
      <w:pPr>
        <w:rPr>
          <w:b/>
          <w:sz w:val="28"/>
          <w:szCs w:val="28"/>
        </w:rPr>
      </w:pPr>
      <w:r w:rsidRPr="00F9539B">
        <w:rPr>
          <w:b/>
          <w:sz w:val="28"/>
          <w:szCs w:val="28"/>
        </w:rPr>
        <w:t>Committee on WIPO Standards (CWS)</w:t>
      </w:r>
    </w:p>
    <w:p w14:paraId="204A2CA4" w14:textId="77777777" w:rsidR="003845C1" w:rsidRPr="004300DA" w:rsidRDefault="003845C1" w:rsidP="00711378">
      <w:pPr>
        <w:rPr>
          <w:szCs w:val="22"/>
        </w:rPr>
      </w:pPr>
    </w:p>
    <w:p w14:paraId="589F6525" w14:textId="77777777" w:rsidR="003845C1" w:rsidRPr="004300DA" w:rsidRDefault="003845C1" w:rsidP="00711378">
      <w:pPr>
        <w:rPr>
          <w:szCs w:val="22"/>
        </w:rPr>
      </w:pPr>
    </w:p>
    <w:p w14:paraId="75F826E9" w14:textId="77777777" w:rsidR="00CD59F2" w:rsidRPr="00F9539B" w:rsidRDefault="00CD59F2" w:rsidP="00711378">
      <w:pPr>
        <w:rPr>
          <w:b/>
          <w:sz w:val="24"/>
          <w:szCs w:val="24"/>
        </w:rPr>
      </w:pPr>
      <w:r w:rsidRPr="00F9539B">
        <w:rPr>
          <w:b/>
          <w:sz w:val="24"/>
          <w:szCs w:val="24"/>
        </w:rPr>
        <w:t>S</w:t>
      </w:r>
      <w:r w:rsidR="00C0065B" w:rsidRPr="00F9539B">
        <w:rPr>
          <w:b/>
          <w:sz w:val="24"/>
          <w:szCs w:val="24"/>
        </w:rPr>
        <w:t>eventh</w:t>
      </w:r>
      <w:r w:rsidRPr="00F9539B">
        <w:rPr>
          <w:b/>
          <w:sz w:val="24"/>
          <w:szCs w:val="24"/>
        </w:rPr>
        <w:t xml:space="preserve"> Session</w:t>
      </w:r>
    </w:p>
    <w:p w14:paraId="4BF9BD1E" w14:textId="77777777" w:rsidR="008B2CC1" w:rsidRPr="00F9539B" w:rsidRDefault="00CD59F2" w:rsidP="00711378">
      <w:pPr>
        <w:rPr>
          <w:b/>
          <w:sz w:val="24"/>
          <w:szCs w:val="24"/>
        </w:rPr>
      </w:pPr>
      <w:r w:rsidRPr="00F9539B">
        <w:rPr>
          <w:b/>
          <w:sz w:val="24"/>
          <w:szCs w:val="24"/>
        </w:rPr>
        <w:t xml:space="preserve">Geneva, </w:t>
      </w:r>
      <w:r w:rsidR="00C0065B" w:rsidRPr="00F9539B">
        <w:rPr>
          <w:b/>
          <w:sz w:val="24"/>
          <w:szCs w:val="24"/>
        </w:rPr>
        <w:t>July</w:t>
      </w:r>
      <w:r w:rsidRPr="00F9539B">
        <w:rPr>
          <w:b/>
          <w:sz w:val="24"/>
          <w:szCs w:val="24"/>
        </w:rPr>
        <w:t xml:space="preserve"> </w:t>
      </w:r>
      <w:r w:rsidR="00C0065B" w:rsidRPr="00F9539B">
        <w:rPr>
          <w:b/>
          <w:sz w:val="24"/>
          <w:szCs w:val="24"/>
        </w:rPr>
        <w:t>1 to 5, 2019</w:t>
      </w:r>
    </w:p>
    <w:p w14:paraId="46D90722" w14:textId="77777777" w:rsidR="008B2CC1" w:rsidRPr="00F9539B" w:rsidRDefault="008B2CC1" w:rsidP="00711378">
      <w:pPr>
        <w:rPr>
          <w:sz w:val="24"/>
          <w:szCs w:val="24"/>
        </w:rPr>
      </w:pPr>
    </w:p>
    <w:p w14:paraId="0EF37806" w14:textId="77777777" w:rsidR="008B2CC1" w:rsidRPr="004300DA" w:rsidRDefault="008B2CC1" w:rsidP="00711378">
      <w:pPr>
        <w:rPr>
          <w:szCs w:val="22"/>
        </w:rPr>
      </w:pPr>
    </w:p>
    <w:p w14:paraId="2D503B66" w14:textId="77777777" w:rsidR="008B2CC1" w:rsidRPr="004300DA" w:rsidRDefault="008B2CC1" w:rsidP="00711378">
      <w:pPr>
        <w:rPr>
          <w:szCs w:val="22"/>
        </w:rPr>
      </w:pPr>
    </w:p>
    <w:p w14:paraId="7A037AE3" w14:textId="77777777" w:rsidR="008B2CC1" w:rsidRPr="00F9539B" w:rsidRDefault="009A0DB4" w:rsidP="00711378">
      <w:pPr>
        <w:rPr>
          <w:caps/>
          <w:sz w:val="24"/>
          <w:szCs w:val="24"/>
        </w:rPr>
      </w:pPr>
      <w:bookmarkStart w:id="3" w:name="TitleOfDoc"/>
      <w:bookmarkStart w:id="4" w:name="_GoBack"/>
      <w:bookmarkEnd w:id="3"/>
      <w:r w:rsidRPr="00F9539B">
        <w:rPr>
          <w:caps/>
          <w:sz w:val="24"/>
          <w:szCs w:val="24"/>
        </w:rPr>
        <w:t>Revision of WIPO Standard ST.27</w:t>
      </w:r>
    </w:p>
    <w:bookmarkEnd w:id="4"/>
    <w:p w14:paraId="728E5790" w14:textId="77777777" w:rsidR="008B2CC1" w:rsidRPr="004300DA" w:rsidRDefault="008B2CC1" w:rsidP="00711378">
      <w:pPr>
        <w:rPr>
          <w:szCs w:val="22"/>
        </w:rPr>
      </w:pPr>
    </w:p>
    <w:p w14:paraId="59C22E51" w14:textId="1165015C" w:rsidR="008B2CC1" w:rsidRPr="004300DA" w:rsidRDefault="00F9539B" w:rsidP="00711378">
      <w:pPr>
        <w:rPr>
          <w:i/>
          <w:szCs w:val="22"/>
        </w:rPr>
      </w:pPr>
      <w:bookmarkStart w:id="5" w:name="Prepared"/>
      <w:bookmarkEnd w:id="5"/>
      <w:r>
        <w:rPr>
          <w:i/>
          <w:szCs w:val="22"/>
        </w:rPr>
        <w:t xml:space="preserve">Document prepared by the </w:t>
      </w:r>
      <w:r w:rsidR="005E46FD" w:rsidRPr="004300DA">
        <w:rPr>
          <w:i/>
          <w:szCs w:val="22"/>
        </w:rPr>
        <w:t>International Bureau</w:t>
      </w:r>
    </w:p>
    <w:p w14:paraId="0977AEC6" w14:textId="77777777" w:rsidR="00AC205C" w:rsidRPr="004300DA" w:rsidRDefault="00AC205C" w:rsidP="00711378">
      <w:pPr>
        <w:rPr>
          <w:szCs w:val="22"/>
        </w:rPr>
      </w:pPr>
    </w:p>
    <w:p w14:paraId="4F789122" w14:textId="77777777" w:rsidR="000F5E56" w:rsidRPr="004300DA" w:rsidRDefault="000F5E56" w:rsidP="00711378">
      <w:pPr>
        <w:rPr>
          <w:szCs w:val="22"/>
        </w:rPr>
      </w:pPr>
    </w:p>
    <w:p w14:paraId="34BA0FC3" w14:textId="768BA0F6" w:rsidR="002928D3" w:rsidRPr="007653F6" w:rsidRDefault="002928D3" w:rsidP="00711378">
      <w:pPr>
        <w:rPr>
          <w:szCs w:val="22"/>
        </w:rPr>
      </w:pPr>
    </w:p>
    <w:p w14:paraId="65AB0669" w14:textId="77777777" w:rsidR="007653F6" w:rsidRPr="007653F6" w:rsidRDefault="007653F6" w:rsidP="00711378">
      <w:pPr>
        <w:rPr>
          <w:szCs w:val="22"/>
        </w:rPr>
      </w:pPr>
    </w:p>
    <w:p w14:paraId="60FB8B12" w14:textId="77777777" w:rsidR="002928D3" w:rsidRPr="004300DA" w:rsidRDefault="002928D3" w:rsidP="00711378">
      <w:pPr>
        <w:rPr>
          <w:szCs w:val="22"/>
        </w:rPr>
      </w:pPr>
    </w:p>
    <w:p w14:paraId="2D132C93" w14:textId="77777777" w:rsidR="00FC7AE8" w:rsidRPr="004300DA" w:rsidRDefault="00FC7AE8" w:rsidP="00711378">
      <w:pPr>
        <w:pStyle w:val="Heading2"/>
        <w:spacing w:before="0"/>
        <w:rPr>
          <w:szCs w:val="22"/>
        </w:rPr>
      </w:pPr>
      <w:r w:rsidRPr="004300DA">
        <w:rPr>
          <w:caps w:val="0"/>
          <w:szCs w:val="22"/>
        </w:rPr>
        <w:t>INTRODUCTION</w:t>
      </w:r>
    </w:p>
    <w:p w14:paraId="26556948" w14:textId="74FE8CE5" w:rsidR="00D05455" w:rsidRPr="004300DA" w:rsidRDefault="00D05455" w:rsidP="00711378">
      <w:pPr>
        <w:numPr>
          <w:ilvl w:val="0"/>
          <w:numId w:val="5"/>
        </w:numPr>
        <w:tabs>
          <w:tab w:val="clear" w:pos="567"/>
        </w:tabs>
        <w:spacing w:after="220"/>
        <w:rPr>
          <w:szCs w:val="22"/>
        </w:rPr>
      </w:pPr>
      <w:r w:rsidRPr="004300DA">
        <w:rPr>
          <w:szCs w:val="22"/>
        </w:rPr>
        <w:t xml:space="preserve">At </w:t>
      </w:r>
      <w:r w:rsidR="007D7318">
        <w:rPr>
          <w:szCs w:val="22"/>
        </w:rPr>
        <w:t>its</w:t>
      </w:r>
      <w:r w:rsidRPr="004300DA">
        <w:rPr>
          <w:szCs w:val="22"/>
        </w:rPr>
        <w:t xml:space="preserve"> sixth session </w:t>
      </w:r>
      <w:r>
        <w:rPr>
          <w:szCs w:val="22"/>
        </w:rPr>
        <w:t>held in 2018</w:t>
      </w:r>
      <w:r w:rsidRPr="004300DA">
        <w:rPr>
          <w:szCs w:val="22"/>
        </w:rPr>
        <w:t>,</w:t>
      </w:r>
      <w:r w:rsidR="007D7318" w:rsidRPr="007D7318">
        <w:rPr>
          <w:szCs w:val="22"/>
        </w:rPr>
        <w:t xml:space="preserve"> </w:t>
      </w:r>
      <w:r w:rsidR="007D7318" w:rsidRPr="004300DA">
        <w:rPr>
          <w:szCs w:val="22"/>
        </w:rPr>
        <w:t>the Committee on WIPO Standards (CWS)</w:t>
      </w:r>
      <w:r w:rsidRPr="004300DA">
        <w:rPr>
          <w:szCs w:val="22"/>
        </w:rPr>
        <w:t xml:space="preserve"> approved the revised WIPO Standard ST.27, version 1.1</w:t>
      </w:r>
      <w:r w:rsidR="00376D9A">
        <w:rPr>
          <w:szCs w:val="22"/>
        </w:rPr>
        <w:t>, and adopted the new ST.27 Annex V "Guidance Document" as provisional</w:t>
      </w:r>
      <w:r>
        <w:rPr>
          <w:szCs w:val="22"/>
        </w:rPr>
        <w:t>.</w:t>
      </w:r>
      <w:r w:rsidRPr="004300DA">
        <w:rPr>
          <w:szCs w:val="22"/>
        </w:rPr>
        <w:t xml:space="preserve"> </w:t>
      </w:r>
      <w:r w:rsidR="007D7318">
        <w:rPr>
          <w:szCs w:val="22"/>
        </w:rPr>
        <w:t xml:space="preserve"> </w:t>
      </w:r>
      <w:r>
        <w:rPr>
          <w:szCs w:val="22"/>
        </w:rPr>
        <w:t xml:space="preserve">Changes </w:t>
      </w:r>
      <w:r w:rsidRPr="004300DA">
        <w:rPr>
          <w:szCs w:val="22"/>
        </w:rPr>
        <w:t>includ</w:t>
      </w:r>
      <w:r>
        <w:rPr>
          <w:szCs w:val="22"/>
        </w:rPr>
        <w:t>ed</w:t>
      </w:r>
      <w:r w:rsidRPr="004300DA">
        <w:rPr>
          <w:szCs w:val="22"/>
        </w:rPr>
        <w:t xml:space="preserve"> modifying maintenance fee payment events and improving the descriptions of name change and ownership transfer events.  Several other proposals were referred to the Legal Status Task Forc</w:t>
      </w:r>
      <w:r w:rsidR="00F9539B">
        <w:rPr>
          <w:szCs w:val="22"/>
        </w:rPr>
        <w:t>e for further consideration (</w:t>
      </w:r>
      <w:r w:rsidR="002E049A">
        <w:rPr>
          <w:szCs w:val="22"/>
        </w:rPr>
        <w:t>s</w:t>
      </w:r>
      <w:r w:rsidRPr="004300DA">
        <w:rPr>
          <w:szCs w:val="22"/>
        </w:rPr>
        <w:t>ee paragraph</w:t>
      </w:r>
      <w:r w:rsidR="00F9539B">
        <w:rPr>
          <w:szCs w:val="22"/>
        </w:rPr>
        <w:t>s 74 to 86 of document CWS/6/34</w:t>
      </w:r>
      <w:r w:rsidRPr="004300DA">
        <w:rPr>
          <w:szCs w:val="22"/>
        </w:rPr>
        <w:t>)</w:t>
      </w:r>
      <w:r w:rsidR="002E049A">
        <w:rPr>
          <w:szCs w:val="22"/>
        </w:rPr>
        <w:t>.</w:t>
      </w:r>
    </w:p>
    <w:p w14:paraId="53A1C09E" w14:textId="2FCE8634" w:rsidR="001C4A9D" w:rsidRPr="004300DA" w:rsidRDefault="007D7318" w:rsidP="00711378">
      <w:pPr>
        <w:numPr>
          <w:ilvl w:val="0"/>
          <w:numId w:val="5"/>
        </w:numPr>
        <w:tabs>
          <w:tab w:val="clear" w:pos="567"/>
        </w:tabs>
        <w:spacing w:after="220"/>
        <w:rPr>
          <w:szCs w:val="22"/>
        </w:rPr>
      </w:pPr>
      <w:r w:rsidRPr="004300DA">
        <w:rPr>
          <w:szCs w:val="22"/>
        </w:rPr>
        <w:t xml:space="preserve">At </w:t>
      </w:r>
      <w:r>
        <w:rPr>
          <w:szCs w:val="22"/>
        </w:rPr>
        <w:t>its</w:t>
      </w:r>
      <w:r w:rsidRPr="004300DA">
        <w:rPr>
          <w:szCs w:val="22"/>
        </w:rPr>
        <w:t xml:space="preserve"> sixth session</w:t>
      </w:r>
      <w:r>
        <w:rPr>
          <w:szCs w:val="22"/>
        </w:rPr>
        <w:t>,</w:t>
      </w:r>
      <w:r w:rsidRPr="004300DA">
        <w:rPr>
          <w:szCs w:val="22"/>
        </w:rPr>
        <w:t xml:space="preserve"> </w:t>
      </w:r>
      <w:r>
        <w:rPr>
          <w:szCs w:val="22"/>
        </w:rPr>
        <w:t>t</w:t>
      </w:r>
      <w:r w:rsidR="00FC7F5F" w:rsidRPr="004300DA">
        <w:rPr>
          <w:szCs w:val="22"/>
        </w:rPr>
        <w:t xml:space="preserve">he Committee </w:t>
      </w:r>
      <w:r w:rsidR="00D05455">
        <w:rPr>
          <w:szCs w:val="22"/>
        </w:rPr>
        <w:t xml:space="preserve">also </w:t>
      </w:r>
      <w:r w:rsidR="001C4A9D" w:rsidRPr="004300DA">
        <w:rPr>
          <w:szCs w:val="22"/>
        </w:rPr>
        <w:t>revised the description of Task No. 47 as follows: “prepare a final proposal for the detailed events and a final proposal for the guidance document with regard to patent legal status data; prepare a final proposal for the guidance document with respect to industrial design legal status data; prepare a recommendation for the exchange of legal status data on trademarks by industrial property offices” (see paragraph 73 of document CWS/6/34).</w:t>
      </w:r>
    </w:p>
    <w:p w14:paraId="3A3F613B" w14:textId="77777777" w:rsidR="00FC7AE8" w:rsidRPr="004300DA" w:rsidRDefault="00FC7AE8" w:rsidP="00711378">
      <w:pPr>
        <w:pStyle w:val="Heading2"/>
        <w:rPr>
          <w:caps w:val="0"/>
          <w:szCs w:val="22"/>
        </w:rPr>
      </w:pPr>
      <w:r w:rsidRPr="004300DA">
        <w:rPr>
          <w:caps w:val="0"/>
          <w:szCs w:val="22"/>
        </w:rPr>
        <w:t>PROPOSED REVISION OF STANDARD ST.27</w:t>
      </w:r>
    </w:p>
    <w:p w14:paraId="2C81E309" w14:textId="0928A3BF" w:rsidR="00FC7AE8" w:rsidRPr="004300DA" w:rsidRDefault="00FC7AE8" w:rsidP="00711378">
      <w:pPr>
        <w:numPr>
          <w:ilvl w:val="0"/>
          <w:numId w:val="5"/>
        </w:numPr>
        <w:tabs>
          <w:tab w:val="clear" w:pos="567"/>
        </w:tabs>
        <w:spacing w:after="220"/>
        <w:rPr>
          <w:szCs w:val="22"/>
        </w:rPr>
      </w:pPr>
      <w:r w:rsidRPr="004300DA">
        <w:rPr>
          <w:szCs w:val="22"/>
        </w:rPr>
        <w:t>Within the framework of Task No. 47, the Legal Status Task Force (LSTF) prepared a proposal for the revised WIPO Standard ST.27, in particular updating the list of detailed events and</w:t>
      </w:r>
      <w:r w:rsidR="00E92C0C" w:rsidRPr="004300DA">
        <w:rPr>
          <w:szCs w:val="22"/>
        </w:rPr>
        <w:t xml:space="preserve"> adding a new annex with examples of common scenarios</w:t>
      </w:r>
      <w:r w:rsidRPr="004300DA">
        <w:rPr>
          <w:szCs w:val="22"/>
        </w:rPr>
        <w:t>.</w:t>
      </w:r>
      <w:r w:rsidR="00774C04" w:rsidRPr="004300DA">
        <w:rPr>
          <w:szCs w:val="22"/>
        </w:rPr>
        <w:t xml:space="preserve">  The Task Force also discussed the proposals referred to it by the CWS in paragraph </w:t>
      </w:r>
      <w:r w:rsidR="00D05455">
        <w:rPr>
          <w:szCs w:val="22"/>
        </w:rPr>
        <w:t>1</w:t>
      </w:r>
      <w:r w:rsidR="00774C04" w:rsidRPr="004300DA">
        <w:rPr>
          <w:szCs w:val="22"/>
        </w:rPr>
        <w:t xml:space="preserve"> above.</w:t>
      </w:r>
    </w:p>
    <w:p w14:paraId="62B1301B" w14:textId="1A9AC500" w:rsidR="00AD02A9" w:rsidRPr="004300DA" w:rsidRDefault="00AD02A9" w:rsidP="00711378">
      <w:pPr>
        <w:keepNext/>
        <w:keepLines/>
        <w:spacing w:after="120"/>
        <w:rPr>
          <w:szCs w:val="22"/>
        </w:rPr>
      </w:pPr>
      <w:r w:rsidRPr="004300DA">
        <w:rPr>
          <w:szCs w:val="22"/>
        </w:rPr>
        <w:lastRenderedPageBreak/>
        <w:t xml:space="preserve">CHANGES TO THE EVENT LIST (ANNEX I OF </w:t>
      </w:r>
      <w:r w:rsidR="00D05455">
        <w:rPr>
          <w:szCs w:val="22"/>
        </w:rPr>
        <w:t xml:space="preserve">WIPO </w:t>
      </w:r>
      <w:r w:rsidRPr="004300DA">
        <w:rPr>
          <w:szCs w:val="22"/>
        </w:rPr>
        <w:t>ST.27)</w:t>
      </w:r>
    </w:p>
    <w:p w14:paraId="3BBA443C" w14:textId="1DEB1919" w:rsidR="000D08AE" w:rsidRPr="004300DA" w:rsidRDefault="000D08AE" w:rsidP="00711378">
      <w:pPr>
        <w:keepLines/>
        <w:numPr>
          <w:ilvl w:val="0"/>
          <w:numId w:val="5"/>
        </w:numPr>
        <w:tabs>
          <w:tab w:val="clear" w:pos="567"/>
        </w:tabs>
        <w:spacing w:after="120"/>
        <w:rPr>
          <w:szCs w:val="22"/>
        </w:rPr>
      </w:pPr>
      <w:r w:rsidRPr="004300DA">
        <w:rPr>
          <w:szCs w:val="22"/>
        </w:rPr>
        <w:t xml:space="preserve">In response to the proposal for a new event on </w:t>
      </w:r>
      <w:r w:rsidR="00D05455">
        <w:rPr>
          <w:szCs w:val="22"/>
        </w:rPr>
        <w:t>"</w:t>
      </w:r>
      <w:r w:rsidRPr="004300DA">
        <w:rPr>
          <w:szCs w:val="22"/>
        </w:rPr>
        <w:t>patents of addition</w:t>
      </w:r>
      <w:r w:rsidR="00D05455">
        <w:rPr>
          <w:szCs w:val="22"/>
        </w:rPr>
        <w:t>"</w:t>
      </w:r>
      <w:r w:rsidRPr="004300DA">
        <w:rPr>
          <w:szCs w:val="22"/>
        </w:rPr>
        <w:t xml:space="preserve">, the Task Force considered that patents of addition are already covered by the existing events.  </w:t>
      </w:r>
      <w:r w:rsidR="00D05455">
        <w:rPr>
          <w:szCs w:val="22"/>
        </w:rPr>
        <w:t xml:space="preserve">Patents of addition are a type of patent provided by some </w:t>
      </w:r>
      <w:r w:rsidR="00464958">
        <w:rPr>
          <w:szCs w:val="22"/>
        </w:rPr>
        <w:t>Intellectual Property</w:t>
      </w:r>
      <w:r w:rsidR="00D05455">
        <w:rPr>
          <w:szCs w:val="22"/>
        </w:rPr>
        <w:t xml:space="preserve"> Offices (IPOs).  </w:t>
      </w:r>
      <w:r w:rsidRPr="004300DA">
        <w:rPr>
          <w:szCs w:val="22"/>
        </w:rPr>
        <w:t xml:space="preserve">The Task Force proposes </w:t>
      </w:r>
      <w:r w:rsidR="00A853EC" w:rsidRPr="004300DA">
        <w:rPr>
          <w:szCs w:val="22"/>
        </w:rPr>
        <w:t xml:space="preserve">updating the description of </w:t>
      </w:r>
      <w:r w:rsidR="00CC7716">
        <w:rPr>
          <w:szCs w:val="22"/>
        </w:rPr>
        <w:t>some ST.27 C</w:t>
      </w:r>
      <w:r w:rsidR="00A853EC" w:rsidRPr="004300DA">
        <w:rPr>
          <w:szCs w:val="22"/>
        </w:rPr>
        <w:t xml:space="preserve">ategories to clarify </w:t>
      </w:r>
      <w:r w:rsidRPr="004300DA">
        <w:rPr>
          <w:szCs w:val="22"/>
        </w:rPr>
        <w:t xml:space="preserve">the scope of </w:t>
      </w:r>
      <w:r w:rsidR="00A853EC" w:rsidRPr="004300DA">
        <w:rPr>
          <w:szCs w:val="22"/>
        </w:rPr>
        <w:t xml:space="preserve">application types and IP right types that are covered.  </w:t>
      </w:r>
      <w:r w:rsidR="00C1371B" w:rsidRPr="004300DA">
        <w:rPr>
          <w:szCs w:val="22"/>
        </w:rPr>
        <w:t xml:space="preserve">The following modifications are proposed to </w:t>
      </w:r>
      <w:r w:rsidR="002D14D4">
        <w:rPr>
          <w:szCs w:val="22"/>
        </w:rPr>
        <w:t>Categories</w:t>
      </w:r>
      <w:r w:rsidR="00C1371B" w:rsidRPr="004300DA">
        <w:rPr>
          <w:szCs w:val="22"/>
        </w:rPr>
        <w:t xml:space="preserve"> A and F, with other </w:t>
      </w:r>
      <w:r w:rsidR="002D14D4">
        <w:rPr>
          <w:szCs w:val="22"/>
        </w:rPr>
        <w:t>Categories</w:t>
      </w:r>
      <w:r w:rsidR="00C1371B" w:rsidRPr="004300DA">
        <w:rPr>
          <w:szCs w:val="22"/>
        </w:rPr>
        <w:t xml:space="preserve"> referencing A or F as appropriate</w:t>
      </w:r>
      <w:r w:rsidR="0061735B">
        <w:rPr>
          <w:szCs w:val="22"/>
        </w:rPr>
        <w:t xml:space="preserve"> (track changes shown compared to the version </w:t>
      </w:r>
      <w:r w:rsidR="00CC7716">
        <w:rPr>
          <w:szCs w:val="22"/>
        </w:rPr>
        <w:t xml:space="preserve">1.1 </w:t>
      </w:r>
      <w:r w:rsidR="0061735B">
        <w:rPr>
          <w:szCs w:val="22"/>
        </w:rPr>
        <w:t>published in Nov 2018)</w:t>
      </w:r>
      <w:r w:rsidR="004842A5">
        <w:rPr>
          <w:szCs w:val="22"/>
        </w:rPr>
        <w:t>:</w:t>
      </w:r>
    </w:p>
    <w:p w14:paraId="56C7CE7F" w14:textId="110C461C" w:rsidR="00B42F5D" w:rsidRPr="004300DA" w:rsidRDefault="00B42F5D" w:rsidP="00711378">
      <w:pPr>
        <w:spacing w:after="120"/>
        <w:ind w:left="562"/>
        <w:rPr>
          <w:szCs w:val="22"/>
        </w:rPr>
      </w:pPr>
      <w:r w:rsidRPr="004300DA">
        <w:rPr>
          <w:b/>
          <w:szCs w:val="22"/>
        </w:rPr>
        <w:t>A.</w:t>
      </w:r>
      <w:r w:rsidRPr="004300DA">
        <w:rPr>
          <w:b/>
          <w:szCs w:val="22"/>
        </w:rPr>
        <w:tab/>
        <w:t xml:space="preserve">Application filing:  </w:t>
      </w:r>
      <w:r w:rsidRPr="004300DA">
        <w:rPr>
          <w:szCs w:val="22"/>
        </w:rPr>
        <w:t xml:space="preserve">This category is a group of events related to the filing of </w:t>
      </w:r>
      <w:r w:rsidRPr="004300DA">
        <w:rPr>
          <w:szCs w:val="22"/>
          <w:u w:val="single"/>
        </w:rPr>
        <w:t xml:space="preserve">various types of </w:t>
      </w:r>
      <w:r w:rsidRPr="004300DA">
        <w:rPr>
          <w:strike/>
          <w:szCs w:val="22"/>
        </w:rPr>
        <w:t xml:space="preserve">an </w:t>
      </w:r>
      <w:r w:rsidRPr="004300DA">
        <w:rPr>
          <w:szCs w:val="22"/>
        </w:rPr>
        <w:t>application</w:t>
      </w:r>
      <w:r w:rsidRPr="004300DA">
        <w:rPr>
          <w:szCs w:val="22"/>
          <w:u w:val="single"/>
        </w:rPr>
        <w:t>s for an IP right</w:t>
      </w:r>
      <w:r w:rsidRPr="004300DA">
        <w:rPr>
          <w:szCs w:val="22"/>
        </w:rPr>
        <w:t>.  It includes, for example, when a national or regional IPO receives an application for the grant of an IP right</w:t>
      </w:r>
      <w:r w:rsidRPr="004300DA">
        <w:rPr>
          <w:szCs w:val="22"/>
          <w:u w:val="single"/>
        </w:rPr>
        <w:t>,</w:t>
      </w:r>
      <w:r w:rsidRPr="004300DA">
        <w:rPr>
          <w:szCs w:val="22"/>
        </w:rPr>
        <w:t xml:space="preserve"> together with any additional documentation and fees necessary to obtain a filing date under national or regional law or convention or the Patent Cooperation Treaty (PCT) as applicable.  </w:t>
      </w:r>
      <w:r w:rsidRPr="004300DA">
        <w:rPr>
          <w:szCs w:val="22"/>
          <w:u w:val="single"/>
        </w:rPr>
        <w:t>Types of applications covered include patents for inventions, utility models, supplementary protection certificates, plant patents, design patents, inventors’ certificates, utility certificates, and patents of addition</w:t>
      </w:r>
      <w:r w:rsidR="0031768F">
        <w:rPr>
          <w:szCs w:val="22"/>
          <w:u w:val="single"/>
        </w:rPr>
        <w:t xml:space="preserve">.  </w:t>
      </w:r>
      <w:r w:rsidR="0031768F" w:rsidRPr="004300DA">
        <w:rPr>
          <w:szCs w:val="22"/>
        </w:rPr>
        <w:t>T</w:t>
      </w:r>
      <w:r w:rsidRPr="004300DA">
        <w:rPr>
          <w:szCs w:val="22"/>
        </w:rPr>
        <w:t xml:space="preserve">his category also includes events related to the filing of a provisional application, divisional application, continuation, continuation in part, or an application for conversion.  It also </w:t>
      </w:r>
      <w:r w:rsidRPr="004300DA">
        <w:rPr>
          <w:strike/>
          <w:szCs w:val="22"/>
        </w:rPr>
        <w:t xml:space="preserve">includes </w:t>
      </w:r>
      <w:r w:rsidRPr="004300DA">
        <w:rPr>
          <w:szCs w:val="22"/>
          <w:u w:val="single"/>
        </w:rPr>
        <w:t xml:space="preserve">covers </w:t>
      </w:r>
      <w:r w:rsidRPr="004300DA">
        <w:rPr>
          <w:szCs w:val="22"/>
        </w:rPr>
        <w:t>entry of an international application into the national or regional phase.</w:t>
      </w:r>
    </w:p>
    <w:p w14:paraId="0A5475CA" w14:textId="77777777" w:rsidR="00C1371B" w:rsidRPr="004300DA" w:rsidRDefault="00C1371B" w:rsidP="00711378">
      <w:pPr>
        <w:spacing w:after="220"/>
        <w:ind w:left="562"/>
        <w:rPr>
          <w:szCs w:val="22"/>
        </w:rPr>
      </w:pPr>
      <w:r w:rsidRPr="004300DA">
        <w:rPr>
          <w:b/>
          <w:szCs w:val="22"/>
        </w:rPr>
        <w:t>F.</w:t>
      </w:r>
      <w:r w:rsidRPr="004300DA">
        <w:rPr>
          <w:b/>
          <w:szCs w:val="22"/>
        </w:rPr>
        <w:tab/>
        <w:t xml:space="preserve">IP right grant:  </w:t>
      </w:r>
      <w:r w:rsidRPr="004300DA">
        <w:rPr>
          <w:szCs w:val="22"/>
        </w:rPr>
        <w:t xml:space="preserve">This category is a group of events which relate to the effective grant date of an IP right and/or entry of an IP right into the IPO's register.  It includes, for example, when an IP right was granted following an examination, an appeal, pre-grant review or inadmissibility, rejection or withdrawal of a pre-grant review request.  </w:t>
      </w:r>
      <w:r w:rsidRPr="004300DA">
        <w:rPr>
          <w:szCs w:val="22"/>
          <w:u w:val="single"/>
        </w:rPr>
        <w:t xml:space="preserve">Types of IP rights covered include patents of invention, utility models, supplementary protection certificates, and any other IP rights that result from the types of applications covered by Category A.  </w:t>
      </w:r>
      <w:r w:rsidRPr="004300DA">
        <w:rPr>
          <w:szCs w:val="22"/>
        </w:rPr>
        <w:t>The events in this category may move an application from the examination stage or the pre-grant challenge stage into the grant stage.</w:t>
      </w:r>
    </w:p>
    <w:p w14:paraId="12FA5734" w14:textId="3F5F380E" w:rsidR="00064EBA" w:rsidRDefault="00464958" w:rsidP="00711378">
      <w:pPr>
        <w:numPr>
          <w:ilvl w:val="0"/>
          <w:numId w:val="5"/>
        </w:numPr>
        <w:tabs>
          <w:tab w:val="clear" w:pos="567"/>
        </w:tabs>
        <w:spacing w:after="120"/>
        <w:rPr>
          <w:szCs w:val="22"/>
        </w:rPr>
      </w:pPr>
      <w:r>
        <w:rPr>
          <w:szCs w:val="22"/>
        </w:rPr>
        <w:t xml:space="preserve">Once the proposed revisions have been approved, it is proposed that </w:t>
      </w:r>
      <w:r w:rsidR="00B61F54">
        <w:rPr>
          <w:szCs w:val="22"/>
        </w:rPr>
        <w:t>A</w:t>
      </w:r>
      <w:r w:rsidR="00064EBA">
        <w:rPr>
          <w:szCs w:val="22"/>
        </w:rPr>
        <w:t>nnex II of ST.27 be updated to reflect these changes</w:t>
      </w:r>
      <w:r>
        <w:rPr>
          <w:szCs w:val="22"/>
        </w:rPr>
        <w:t xml:space="preserve"> accordingly</w:t>
      </w:r>
      <w:r w:rsidR="00064EBA">
        <w:rPr>
          <w:szCs w:val="22"/>
        </w:rPr>
        <w:t>.</w:t>
      </w:r>
    </w:p>
    <w:p w14:paraId="714183CA" w14:textId="19C62A35" w:rsidR="00FE2B6E" w:rsidRPr="004300DA" w:rsidRDefault="00FE2B6E" w:rsidP="00711378">
      <w:pPr>
        <w:numPr>
          <w:ilvl w:val="0"/>
          <w:numId w:val="5"/>
        </w:numPr>
        <w:tabs>
          <w:tab w:val="clear" w:pos="567"/>
        </w:tabs>
        <w:spacing w:after="120"/>
        <w:rPr>
          <w:szCs w:val="22"/>
        </w:rPr>
      </w:pPr>
      <w:r w:rsidRPr="004300DA">
        <w:rPr>
          <w:szCs w:val="22"/>
        </w:rPr>
        <w:t xml:space="preserve">On the proposal to add the phrase "to the applicant" to </w:t>
      </w:r>
      <w:r w:rsidR="002D14D4">
        <w:rPr>
          <w:szCs w:val="22"/>
        </w:rPr>
        <w:t>Events</w:t>
      </w:r>
      <w:r w:rsidRPr="004300DA">
        <w:rPr>
          <w:szCs w:val="22"/>
        </w:rPr>
        <w:t xml:space="preserve"> D14 and D15, the Task Force considered that not all IPOs provide the search and examination report to the applicant when it is completed.  The Task Force proposes changing the description </w:t>
      </w:r>
      <w:r w:rsidR="00B00D7A" w:rsidRPr="004300DA">
        <w:rPr>
          <w:szCs w:val="22"/>
        </w:rPr>
        <w:t xml:space="preserve">of those </w:t>
      </w:r>
      <w:r w:rsidR="002D14D4">
        <w:rPr>
          <w:szCs w:val="22"/>
        </w:rPr>
        <w:t>Events</w:t>
      </w:r>
      <w:r w:rsidR="00B00D7A" w:rsidRPr="004300DA">
        <w:rPr>
          <w:szCs w:val="22"/>
        </w:rPr>
        <w:t xml:space="preserve"> as follows:</w:t>
      </w:r>
    </w:p>
    <w:p w14:paraId="6DF56868" w14:textId="2E08C336" w:rsidR="00FE2B6E" w:rsidRPr="004300DA" w:rsidRDefault="00FE2B6E" w:rsidP="00711378">
      <w:pPr>
        <w:spacing w:after="120"/>
        <w:ind w:left="1124" w:hanging="562"/>
        <w:jc w:val="both"/>
        <w:rPr>
          <w:szCs w:val="22"/>
        </w:rPr>
      </w:pPr>
      <w:r w:rsidRPr="004300DA">
        <w:rPr>
          <w:szCs w:val="22"/>
        </w:rPr>
        <w:t>D14.</w:t>
      </w:r>
      <w:r w:rsidRPr="004300DA">
        <w:rPr>
          <w:szCs w:val="22"/>
        </w:rPr>
        <w:tab/>
        <w:t xml:space="preserve">Search report </w:t>
      </w:r>
      <w:r w:rsidRPr="004300DA">
        <w:rPr>
          <w:strike/>
          <w:szCs w:val="22"/>
        </w:rPr>
        <w:t xml:space="preserve">issued </w:t>
      </w:r>
      <w:r w:rsidRPr="004300DA">
        <w:rPr>
          <w:szCs w:val="22"/>
          <w:u w:val="single"/>
        </w:rPr>
        <w:t>completed</w:t>
      </w:r>
      <w:r w:rsidRPr="004300DA">
        <w:rPr>
          <w:szCs w:val="22"/>
        </w:rPr>
        <w:t xml:space="preserve"> (A prior art search report for an application was </w:t>
      </w:r>
      <w:r w:rsidRPr="004300DA">
        <w:rPr>
          <w:strike/>
          <w:szCs w:val="22"/>
        </w:rPr>
        <w:t>issued</w:t>
      </w:r>
      <w:r w:rsidR="004300DA">
        <w:rPr>
          <w:strike/>
          <w:szCs w:val="22"/>
        </w:rPr>
        <w:t xml:space="preserve"> </w:t>
      </w:r>
      <w:r w:rsidRPr="004300DA">
        <w:rPr>
          <w:szCs w:val="22"/>
          <w:u w:val="single"/>
        </w:rPr>
        <w:t>completed by the IPO</w:t>
      </w:r>
      <w:r w:rsidRPr="004300DA">
        <w:rPr>
          <w:rStyle w:val="CommentReference"/>
          <w:sz w:val="22"/>
          <w:szCs w:val="22"/>
        </w:rPr>
        <w:t>.</w:t>
      </w:r>
      <w:r w:rsidRPr="004300DA">
        <w:rPr>
          <w:szCs w:val="22"/>
        </w:rPr>
        <w:t>)</w:t>
      </w:r>
    </w:p>
    <w:p w14:paraId="6A1BCD74" w14:textId="7AB35763" w:rsidR="00FE2B6E" w:rsidRPr="004300DA" w:rsidRDefault="00FE2B6E" w:rsidP="00711378">
      <w:pPr>
        <w:spacing w:after="220"/>
        <w:ind w:left="562"/>
        <w:rPr>
          <w:szCs w:val="22"/>
        </w:rPr>
      </w:pPr>
      <w:r w:rsidRPr="004300DA">
        <w:rPr>
          <w:szCs w:val="22"/>
        </w:rPr>
        <w:t>D15.</w:t>
      </w:r>
      <w:r w:rsidRPr="004300DA">
        <w:rPr>
          <w:szCs w:val="22"/>
        </w:rPr>
        <w:tab/>
        <w:t xml:space="preserve">Examination report </w:t>
      </w:r>
      <w:r w:rsidRPr="004300DA">
        <w:rPr>
          <w:strike/>
          <w:szCs w:val="22"/>
        </w:rPr>
        <w:t xml:space="preserve">issued </w:t>
      </w:r>
      <w:r w:rsidRPr="004300DA">
        <w:rPr>
          <w:szCs w:val="22"/>
          <w:u w:val="single"/>
        </w:rPr>
        <w:t>completed</w:t>
      </w:r>
      <w:r w:rsidRPr="004300DA">
        <w:rPr>
          <w:szCs w:val="22"/>
        </w:rPr>
        <w:t xml:space="preserve"> (A substantive examination report </w:t>
      </w:r>
      <w:r w:rsidRPr="004300DA">
        <w:rPr>
          <w:szCs w:val="22"/>
          <w:u w:val="single"/>
        </w:rPr>
        <w:t>was completed by the IPO</w:t>
      </w:r>
      <w:r w:rsidRPr="004300DA">
        <w:rPr>
          <w:strike/>
          <w:szCs w:val="22"/>
          <w:u w:val="single"/>
        </w:rPr>
        <w:t xml:space="preserve"> </w:t>
      </w:r>
      <w:r w:rsidRPr="004300DA">
        <w:rPr>
          <w:strike/>
          <w:szCs w:val="22"/>
        </w:rPr>
        <w:t>or a notification of the reason for refusal of the application was issued</w:t>
      </w:r>
      <w:r w:rsidRPr="004300DA">
        <w:rPr>
          <w:szCs w:val="22"/>
        </w:rPr>
        <w:t>.)</w:t>
      </w:r>
    </w:p>
    <w:p w14:paraId="715D4953" w14:textId="4A606786" w:rsidR="008D21BB" w:rsidRPr="004300DA" w:rsidRDefault="008D21BB" w:rsidP="00711378">
      <w:pPr>
        <w:numPr>
          <w:ilvl w:val="0"/>
          <w:numId w:val="5"/>
        </w:numPr>
        <w:tabs>
          <w:tab w:val="clear" w:pos="567"/>
        </w:tabs>
        <w:spacing w:after="120"/>
        <w:rPr>
          <w:szCs w:val="22"/>
        </w:rPr>
      </w:pPr>
      <w:r w:rsidRPr="004300DA">
        <w:rPr>
          <w:szCs w:val="22"/>
        </w:rPr>
        <w:t xml:space="preserve">The CWS </w:t>
      </w:r>
      <w:r w:rsidR="004842A5">
        <w:rPr>
          <w:szCs w:val="22"/>
        </w:rPr>
        <w:t>approved</w:t>
      </w:r>
      <w:r w:rsidR="004842A5" w:rsidRPr="004300DA">
        <w:rPr>
          <w:szCs w:val="22"/>
        </w:rPr>
        <w:t xml:space="preserve"> </w:t>
      </w:r>
      <w:r w:rsidRPr="004300DA">
        <w:rPr>
          <w:szCs w:val="22"/>
        </w:rPr>
        <w:t xml:space="preserve">a proposal to clarify </w:t>
      </w:r>
      <w:r w:rsidR="002D14D4">
        <w:rPr>
          <w:szCs w:val="22"/>
        </w:rPr>
        <w:t>Events</w:t>
      </w:r>
      <w:r w:rsidRPr="004300DA">
        <w:rPr>
          <w:szCs w:val="22"/>
        </w:rPr>
        <w:t xml:space="preserve"> R12</w:t>
      </w:r>
      <w:r w:rsidR="007E1B1A" w:rsidRPr="004300DA">
        <w:rPr>
          <w:szCs w:val="22"/>
        </w:rPr>
        <w:t xml:space="preserve"> to R14</w:t>
      </w:r>
      <w:r w:rsidR="00CC7716">
        <w:rPr>
          <w:szCs w:val="22"/>
        </w:rPr>
        <w:t xml:space="preserve"> at its sixth session</w:t>
      </w:r>
      <w:r w:rsidR="007E1B1A" w:rsidRPr="004300DA">
        <w:rPr>
          <w:szCs w:val="22"/>
        </w:rPr>
        <w:t xml:space="preserve">.  The Task Force considered that further clarification would help users better understand the differences between these </w:t>
      </w:r>
      <w:r w:rsidR="002D14D4">
        <w:rPr>
          <w:szCs w:val="22"/>
        </w:rPr>
        <w:t>Events</w:t>
      </w:r>
      <w:r w:rsidR="007E1B1A" w:rsidRPr="004300DA">
        <w:rPr>
          <w:szCs w:val="22"/>
        </w:rPr>
        <w:t xml:space="preserve"> and proposes the following additional</w:t>
      </w:r>
      <w:r w:rsidR="004207A9" w:rsidRPr="004300DA">
        <w:rPr>
          <w:szCs w:val="22"/>
        </w:rPr>
        <w:t xml:space="preserve"> clarifying</w:t>
      </w:r>
      <w:r w:rsidR="007E1B1A" w:rsidRPr="004300DA">
        <w:rPr>
          <w:szCs w:val="22"/>
        </w:rPr>
        <w:t xml:space="preserve"> edits:</w:t>
      </w:r>
    </w:p>
    <w:p w14:paraId="58C757B5" w14:textId="77777777" w:rsidR="007E1B1A" w:rsidRPr="004300DA" w:rsidRDefault="007E1B1A" w:rsidP="00711378">
      <w:pPr>
        <w:keepLines/>
        <w:ind w:left="1138" w:hanging="576"/>
        <w:jc w:val="both"/>
        <w:rPr>
          <w:szCs w:val="22"/>
        </w:rPr>
      </w:pPr>
      <w:r w:rsidRPr="004300DA">
        <w:rPr>
          <w:szCs w:val="22"/>
        </w:rPr>
        <w:t>R12*.</w:t>
      </w:r>
      <w:r w:rsidRPr="004300DA">
        <w:rPr>
          <w:szCs w:val="22"/>
        </w:rPr>
        <w:tab/>
        <w:t xml:space="preserve">Change to the name of applicant or owner or transfer of ownership recorded (A change to the applicant(s) or owner(s) of the application or IP right, </w:t>
      </w:r>
      <w:r w:rsidRPr="004300DA">
        <w:rPr>
          <w:szCs w:val="22"/>
          <w:u w:val="single"/>
        </w:rPr>
        <w:t xml:space="preserve">or a transfer of ownership or an assignment, </w:t>
      </w:r>
      <w:r w:rsidRPr="004300DA">
        <w:rPr>
          <w:strike/>
          <w:szCs w:val="22"/>
        </w:rPr>
        <w:t xml:space="preserve">including a change in name(s) or in composition, </w:t>
      </w:r>
      <w:r w:rsidRPr="004300DA">
        <w:rPr>
          <w:szCs w:val="22"/>
        </w:rPr>
        <w:t xml:space="preserve">was recorded by the IPO.  This may be due to a </w:t>
      </w:r>
      <w:r w:rsidRPr="004300DA">
        <w:rPr>
          <w:szCs w:val="22"/>
          <w:u w:val="single"/>
        </w:rPr>
        <w:t xml:space="preserve">name correction, a legal </w:t>
      </w:r>
      <w:r w:rsidRPr="004300DA">
        <w:rPr>
          <w:szCs w:val="22"/>
        </w:rPr>
        <w:t xml:space="preserve">name change, a transfer of ownership, </w:t>
      </w:r>
      <w:r w:rsidRPr="004300DA">
        <w:rPr>
          <w:szCs w:val="22"/>
          <w:u w:val="single"/>
        </w:rPr>
        <w:t xml:space="preserve">or </w:t>
      </w:r>
      <w:r w:rsidRPr="004300DA">
        <w:rPr>
          <w:szCs w:val="22"/>
        </w:rPr>
        <w:t>an assignment</w:t>
      </w:r>
      <w:r w:rsidRPr="004300DA">
        <w:rPr>
          <w:strike/>
          <w:szCs w:val="22"/>
        </w:rPr>
        <w:t xml:space="preserve"> or a legal proceeding</w:t>
      </w:r>
      <w:r w:rsidRPr="004300DA">
        <w:rPr>
          <w:szCs w:val="22"/>
        </w:rPr>
        <w:t>.)  This detailed event is intended for use by IPOs which cannot distinguish between R13 and R14.  If the distinction is possible, the use of R13 and R14 is highly recommended.</w:t>
      </w:r>
    </w:p>
    <w:p w14:paraId="727CAEE4" w14:textId="3D42C8EC" w:rsidR="007E1B1A" w:rsidRPr="004300DA" w:rsidRDefault="007E1B1A" w:rsidP="00711378">
      <w:pPr>
        <w:keepLines/>
        <w:shd w:val="clear" w:color="auto" w:fill="FFFFFF"/>
        <w:spacing w:after="120"/>
        <w:ind w:left="1124" w:hanging="562"/>
        <w:rPr>
          <w:rFonts w:eastAsia="Times New Roman"/>
          <w:color w:val="222222"/>
          <w:szCs w:val="22"/>
          <w:lang w:eastAsia="en-CA"/>
        </w:rPr>
      </w:pPr>
      <w:r w:rsidRPr="004300DA">
        <w:rPr>
          <w:rFonts w:eastAsia="Times New Roman"/>
          <w:color w:val="222222"/>
          <w:szCs w:val="22"/>
          <w:lang w:eastAsia="en-CA"/>
        </w:rPr>
        <w:lastRenderedPageBreak/>
        <w:t>R13*</w:t>
      </w:r>
      <w:r w:rsidR="0031768F">
        <w:rPr>
          <w:rFonts w:eastAsia="Times New Roman"/>
          <w:color w:val="222222"/>
          <w:szCs w:val="22"/>
          <w:lang w:eastAsia="en-CA"/>
        </w:rPr>
        <w:t xml:space="preserve">.  </w:t>
      </w:r>
      <w:r w:rsidR="0031768F" w:rsidRPr="004300DA">
        <w:rPr>
          <w:rFonts w:eastAsia="Times New Roman"/>
          <w:color w:val="222222"/>
          <w:szCs w:val="22"/>
          <w:lang w:eastAsia="en-CA"/>
        </w:rPr>
        <w:t>C</w:t>
      </w:r>
      <w:r w:rsidRPr="004300DA">
        <w:rPr>
          <w:rFonts w:eastAsia="Times New Roman"/>
          <w:color w:val="222222"/>
          <w:szCs w:val="22"/>
          <w:lang w:eastAsia="en-CA"/>
        </w:rPr>
        <w:t xml:space="preserve">hange to the name of applicant or owner recorded (A change to the name(s) of the applicant(s) or owner(s) of the application or IP right </w:t>
      </w:r>
      <w:r w:rsidRPr="004300DA">
        <w:rPr>
          <w:rFonts w:eastAsia="Times New Roman"/>
          <w:color w:val="222222"/>
          <w:szCs w:val="22"/>
          <w:u w:val="single"/>
          <w:lang w:eastAsia="en-CA"/>
        </w:rPr>
        <w:t xml:space="preserve">that does not indicate a transfer </w:t>
      </w:r>
      <w:r w:rsidRPr="004300DA">
        <w:rPr>
          <w:rFonts w:eastAsia="Times New Roman"/>
          <w:color w:val="222222"/>
          <w:szCs w:val="22"/>
          <w:lang w:eastAsia="en-CA"/>
        </w:rPr>
        <w:t>was recorded by the IPO.</w:t>
      </w:r>
      <w:r w:rsidRPr="004300DA">
        <w:rPr>
          <w:rFonts w:eastAsia="Times New Roman"/>
          <w:color w:val="222222"/>
          <w:szCs w:val="22"/>
          <w:u w:val="single"/>
          <w:lang w:eastAsia="en-CA"/>
        </w:rPr>
        <w:t xml:space="preserve">  </w:t>
      </w:r>
      <w:r w:rsidRPr="004300DA">
        <w:rPr>
          <w:rFonts w:eastAsia="Times New Roman"/>
          <w:bCs/>
          <w:color w:val="222222"/>
          <w:szCs w:val="22"/>
          <w:u w:val="single"/>
          <w:lang w:eastAsia="en-CA"/>
        </w:rPr>
        <w:t>The most common reasons for this type of change are name corrections, spelling mistakes, or legal name changes such as a corporate merger.</w:t>
      </w:r>
      <w:r w:rsidRPr="004300DA">
        <w:rPr>
          <w:rFonts w:eastAsia="Times New Roman"/>
          <w:color w:val="222222"/>
          <w:szCs w:val="22"/>
          <w:lang w:eastAsia="en-CA"/>
        </w:rPr>
        <w:t>)</w:t>
      </w:r>
    </w:p>
    <w:p w14:paraId="344E4F80" w14:textId="42BBE684" w:rsidR="007E1B1A" w:rsidRPr="004300DA" w:rsidRDefault="007E1B1A" w:rsidP="00711378">
      <w:pPr>
        <w:keepLines/>
        <w:shd w:val="clear" w:color="auto" w:fill="FFFFFF"/>
        <w:spacing w:after="220"/>
        <w:ind w:left="1124" w:hanging="562"/>
        <w:rPr>
          <w:rFonts w:eastAsia="Times New Roman"/>
          <w:color w:val="222222"/>
          <w:szCs w:val="22"/>
          <w:lang w:eastAsia="en-CA"/>
        </w:rPr>
      </w:pPr>
      <w:r w:rsidRPr="004300DA">
        <w:rPr>
          <w:rFonts w:eastAsia="Times New Roman"/>
          <w:color w:val="222222"/>
          <w:szCs w:val="22"/>
          <w:lang w:eastAsia="en-CA"/>
        </w:rPr>
        <w:t>R14*</w:t>
      </w:r>
      <w:r w:rsidR="0031768F">
        <w:rPr>
          <w:rFonts w:eastAsia="Times New Roman"/>
          <w:color w:val="222222"/>
          <w:szCs w:val="22"/>
          <w:lang w:eastAsia="en-CA"/>
        </w:rPr>
        <w:t xml:space="preserve">.  </w:t>
      </w:r>
      <w:r w:rsidR="0031768F" w:rsidRPr="004300DA">
        <w:rPr>
          <w:rFonts w:eastAsia="Times New Roman"/>
          <w:color w:val="222222"/>
          <w:szCs w:val="22"/>
          <w:lang w:eastAsia="en-CA"/>
        </w:rPr>
        <w:t>T</w:t>
      </w:r>
      <w:r w:rsidRPr="004300DA">
        <w:rPr>
          <w:rFonts w:eastAsia="Times New Roman"/>
          <w:color w:val="222222"/>
          <w:szCs w:val="22"/>
          <w:lang w:eastAsia="en-CA"/>
        </w:rPr>
        <w:t>ransfer of ownership recorded (A transfer of ownership</w:t>
      </w:r>
      <w:r w:rsidRPr="004300DA">
        <w:rPr>
          <w:rFonts w:eastAsia="Times New Roman"/>
          <w:strike/>
          <w:color w:val="222222"/>
          <w:szCs w:val="22"/>
          <w:lang w:eastAsia="en-CA"/>
        </w:rPr>
        <w:t>,</w:t>
      </w:r>
      <w:r w:rsidRPr="004300DA">
        <w:rPr>
          <w:rFonts w:eastAsia="Times New Roman"/>
          <w:color w:val="222222"/>
          <w:szCs w:val="22"/>
          <w:lang w:eastAsia="en-CA"/>
        </w:rPr>
        <w:t xml:space="preserve"> </w:t>
      </w:r>
      <w:r w:rsidRPr="004300DA">
        <w:rPr>
          <w:rFonts w:eastAsia="Times New Roman"/>
          <w:color w:val="222222"/>
          <w:szCs w:val="22"/>
          <w:u w:val="single"/>
          <w:lang w:eastAsia="en-CA"/>
        </w:rPr>
        <w:t xml:space="preserve">or </w:t>
      </w:r>
      <w:r w:rsidRPr="004300DA">
        <w:rPr>
          <w:rFonts w:eastAsia="Times New Roman"/>
          <w:color w:val="222222"/>
          <w:szCs w:val="22"/>
          <w:lang w:eastAsia="en-CA"/>
        </w:rPr>
        <w:t>an assignment</w:t>
      </w:r>
      <w:r w:rsidRPr="004300DA">
        <w:rPr>
          <w:rFonts w:eastAsia="Times New Roman"/>
          <w:strike/>
          <w:color w:val="222222"/>
          <w:szCs w:val="22"/>
          <w:lang w:eastAsia="en-CA"/>
        </w:rPr>
        <w:t>, or a change to the composition of applicant(s) or owner(s)</w:t>
      </w:r>
      <w:r w:rsidRPr="004300DA">
        <w:rPr>
          <w:rFonts w:eastAsia="Times New Roman"/>
          <w:color w:val="222222"/>
          <w:szCs w:val="22"/>
          <w:lang w:eastAsia="en-CA"/>
        </w:rPr>
        <w:t xml:space="preserve"> of the application or IP right was recorded by the IPO.</w:t>
      </w:r>
      <w:r w:rsidRPr="004300DA">
        <w:rPr>
          <w:rFonts w:eastAsia="Times New Roman"/>
          <w:color w:val="222222"/>
          <w:szCs w:val="22"/>
          <w:u w:val="single"/>
          <w:lang w:eastAsia="en-CA"/>
        </w:rPr>
        <w:t xml:space="preserve">  </w:t>
      </w:r>
      <w:r w:rsidRPr="004300DA">
        <w:rPr>
          <w:rFonts w:eastAsia="Times New Roman"/>
          <w:bCs/>
          <w:color w:val="222222"/>
          <w:szCs w:val="22"/>
          <w:u w:val="single"/>
          <w:lang w:eastAsia="en-CA"/>
        </w:rPr>
        <w:t>This event indicates that the interest is given by one party to another, such as by a voluntary exchange, an assignment, or a contractual obligation.</w:t>
      </w:r>
      <w:r w:rsidRPr="004300DA">
        <w:rPr>
          <w:rFonts w:eastAsia="Times New Roman"/>
          <w:color w:val="222222"/>
          <w:szCs w:val="22"/>
          <w:lang w:eastAsia="en-CA"/>
        </w:rPr>
        <w:t>)</w:t>
      </w:r>
    </w:p>
    <w:p w14:paraId="6B862ADD" w14:textId="0AD6C065" w:rsidR="001A2212" w:rsidRPr="004300DA" w:rsidRDefault="001A2212" w:rsidP="00711378">
      <w:pPr>
        <w:numPr>
          <w:ilvl w:val="0"/>
          <w:numId w:val="5"/>
        </w:numPr>
        <w:tabs>
          <w:tab w:val="clear" w:pos="567"/>
        </w:tabs>
        <w:spacing w:after="120"/>
        <w:rPr>
          <w:szCs w:val="22"/>
        </w:rPr>
      </w:pPr>
      <w:r w:rsidRPr="004300DA">
        <w:rPr>
          <w:szCs w:val="22"/>
        </w:rPr>
        <w:t xml:space="preserve">One Task Force member proposed a new event to record when a </w:t>
      </w:r>
      <w:r w:rsidR="00FE259D">
        <w:rPr>
          <w:szCs w:val="22"/>
        </w:rPr>
        <w:t>Supplementary Protection Certificate (</w:t>
      </w:r>
      <w:r w:rsidRPr="004300DA">
        <w:rPr>
          <w:szCs w:val="22"/>
        </w:rPr>
        <w:t>SPC</w:t>
      </w:r>
      <w:r w:rsidR="00FE259D">
        <w:rPr>
          <w:szCs w:val="22"/>
        </w:rPr>
        <w:t>)</w:t>
      </w:r>
      <w:r w:rsidRPr="004300DA">
        <w:rPr>
          <w:szCs w:val="22"/>
        </w:rPr>
        <w:t xml:space="preserve"> enters into force.  The Task Force considered that this event would be useful since a number of IPOs reported that they have a national event for this situation in their response to the survey of SPCs and P</w:t>
      </w:r>
      <w:r w:rsidR="00FE259D">
        <w:rPr>
          <w:szCs w:val="22"/>
        </w:rPr>
        <w:t xml:space="preserve">atent </w:t>
      </w:r>
      <w:r w:rsidRPr="004300DA">
        <w:rPr>
          <w:szCs w:val="22"/>
        </w:rPr>
        <w:t>T</w:t>
      </w:r>
      <w:r w:rsidR="00FE259D">
        <w:rPr>
          <w:szCs w:val="22"/>
        </w:rPr>
        <w:t xml:space="preserve">erm </w:t>
      </w:r>
      <w:r w:rsidRPr="004300DA">
        <w:rPr>
          <w:szCs w:val="22"/>
        </w:rPr>
        <w:t>E</w:t>
      </w:r>
      <w:r w:rsidR="00FE259D">
        <w:rPr>
          <w:szCs w:val="22"/>
        </w:rPr>
        <w:t>xtensions (PTE</w:t>
      </w:r>
      <w:r w:rsidRPr="004300DA">
        <w:rPr>
          <w:szCs w:val="22"/>
        </w:rPr>
        <w:t>s</w:t>
      </w:r>
      <w:r w:rsidR="00FE259D">
        <w:rPr>
          <w:szCs w:val="22"/>
        </w:rPr>
        <w:t>)</w:t>
      </w:r>
      <w:r w:rsidRPr="004300DA">
        <w:rPr>
          <w:szCs w:val="22"/>
        </w:rPr>
        <w:t xml:space="preserve"> for Part 7 of the WIPO Handbook.  The Task Force proposes the following new event for </w:t>
      </w:r>
      <w:r w:rsidR="00CC7716">
        <w:rPr>
          <w:szCs w:val="22"/>
        </w:rPr>
        <w:t xml:space="preserve">WIPO </w:t>
      </w:r>
      <w:r w:rsidRPr="004300DA">
        <w:rPr>
          <w:szCs w:val="22"/>
        </w:rPr>
        <w:t>ST.27:</w:t>
      </w:r>
    </w:p>
    <w:p w14:paraId="6451CB1C" w14:textId="1429DCE4" w:rsidR="001A2212" w:rsidRPr="004300DA" w:rsidRDefault="001A2212" w:rsidP="00711378">
      <w:pPr>
        <w:spacing w:after="200"/>
        <w:ind w:left="1134" w:hanging="567"/>
        <w:jc w:val="both"/>
        <w:rPr>
          <w:szCs w:val="22"/>
        </w:rPr>
      </w:pPr>
      <w:r w:rsidRPr="004300DA">
        <w:rPr>
          <w:bCs/>
          <w:szCs w:val="22"/>
          <w:u w:val="single"/>
        </w:rPr>
        <w:t>F17.</w:t>
      </w:r>
      <w:r w:rsidRPr="004300DA">
        <w:rPr>
          <w:b/>
          <w:bCs/>
          <w:szCs w:val="22"/>
          <w:u w:val="single"/>
        </w:rPr>
        <w:tab/>
      </w:r>
      <w:r w:rsidRPr="004300DA">
        <w:rPr>
          <w:bCs/>
          <w:szCs w:val="22"/>
          <w:u w:val="single"/>
        </w:rPr>
        <w:t>IP right entered into force.</w:t>
      </w:r>
      <w:r w:rsidRPr="004300DA">
        <w:rPr>
          <w:szCs w:val="22"/>
          <w:u w:val="single"/>
        </w:rPr>
        <w:t> (This event is for IP rights which enter into force at a later time after the grant, such as SPCs.  Offices do not need to use this event when the grant and entry into force occur at the same time, such as a patent grant.)</w:t>
      </w:r>
    </w:p>
    <w:p w14:paraId="3251E2BE" w14:textId="1DB90DD8" w:rsidR="00AA65C5" w:rsidRPr="004300DA" w:rsidRDefault="00AA65C5" w:rsidP="00711378">
      <w:pPr>
        <w:numPr>
          <w:ilvl w:val="0"/>
          <w:numId w:val="5"/>
        </w:numPr>
        <w:tabs>
          <w:tab w:val="clear" w:pos="567"/>
        </w:tabs>
        <w:spacing w:after="220"/>
        <w:rPr>
          <w:szCs w:val="22"/>
        </w:rPr>
      </w:pPr>
      <w:r w:rsidRPr="004300DA">
        <w:rPr>
          <w:szCs w:val="22"/>
        </w:rPr>
        <w:t>The Task Force proposes c</w:t>
      </w:r>
      <w:r w:rsidRPr="004300DA">
        <w:rPr>
          <w:rFonts w:eastAsia="Batang"/>
          <w:szCs w:val="22"/>
          <w:lang w:eastAsia="ko-KR"/>
        </w:rPr>
        <w:t xml:space="preserve">hanging the name of </w:t>
      </w:r>
      <w:r w:rsidR="002D14D4">
        <w:rPr>
          <w:rFonts w:eastAsia="Batang"/>
          <w:szCs w:val="22"/>
          <w:lang w:eastAsia="ko-KR"/>
        </w:rPr>
        <w:t>Category</w:t>
      </w:r>
      <w:r w:rsidRPr="004300DA">
        <w:rPr>
          <w:rFonts w:eastAsia="Batang"/>
          <w:szCs w:val="22"/>
          <w:lang w:eastAsia="ko-KR"/>
        </w:rPr>
        <w:t xml:space="preserve"> S from "Licensing" to "Licensing and related transactions" to better reflect events in </w:t>
      </w:r>
      <w:r w:rsidR="002D14D4">
        <w:rPr>
          <w:rFonts w:eastAsia="Batang"/>
          <w:szCs w:val="22"/>
          <w:lang w:eastAsia="ko-KR"/>
        </w:rPr>
        <w:t>Category</w:t>
      </w:r>
      <w:r w:rsidRPr="004300DA">
        <w:rPr>
          <w:rFonts w:eastAsia="Batang"/>
          <w:szCs w:val="22"/>
          <w:lang w:eastAsia="ko-KR"/>
        </w:rPr>
        <w:t xml:space="preserve"> S which do not involve licensing, such as security interests or royalty agreements.  The Task Force also considered reducing the number of events in </w:t>
      </w:r>
      <w:r w:rsidR="002D14D4">
        <w:rPr>
          <w:rFonts w:eastAsia="Batang"/>
          <w:szCs w:val="22"/>
          <w:lang w:eastAsia="ko-KR"/>
        </w:rPr>
        <w:t>Category</w:t>
      </w:r>
      <w:r w:rsidRPr="004300DA">
        <w:rPr>
          <w:rFonts w:eastAsia="Batang"/>
          <w:szCs w:val="22"/>
          <w:lang w:eastAsia="ko-KR"/>
        </w:rPr>
        <w:t xml:space="preserve"> S</w:t>
      </w:r>
      <w:r w:rsidR="00C32845">
        <w:rPr>
          <w:rFonts w:eastAsia="Batang"/>
          <w:szCs w:val="22"/>
          <w:lang w:eastAsia="ko-KR"/>
        </w:rPr>
        <w:t xml:space="preserve"> because some licensing event distinctions may be better recorded as supplementary data.</w:t>
      </w:r>
      <w:r w:rsidRPr="004300DA">
        <w:rPr>
          <w:rFonts w:eastAsia="Batang"/>
          <w:szCs w:val="22"/>
          <w:lang w:eastAsia="ko-KR"/>
        </w:rPr>
        <w:t xml:space="preserve"> </w:t>
      </w:r>
      <w:r w:rsidR="00C32845">
        <w:rPr>
          <w:rFonts w:eastAsia="Batang"/>
          <w:szCs w:val="22"/>
          <w:lang w:eastAsia="ko-KR"/>
        </w:rPr>
        <w:t xml:space="preserve">  M</w:t>
      </w:r>
      <w:r w:rsidRPr="004300DA">
        <w:rPr>
          <w:rFonts w:eastAsia="Batang"/>
          <w:szCs w:val="22"/>
          <w:lang w:eastAsia="ko-KR"/>
        </w:rPr>
        <w:t>ore study is needed before a proposal can be made.</w:t>
      </w:r>
    </w:p>
    <w:p w14:paraId="643FD133" w14:textId="77777777" w:rsidR="00DA6500" w:rsidRPr="004300DA" w:rsidRDefault="00DA6500" w:rsidP="00711378">
      <w:pPr>
        <w:spacing w:after="120"/>
        <w:rPr>
          <w:szCs w:val="22"/>
        </w:rPr>
      </w:pPr>
      <w:r w:rsidRPr="004300DA">
        <w:rPr>
          <w:szCs w:val="22"/>
        </w:rPr>
        <w:t xml:space="preserve">NEW ANNEX V TO </w:t>
      </w:r>
      <w:r>
        <w:rPr>
          <w:szCs w:val="22"/>
        </w:rPr>
        <w:t xml:space="preserve">WIPO </w:t>
      </w:r>
      <w:r w:rsidRPr="004300DA">
        <w:rPr>
          <w:szCs w:val="22"/>
        </w:rPr>
        <w:t>ST.27</w:t>
      </w:r>
    </w:p>
    <w:p w14:paraId="7F498058" w14:textId="6529B35F" w:rsidR="00DA6500" w:rsidRPr="004300DA" w:rsidRDefault="00DA6500" w:rsidP="00711378">
      <w:pPr>
        <w:numPr>
          <w:ilvl w:val="0"/>
          <w:numId w:val="5"/>
        </w:numPr>
        <w:tabs>
          <w:tab w:val="clear" w:pos="567"/>
        </w:tabs>
        <w:spacing w:after="220"/>
        <w:rPr>
          <w:szCs w:val="22"/>
        </w:rPr>
      </w:pPr>
      <w:r>
        <w:rPr>
          <w:szCs w:val="22"/>
        </w:rPr>
        <w:t>Following the decision at the sixth session of the CWS, the Task Force worked to prepar</w:t>
      </w:r>
      <w:r w:rsidR="000C46AD">
        <w:rPr>
          <w:szCs w:val="22"/>
        </w:rPr>
        <w:t>e a final proposal for the G</w:t>
      </w:r>
      <w:r>
        <w:rPr>
          <w:szCs w:val="22"/>
        </w:rPr>
        <w:t xml:space="preserve">uidance </w:t>
      </w:r>
      <w:r w:rsidR="000C46AD">
        <w:rPr>
          <w:szCs w:val="22"/>
        </w:rPr>
        <w:t>D</w:t>
      </w:r>
      <w:r>
        <w:rPr>
          <w:szCs w:val="22"/>
        </w:rPr>
        <w:t xml:space="preserve">ocument.  </w:t>
      </w:r>
      <w:r w:rsidRPr="004300DA">
        <w:rPr>
          <w:szCs w:val="22"/>
        </w:rPr>
        <w:t xml:space="preserve">The Task Force prepared a new set of examples to assist </w:t>
      </w:r>
      <w:r>
        <w:rPr>
          <w:szCs w:val="22"/>
        </w:rPr>
        <w:t>IPOs</w:t>
      </w:r>
      <w:r w:rsidRPr="004300DA">
        <w:rPr>
          <w:szCs w:val="22"/>
        </w:rPr>
        <w:t xml:space="preserve"> and others </w:t>
      </w:r>
      <w:r>
        <w:rPr>
          <w:szCs w:val="22"/>
        </w:rPr>
        <w:t xml:space="preserve">with </w:t>
      </w:r>
      <w:r w:rsidRPr="004300DA">
        <w:rPr>
          <w:szCs w:val="22"/>
        </w:rPr>
        <w:t>understand</w:t>
      </w:r>
      <w:r>
        <w:rPr>
          <w:szCs w:val="22"/>
        </w:rPr>
        <w:t>ing</w:t>
      </w:r>
      <w:r w:rsidRPr="004300DA">
        <w:rPr>
          <w:szCs w:val="22"/>
        </w:rPr>
        <w:t xml:space="preserve"> how to use ST.27.  The new examples were prepared around a set of common scenarios identified by the Task Force, with examples for each scenario provided by several Offices.  The examples are intended to better show how to map national events to ST.27 events, and how to transform those mappings into an ST.27 data file for exchange with others.</w:t>
      </w:r>
    </w:p>
    <w:p w14:paraId="08E41138" w14:textId="69A2D6D4" w:rsidR="00DA6500" w:rsidRPr="004300DA" w:rsidRDefault="00DA6500" w:rsidP="00711378">
      <w:pPr>
        <w:numPr>
          <w:ilvl w:val="0"/>
          <w:numId w:val="5"/>
        </w:numPr>
        <w:tabs>
          <w:tab w:val="clear" w:pos="567"/>
        </w:tabs>
        <w:spacing w:after="220"/>
        <w:rPr>
          <w:szCs w:val="22"/>
        </w:rPr>
      </w:pPr>
      <w:r w:rsidRPr="004300DA">
        <w:rPr>
          <w:szCs w:val="22"/>
        </w:rPr>
        <w:t>Due to the length and somewhat different purpose of the new examples, it is proposed to place them in a new Annex to ST.27 rather than incorporate them into the existing guidance document in Annex V to ST.27.  Under this proposal, the new examples will be placed in a new Annex V titled “Common Scenario</w:t>
      </w:r>
      <w:r>
        <w:rPr>
          <w:szCs w:val="22"/>
        </w:rPr>
        <w:t>s</w:t>
      </w:r>
      <w:r w:rsidRPr="004300DA">
        <w:rPr>
          <w:szCs w:val="22"/>
        </w:rPr>
        <w:t xml:space="preserve"> Guidance Document”.  The existing Annex V </w:t>
      </w:r>
      <w:r w:rsidR="00481349">
        <w:rPr>
          <w:szCs w:val="22"/>
        </w:rPr>
        <w:t>G</w:t>
      </w:r>
      <w:r w:rsidRPr="004300DA">
        <w:rPr>
          <w:szCs w:val="22"/>
        </w:rPr>
        <w:t xml:space="preserve">uidance </w:t>
      </w:r>
      <w:r w:rsidR="00481349">
        <w:rPr>
          <w:szCs w:val="22"/>
        </w:rPr>
        <w:t>D</w:t>
      </w:r>
      <w:r w:rsidRPr="004300DA">
        <w:rPr>
          <w:szCs w:val="22"/>
        </w:rPr>
        <w:t xml:space="preserve">ocument will be renumbered as Annex VI titled “Category </w:t>
      </w:r>
      <w:r w:rsidR="00D54755">
        <w:rPr>
          <w:szCs w:val="22"/>
        </w:rPr>
        <w:t xml:space="preserve">Based </w:t>
      </w:r>
      <w:r w:rsidRPr="004300DA">
        <w:rPr>
          <w:szCs w:val="22"/>
        </w:rPr>
        <w:t>Guidance Document”.</w:t>
      </w:r>
    </w:p>
    <w:p w14:paraId="1CB02B8B" w14:textId="6B8953AB" w:rsidR="00DA6500" w:rsidRDefault="00DA6500" w:rsidP="00711378">
      <w:pPr>
        <w:numPr>
          <w:ilvl w:val="0"/>
          <w:numId w:val="5"/>
        </w:numPr>
        <w:tabs>
          <w:tab w:val="clear" w:pos="567"/>
        </w:tabs>
        <w:spacing w:after="220"/>
        <w:rPr>
          <w:szCs w:val="22"/>
        </w:rPr>
      </w:pPr>
      <w:r w:rsidRPr="004300DA">
        <w:rPr>
          <w:szCs w:val="22"/>
        </w:rPr>
        <w:t xml:space="preserve">The proposed new Annex V of ST.27 is presented as Annex I to the present document.  The current Annex V of ST.27 will have no changes apart from renumbering and </w:t>
      </w:r>
      <w:r w:rsidR="00D54755">
        <w:rPr>
          <w:szCs w:val="22"/>
        </w:rPr>
        <w:t xml:space="preserve">the </w:t>
      </w:r>
      <w:r w:rsidR="00DC7BA0">
        <w:rPr>
          <w:szCs w:val="22"/>
        </w:rPr>
        <w:t xml:space="preserve">new title.  Therefore it </w:t>
      </w:r>
      <w:r w:rsidRPr="004300DA">
        <w:rPr>
          <w:szCs w:val="22"/>
        </w:rPr>
        <w:t xml:space="preserve">is not presented </w:t>
      </w:r>
      <w:r w:rsidR="00DC7BA0">
        <w:rPr>
          <w:szCs w:val="22"/>
        </w:rPr>
        <w:t>for consideration by the CWS</w:t>
      </w:r>
      <w:r w:rsidRPr="004300DA">
        <w:rPr>
          <w:szCs w:val="22"/>
        </w:rPr>
        <w:t>.</w:t>
      </w:r>
    </w:p>
    <w:p w14:paraId="5F585C3F" w14:textId="59530E5C" w:rsidR="00B46864" w:rsidRDefault="00B46864" w:rsidP="00711378">
      <w:pPr>
        <w:spacing w:after="60"/>
        <w:rPr>
          <w:szCs w:val="22"/>
        </w:rPr>
      </w:pPr>
      <w:r>
        <w:rPr>
          <w:szCs w:val="22"/>
        </w:rPr>
        <w:t>DISCUSSIONS ON EVENT ORGANIZATION</w:t>
      </w:r>
    </w:p>
    <w:p w14:paraId="6AED09F4" w14:textId="31A49200" w:rsidR="00392055" w:rsidRDefault="004530DF" w:rsidP="00711378">
      <w:pPr>
        <w:numPr>
          <w:ilvl w:val="0"/>
          <w:numId w:val="5"/>
        </w:numPr>
        <w:tabs>
          <w:tab w:val="clear" w:pos="567"/>
        </w:tabs>
        <w:spacing w:after="120"/>
        <w:rPr>
          <w:szCs w:val="22"/>
        </w:rPr>
      </w:pPr>
      <w:r>
        <w:rPr>
          <w:szCs w:val="22"/>
        </w:rPr>
        <w:t xml:space="preserve">Using the mapping tables provided by IPOs, the International Bureau reviewed the events in ST.27 for consistency and usefulness.  </w:t>
      </w:r>
      <w:r w:rsidR="001567B8">
        <w:rPr>
          <w:szCs w:val="22"/>
        </w:rPr>
        <w:t xml:space="preserve">This analysis revealed some areas that could be improved in the event organization.  Out of 168 events in </w:t>
      </w:r>
      <w:r w:rsidR="00DC7BA0">
        <w:rPr>
          <w:szCs w:val="22"/>
        </w:rPr>
        <w:t xml:space="preserve">version 1.1 of WIPO </w:t>
      </w:r>
      <w:r w:rsidR="001567B8">
        <w:rPr>
          <w:szCs w:val="22"/>
        </w:rPr>
        <w:t>ST.27, 46 events (25%) are directly related to another event in the same category.  For instance, A16 is for filing a divisional application, A17 is for rejection of a divisional application, and A18 is for acceptance of a divisional application.</w:t>
      </w:r>
      <w:r w:rsidR="00392055">
        <w:rPr>
          <w:szCs w:val="22"/>
        </w:rPr>
        <w:t xml:space="preserve">  </w:t>
      </w:r>
      <w:r w:rsidR="00E07CFE">
        <w:rPr>
          <w:szCs w:val="22"/>
        </w:rPr>
        <w:t>For A17 or A18 to occur, the event history should contain a previous A16 event.</w:t>
      </w:r>
    </w:p>
    <w:p w14:paraId="3A94FC94" w14:textId="0830419D" w:rsidR="004530DF" w:rsidRDefault="00392055" w:rsidP="00711378">
      <w:pPr>
        <w:numPr>
          <w:ilvl w:val="0"/>
          <w:numId w:val="5"/>
        </w:numPr>
        <w:tabs>
          <w:tab w:val="clear" w:pos="567"/>
        </w:tabs>
        <w:spacing w:after="220"/>
        <w:rPr>
          <w:szCs w:val="22"/>
        </w:rPr>
      </w:pPr>
      <w:r>
        <w:rPr>
          <w:szCs w:val="22"/>
        </w:rPr>
        <w:t xml:space="preserve">However, these relationships are not reflected in the ST.27 event data that Offices exchange.  The event codes A16, A17, and A18 do not indicate that those events </w:t>
      </w:r>
      <w:r w:rsidR="00652E74">
        <w:rPr>
          <w:szCs w:val="22"/>
        </w:rPr>
        <w:t xml:space="preserve">depend on </w:t>
      </w:r>
      <w:r>
        <w:rPr>
          <w:szCs w:val="22"/>
        </w:rPr>
        <w:t>each other</w:t>
      </w:r>
      <w:r w:rsidR="00652E74">
        <w:rPr>
          <w:szCs w:val="22"/>
        </w:rPr>
        <w:t>.  Making the relationships between events more explicit in the data exchanged between offices can make ST.27 easier to understand, implement, and work with.</w:t>
      </w:r>
    </w:p>
    <w:p w14:paraId="0B524AC1" w14:textId="46DCEE64" w:rsidR="003A7994" w:rsidRDefault="003A7994" w:rsidP="00711378">
      <w:pPr>
        <w:numPr>
          <w:ilvl w:val="0"/>
          <w:numId w:val="5"/>
        </w:numPr>
        <w:tabs>
          <w:tab w:val="clear" w:pos="567"/>
        </w:tabs>
        <w:spacing w:after="220"/>
        <w:rPr>
          <w:szCs w:val="22"/>
        </w:rPr>
      </w:pPr>
      <w:r>
        <w:rPr>
          <w:szCs w:val="22"/>
        </w:rPr>
        <w:t>In consultation with Task Force members, the International Bureau made a</w:t>
      </w:r>
      <w:r w:rsidR="00FE76CC" w:rsidRPr="004300DA">
        <w:rPr>
          <w:szCs w:val="22"/>
        </w:rPr>
        <w:t xml:space="preserve"> proposal </w:t>
      </w:r>
      <w:r>
        <w:rPr>
          <w:szCs w:val="22"/>
        </w:rPr>
        <w:t xml:space="preserve">to the Task Force </w:t>
      </w:r>
      <w:r w:rsidR="00FE76CC" w:rsidRPr="004300DA">
        <w:rPr>
          <w:szCs w:val="22"/>
        </w:rPr>
        <w:t xml:space="preserve">to </w:t>
      </w:r>
      <w:r w:rsidR="0064043D" w:rsidRPr="004300DA">
        <w:rPr>
          <w:szCs w:val="22"/>
        </w:rPr>
        <w:t>expand the coding of ST.27 events with three additional characters reflect</w:t>
      </w:r>
      <w:r w:rsidR="002C5E3D">
        <w:rPr>
          <w:szCs w:val="22"/>
        </w:rPr>
        <w:t>ing</w:t>
      </w:r>
      <w:r w:rsidR="0064043D" w:rsidRPr="004300DA">
        <w:rPr>
          <w:szCs w:val="22"/>
        </w:rPr>
        <w:t xml:space="preserve"> the type of procedure the event contains</w:t>
      </w:r>
      <w:r w:rsidR="00FE76CC" w:rsidRPr="004300DA">
        <w:rPr>
          <w:szCs w:val="22"/>
        </w:rPr>
        <w:t>.</w:t>
      </w:r>
      <w:r w:rsidR="0064043D" w:rsidRPr="004300DA">
        <w:rPr>
          <w:szCs w:val="22"/>
        </w:rPr>
        <w:t xml:space="preserve">  </w:t>
      </w:r>
      <w:r w:rsidR="002C5E3D">
        <w:rPr>
          <w:szCs w:val="22"/>
        </w:rPr>
        <w:t xml:space="preserve">This proposal was intended to </w:t>
      </w:r>
      <w:r w:rsidR="003D16B8">
        <w:rPr>
          <w:szCs w:val="22"/>
        </w:rPr>
        <w:t xml:space="preserve">improve </w:t>
      </w:r>
      <w:r w:rsidR="002C5E3D">
        <w:rPr>
          <w:szCs w:val="22"/>
        </w:rPr>
        <w:t xml:space="preserve">ST.27 </w:t>
      </w:r>
      <w:r w:rsidR="003D16B8">
        <w:rPr>
          <w:szCs w:val="22"/>
        </w:rPr>
        <w:t xml:space="preserve">by making some relationships between </w:t>
      </w:r>
      <w:r w:rsidR="002C5E3D">
        <w:rPr>
          <w:szCs w:val="22"/>
        </w:rPr>
        <w:t>events more explicit</w:t>
      </w:r>
      <w:r w:rsidR="003D16B8">
        <w:rPr>
          <w:szCs w:val="22"/>
        </w:rPr>
        <w:t xml:space="preserve"> and provide several other benefits </w:t>
      </w:r>
      <w:r w:rsidR="00B85C18">
        <w:rPr>
          <w:szCs w:val="22"/>
        </w:rPr>
        <w:t xml:space="preserve">as </w:t>
      </w:r>
      <w:r w:rsidR="003D16B8">
        <w:rPr>
          <w:szCs w:val="22"/>
        </w:rPr>
        <w:t>described below.</w:t>
      </w:r>
    </w:p>
    <w:p w14:paraId="30C9F27D" w14:textId="317607A0" w:rsidR="003D16B8" w:rsidRPr="00147E49" w:rsidRDefault="005522A3" w:rsidP="00711378">
      <w:pPr>
        <w:numPr>
          <w:ilvl w:val="0"/>
          <w:numId w:val="5"/>
        </w:numPr>
        <w:tabs>
          <w:tab w:val="clear" w:pos="567"/>
        </w:tabs>
        <w:spacing w:after="220"/>
        <w:rPr>
          <w:szCs w:val="22"/>
        </w:rPr>
      </w:pPr>
      <w:r w:rsidRPr="004300DA">
        <w:rPr>
          <w:szCs w:val="22"/>
        </w:rPr>
        <w:t xml:space="preserve">The </w:t>
      </w:r>
      <w:r w:rsidR="003D16B8">
        <w:rPr>
          <w:szCs w:val="22"/>
        </w:rPr>
        <w:t>proposal</w:t>
      </w:r>
      <w:r w:rsidRPr="004300DA">
        <w:rPr>
          <w:szCs w:val="22"/>
        </w:rPr>
        <w:t xml:space="preserve"> </w:t>
      </w:r>
      <w:r w:rsidR="003D16B8">
        <w:rPr>
          <w:szCs w:val="22"/>
        </w:rPr>
        <w:t>contain</w:t>
      </w:r>
      <w:r w:rsidR="000808C4">
        <w:rPr>
          <w:szCs w:val="22"/>
        </w:rPr>
        <w:t>ed</w:t>
      </w:r>
      <w:r w:rsidRPr="004300DA">
        <w:rPr>
          <w:szCs w:val="22"/>
        </w:rPr>
        <w:t xml:space="preserve"> a list of 15 tags which </w:t>
      </w:r>
      <w:r>
        <w:rPr>
          <w:szCs w:val="22"/>
        </w:rPr>
        <w:t xml:space="preserve">can </w:t>
      </w:r>
      <w:r w:rsidRPr="004300DA">
        <w:rPr>
          <w:szCs w:val="22"/>
        </w:rPr>
        <w:t xml:space="preserve">cover all 168 events in ST.27.  </w:t>
      </w:r>
      <w:r w:rsidR="000808C4">
        <w:rPr>
          <w:szCs w:val="22"/>
        </w:rPr>
        <w:t>These tags and their meaning are presented as Annex II to the present document</w:t>
      </w:r>
      <w:r w:rsidR="007C3EA1">
        <w:rPr>
          <w:szCs w:val="22"/>
        </w:rPr>
        <w:t xml:space="preserve"> for comment by the CWS</w:t>
      </w:r>
      <w:r w:rsidR="000808C4">
        <w:rPr>
          <w:szCs w:val="22"/>
        </w:rPr>
        <w:t>.</w:t>
      </w:r>
    </w:p>
    <w:p w14:paraId="25D3A547" w14:textId="545588E3" w:rsidR="0064043D" w:rsidRDefault="0064043D" w:rsidP="00711378">
      <w:pPr>
        <w:numPr>
          <w:ilvl w:val="0"/>
          <w:numId w:val="5"/>
        </w:numPr>
        <w:tabs>
          <w:tab w:val="clear" w:pos="567"/>
        </w:tabs>
        <w:spacing w:after="120"/>
        <w:rPr>
          <w:szCs w:val="22"/>
        </w:rPr>
      </w:pPr>
      <w:r w:rsidRPr="004300DA">
        <w:rPr>
          <w:szCs w:val="22"/>
        </w:rPr>
        <w:t>For instance</w:t>
      </w:r>
      <w:r w:rsidR="00147E49">
        <w:rPr>
          <w:szCs w:val="22"/>
        </w:rPr>
        <w:t xml:space="preserve">, using these tags </w:t>
      </w:r>
      <w:r w:rsidRPr="004300DA">
        <w:rPr>
          <w:szCs w:val="22"/>
        </w:rPr>
        <w:t>:</w:t>
      </w:r>
    </w:p>
    <w:p w14:paraId="09D9AD79" w14:textId="5145291A" w:rsidR="0064043D" w:rsidRPr="004300DA" w:rsidRDefault="0064043D" w:rsidP="00711378">
      <w:pPr>
        <w:pStyle w:val="ListParagraph"/>
        <w:numPr>
          <w:ilvl w:val="0"/>
          <w:numId w:val="11"/>
        </w:numPr>
        <w:rPr>
          <w:szCs w:val="22"/>
        </w:rPr>
      </w:pPr>
      <w:r w:rsidRPr="004300DA">
        <w:rPr>
          <w:szCs w:val="22"/>
        </w:rPr>
        <w:t>A16 could be changed to A16.fil</w:t>
      </w:r>
      <w:r w:rsidR="00147E49">
        <w:rPr>
          <w:szCs w:val="22"/>
        </w:rPr>
        <w:t xml:space="preserve"> since it concerns filing</w:t>
      </w:r>
    </w:p>
    <w:p w14:paraId="58FE6B08" w14:textId="76E34806" w:rsidR="00FE76CC" w:rsidRPr="004300DA" w:rsidRDefault="0064043D" w:rsidP="00711378">
      <w:pPr>
        <w:pStyle w:val="ListParagraph"/>
        <w:numPr>
          <w:ilvl w:val="0"/>
          <w:numId w:val="11"/>
        </w:numPr>
        <w:rPr>
          <w:szCs w:val="22"/>
        </w:rPr>
      </w:pPr>
      <w:r w:rsidRPr="004300DA">
        <w:rPr>
          <w:szCs w:val="22"/>
        </w:rPr>
        <w:t>A17 could be changed to A17.rej</w:t>
      </w:r>
      <w:r w:rsidR="00147E49">
        <w:rPr>
          <w:szCs w:val="22"/>
        </w:rPr>
        <w:t xml:space="preserve"> since it concerns rejection</w:t>
      </w:r>
    </w:p>
    <w:p w14:paraId="7B735569" w14:textId="427405F0" w:rsidR="0064043D" w:rsidRPr="004300DA" w:rsidRDefault="0064043D" w:rsidP="00711378">
      <w:pPr>
        <w:pStyle w:val="ListParagraph"/>
        <w:numPr>
          <w:ilvl w:val="0"/>
          <w:numId w:val="11"/>
        </w:numPr>
        <w:spacing w:after="220"/>
        <w:ind w:left="778"/>
        <w:contextualSpacing w:val="0"/>
        <w:rPr>
          <w:szCs w:val="22"/>
        </w:rPr>
      </w:pPr>
      <w:r w:rsidRPr="004300DA">
        <w:rPr>
          <w:szCs w:val="22"/>
        </w:rPr>
        <w:t>A18 could be changed to A18.acc</w:t>
      </w:r>
      <w:r w:rsidR="00147E49">
        <w:rPr>
          <w:szCs w:val="22"/>
        </w:rPr>
        <w:t xml:space="preserve"> since it concerns acceptance</w:t>
      </w:r>
    </w:p>
    <w:p w14:paraId="4EA0B112" w14:textId="64D6F06B" w:rsidR="0064043D" w:rsidRPr="00C32845" w:rsidRDefault="00323DBC" w:rsidP="00711378">
      <w:pPr>
        <w:numPr>
          <w:ilvl w:val="0"/>
          <w:numId w:val="5"/>
        </w:numPr>
        <w:tabs>
          <w:tab w:val="clear" w:pos="567"/>
        </w:tabs>
        <w:spacing w:before="120" w:after="120"/>
        <w:rPr>
          <w:szCs w:val="22"/>
        </w:rPr>
      </w:pPr>
      <w:r w:rsidRPr="00C32845">
        <w:rPr>
          <w:szCs w:val="22"/>
        </w:rPr>
        <w:t xml:space="preserve">This system could be applied further to combine the </w:t>
      </w:r>
      <w:r w:rsidR="007C3EA1" w:rsidRPr="00C32845">
        <w:rPr>
          <w:szCs w:val="22"/>
        </w:rPr>
        <w:t>coding</w:t>
      </w:r>
      <w:r w:rsidR="007C3EA1">
        <w:rPr>
          <w:szCs w:val="22"/>
        </w:rPr>
        <w:t>s</w:t>
      </w:r>
      <w:r w:rsidRPr="00C32845">
        <w:rPr>
          <w:szCs w:val="22"/>
        </w:rPr>
        <w:t xml:space="preserve"> of related events by using the same number and differentiating them </w:t>
      </w:r>
      <w:r w:rsidR="00147E49">
        <w:rPr>
          <w:szCs w:val="22"/>
        </w:rPr>
        <w:t xml:space="preserve">with </w:t>
      </w:r>
      <w:r w:rsidRPr="00C32845">
        <w:rPr>
          <w:szCs w:val="22"/>
        </w:rPr>
        <w:t>the tag.  Using the examples above:</w:t>
      </w:r>
    </w:p>
    <w:p w14:paraId="70D8FE3C" w14:textId="58C01322" w:rsidR="00323DBC" w:rsidRPr="004300DA" w:rsidRDefault="00323DBC" w:rsidP="00711378">
      <w:pPr>
        <w:pStyle w:val="ListParagraph"/>
        <w:numPr>
          <w:ilvl w:val="0"/>
          <w:numId w:val="11"/>
        </w:numPr>
        <w:rPr>
          <w:szCs w:val="22"/>
        </w:rPr>
      </w:pPr>
      <w:r w:rsidRPr="004300DA">
        <w:rPr>
          <w:szCs w:val="22"/>
        </w:rPr>
        <w:t xml:space="preserve">A16 </w:t>
      </w:r>
      <w:r w:rsidR="00147E49">
        <w:rPr>
          <w:szCs w:val="22"/>
        </w:rPr>
        <w:t>w</w:t>
      </w:r>
      <w:r w:rsidRPr="004300DA">
        <w:rPr>
          <w:szCs w:val="22"/>
        </w:rPr>
        <w:t>ould be A16.fil</w:t>
      </w:r>
      <w:r w:rsidR="00147E49">
        <w:rPr>
          <w:szCs w:val="22"/>
        </w:rPr>
        <w:t>, since it concerns filing</w:t>
      </w:r>
    </w:p>
    <w:p w14:paraId="4F9E3C35" w14:textId="19F6BCAF" w:rsidR="00323DBC" w:rsidRPr="004300DA" w:rsidRDefault="00323DBC" w:rsidP="00711378">
      <w:pPr>
        <w:pStyle w:val="ListParagraph"/>
        <w:numPr>
          <w:ilvl w:val="0"/>
          <w:numId w:val="11"/>
        </w:numPr>
        <w:rPr>
          <w:szCs w:val="22"/>
        </w:rPr>
      </w:pPr>
      <w:r w:rsidRPr="004300DA">
        <w:rPr>
          <w:szCs w:val="22"/>
        </w:rPr>
        <w:t xml:space="preserve">A17 </w:t>
      </w:r>
      <w:r w:rsidR="00147E49">
        <w:rPr>
          <w:szCs w:val="22"/>
        </w:rPr>
        <w:t>w</w:t>
      </w:r>
      <w:r w:rsidRPr="004300DA">
        <w:rPr>
          <w:szCs w:val="22"/>
        </w:rPr>
        <w:t>ould be A16.rej</w:t>
      </w:r>
      <w:r w:rsidR="00147E49">
        <w:rPr>
          <w:szCs w:val="22"/>
        </w:rPr>
        <w:t>, since it concerns rejection of an application filed under A16</w:t>
      </w:r>
    </w:p>
    <w:p w14:paraId="04789333" w14:textId="6D796196" w:rsidR="00323DBC" w:rsidRPr="004300DA" w:rsidRDefault="00323DBC" w:rsidP="00711378">
      <w:pPr>
        <w:pStyle w:val="ListParagraph"/>
        <w:numPr>
          <w:ilvl w:val="0"/>
          <w:numId w:val="11"/>
        </w:numPr>
        <w:spacing w:after="220"/>
        <w:ind w:left="778"/>
        <w:contextualSpacing w:val="0"/>
        <w:rPr>
          <w:szCs w:val="22"/>
        </w:rPr>
      </w:pPr>
      <w:r w:rsidRPr="004300DA">
        <w:rPr>
          <w:szCs w:val="22"/>
        </w:rPr>
        <w:t xml:space="preserve">A18 </w:t>
      </w:r>
      <w:r w:rsidR="00147E49">
        <w:rPr>
          <w:szCs w:val="22"/>
        </w:rPr>
        <w:t>w</w:t>
      </w:r>
      <w:r w:rsidRPr="004300DA">
        <w:rPr>
          <w:szCs w:val="22"/>
        </w:rPr>
        <w:t>ould be A16.acc</w:t>
      </w:r>
      <w:r w:rsidR="00147E49">
        <w:rPr>
          <w:szCs w:val="22"/>
        </w:rPr>
        <w:t>, since it concerns acceptance of an application filed under A16</w:t>
      </w:r>
    </w:p>
    <w:p w14:paraId="7A425576" w14:textId="3F640ECA" w:rsidR="006043E9" w:rsidRDefault="00323DBC" w:rsidP="00711378">
      <w:pPr>
        <w:numPr>
          <w:ilvl w:val="0"/>
          <w:numId w:val="5"/>
        </w:numPr>
        <w:tabs>
          <w:tab w:val="clear" w:pos="567"/>
        </w:tabs>
        <w:spacing w:after="220"/>
        <w:rPr>
          <w:szCs w:val="22"/>
        </w:rPr>
      </w:pPr>
      <w:r w:rsidRPr="00C32845">
        <w:rPr>
          <w:szCs w:val="22"/>
        </w:rPr>
        <w:t xml:space="preserve">This potential change offers a number of benefits.  It makes the relationships between events more explicit.  It </w:t>
      </w:r>
      <w:r w:rsidR="004441D6">
        <w:rPr>
          <w:szCs w:val="22"/>
        </w:rPr>
        <w:t>systematizes</w:t>
      </w:r>
      <w:r w:rsidRPr="00C32845">
        <w:rPr>
          <w:szCs w:val="22"/>
        </w:rPr>
        <w:t xml:space="preserve"> the coding system, making ST.27 easier to learn and to implement.  It </w:t>
      </w:r>
      <w:r w:rsidR="006043E9">
        <w:rPr>
          <w:szCs w:val="22"/>
        </w:rPr>
        <w:t xml:space="preserve">provides </w:t>
      </w:r>
      <w:r w:rsidRPr="00C32845">
        <w:rPr>
          <w:szCs w:val="22"/>
        </w:rPr>
        <w:t xml:space="preserve">flexibility for adding </w:t>
      </w:r>
      <w:r w:rsidR="006043E9">
        <w:rPr>
          <w:szCs w:val="22"/>
        </w:rPr>
        <w:t xml:space="preserve">missing </w:t>
      </w:r>
      <w:r w:rsidRPr="00C32845">
        <w:rPr>
          <w:szCs w:val="22"/>
        </w:rPr>
        <w:t xml:space="preserve">events </w:t>
      </w:r>
      <w:r w:rsidR="006043E9">
        <w:rPr>
          <w:szCs w:val="22"/>
        </w:rPr>
        <w:t>when</w:t>
      </w:r>
      <w:r w:rsidRPr="00C32845">
        <w:rPr>
          <w:szCs w:val="22"/>
        </w:rPr>
        <w:t xml:space="preserve"> needed in the future</w:t>
      </w:r>
      <w:r w:rsidR="006043E9">
        <w:rPr>
          <w:szCs w:val="22"/>
        </w:rPr>
        <w:t>: if the new event is related to an existing ST.27 event, then the numeric code of the existing event can be reused with a different procedure tag</w:t>
      </w:r>
      <w:r w:rsidRPr="00C32845">
        <w:rPr>
          <w:szCs w:val="22"/>
        </w:rPr>
        <w:t>.</w:t>
      </w:r>
    </w:p>
    <w:p w14:paraId="2A214E30" w14:textId="4D535B80" w:rsidR="00323DBC" w:rsidRDefault="006043E9" w:rsidP="00711378">
      <w:pPr>
        <w:numPr>
          <w:ilvl w:val="0"/>
          <w:numId w:val="5"/>
        </w:numPr>
        <w:tabs>
          <w:tab w:val="clear" w:pos="567"/>
        </w:tabs>
        <w:spacing w:before="120" w:after="220"/>
        <w:rPr>
          <w:szCs w:val="22"/>
        </w:rPr>
      </w:pPr>
      <w:r>
        <w:rPr>
          <w:szCs w:val="22"/>
        </w:rPr>
        <w:t xml:space="preserve">The system also </w:t>
      </w:r>
      <w:r w:rsidR="00F62B85" w:rsidRPr="00C32845">
        <w:rPr>
          <w:szCs w:val="22"/>
        </w:rPr>
        <w:t>allows IP</w:t>
      </w:r>
      <w:r w:rsidR="00FC36BB">
        <w:rPr>
          <w:szCs w:val="22"/>
        </w:rPr>
        <w:t>Os</w:t>
      </w:r>
      <w:r w:rsidR="00F62B85" w:rsidRPr="00C32845">
        <w:rPr>
          <w:szCs w:val="22"/>
        </w:rPr>
        <w:t xml:space="preserve"> to better reflect national events </w:t>
      </w:r>
      <w:r w:rsidR="00E83BE3">
        <w:rPr>
          <w:szCs w:val="22"/>
        </w:rPr>
        <w:t xml:space="preserve">which are </w:t>
      </w:r>
      <w:r w:rsidR="00F62B85" w:rsidRPr="00C32845">
        <w:rPr>
          <w:szCs w:val="22"/>
        </w:rPr>
        <w:t>not currently implemented in ST.27</w:t>
      </w:r>
      <w:r w:rsidR="00E83BE3">
        <w:rPr>
          <w:szCs w:val="22"/>
        </w:rPr>
        <w:t>.</w:t>
      </w:r>
      <w:r w:rsidR="00F62B85" w:rsidRPr="00C32845">
        <w:rPr>
          <w:szCs w:val="22"/>
        </w:rPr>
        <w:t xml:space="preserve"> </w:t>
      </w:r>
      <w:r w:rsidR="00E83BE3">
        <w:rPr>
          <w:szCs w:val="22"/>
        </w:rPr>
        <w:t xml:space="preserve"> U</w:t>
      </w:r>
      <w:r w:rsidR="00791531" w:rsidRPr="00C32845">
        <w:rPr>
          <w:szCs w:val="22"/>
        </w:rPr>
        <w:t>nspecified ST</w:t>
      </w:r>
      <w:r w:rsidR="00F62B85" w:rsidRPr="00C32845">
        <w:rPr>
          <w:szCs w:val="22"/>
        </w:rPr>
        <w:t xml:space="preserve">.27 events such as D00 </w:t>
      </w:r>
      <w:r w:rsidR="00E83BE3">
        <w:rPr>
          <w:szCs w:val="22"/>
        </w:rPr>
        <w:t xml:space="preserve">can be </w:t>
      </w:r>
      <w:r w:rsidR="00F62B85" w:rsidRPr="00C32845">
        <w:rPr>
          <w:szCs w:val="22"/>
        </w:rPr>
        <w:t>combined with an appropriate tag</w:t>
      </w:r>
      <w:r w:rsidR="00E83BE3">
        <w:rPr>
          <w:szCs w:val="22"/>
        </w:rPr>
        <w:t xml:space="preserve"> to better indicate the nature of the </w:t>
      </w:r>
      <w:r w:rsidR="00CC47C5">
        <w:rPr>
          <w:szCs w:val="22"/>
        </w:rPr>
        <w:t xml:space="preserve">national </w:t>
      </w:r>
      <w:r w:rsidR="00E83BE3">
        <w:rPr>
          <w:szCs w:val="22"/>
        </w:rPr>
        <w:t>event</w:t>
      </w:r>
      <w:r w:rsidR="00F62B85" w:rsidRPr="00C32845">
        <w:rPr>
          <w:szCs w:val="22"/>
        </w:rPr>
        <w:t>.</w:t>
      </w:r>
      <w:r w:rsidR="00CC47C5">
        <w:rPr>
          <w:szCs w:val="22"/>
        </w:rPr>
        <w:t xml:space="preserve">  Offices can experiment with these unspecified events according to their needs, and data on use of unspecified events can be collected and considered for inclusion as regular events in future ST.27 releases.</w:t>
      </w:r>
    </w:p>
    <w:p w14:paraId="1959F853" w14:textId="194B165D" w:rsidR="008C4543" w:rsidRDefault="00A34459" w:rsidP="00711378">
      <w:pPr>
        <w:numPr>
          <w:ilvl w:val="0"/>
          <w:numId w:val="5"/>
        </w:numPr>
        <w:tabs>
          <w:tab w:val="clear" w:pos="567"/>
        </w:tabs>
        <w:spacing w:before="120" w:after="220"/>
        <w:rPr>
          <w:szCs w:val="22"/>
        </w:rPr>
      </w:pPr>
      <w:r>
        <w:rPr>
          <w:szCs w:val="22"/>
        </w:rPr>
        <w:t xml:space="preserve">The proposal also has a number of potential drawbacks.  Some </w:t>
      </w:r>
      <w:r w:rsidR="00432A30">
        <w:rPr>
          <w:szCs w:val="22"/>
        </w:rPr>
        <w:t>Offices</w:t>
      </w:r>
      <w:r>
        <w:rPr>
          <w:szCs w:val="22"/>
        </w:rPr>
        <w:t xml:space="preserve"> prefer the current </w:t>
      </w:r>
      <w:r w:rsidR="00432A30">
        <w:rPr>
          <w:szCs w:val="22"/>
        </w:rPr>
        <w:t>event encodings</w:t>
      </w:r>
      <w:r>
        <w:rPr>
          <w:szCs w:val="22"/>
        </w:rPr>
        <w:t xml:space="preserve"> </w:t>
      </w:r>
      <w:r w:rsidR="00432A30">
        <w:rPr>
          <w:szCs w:val="22"/>
        </w:rPr>
        <w:t>because they are shorter or simpler</w:t>
      </w:r>
      <w:r>
        <w:rPr>
          <w:szCs w:val="22"/>
        </w:rPr>
        <w:t>.</w:t>
      </w:r>
      <w:r w:rsidR="00432A30">
        <w:rPr>
          <w:szCs w:val="22"/>
        </w:rPr>
        <w:t xml:space="preserve">  Some Offices want to maintain the current system to preserve their implementation investments or plans.  Some Offices are not convinced that the potential benefits are worth the added complexity</w:t>
      </w:r>
      <w:r w:rsidR="00EA6799">
        <w:rPr>
          <w:szCs w:val="22"/>
        </w:rPr>
        <w:t xml:space="preserve"> of the additional information</w:t>
      </w:r>
      <w:r w:rsidR="00432A30">
        <w:rPr>
          <w:szCs w:val="22"/>
        </w:rPr>
        <w:t xml:space="preserve">.  By contrast, some </w:t>
      </w:r>
      <w:r w:rsidR="00EA6799">
        <w:rPr>
          <w:szCs w:val="22"/>
        </w:rPr>
        <w:t xml:space="preserve">other </w:t>
      </w:r>
      <w:r w:rsidR="00432A30">
        <w:rPr>
          <w:szCs w:val="22"/>
        </w:rPr>
        <w:t xml:space="preserve">Offices do not think the proposed changes go far enough, and that more extensive reorganizations of the event list and encodings </w:t>
      </w:r>
      <w:r w:rsidR="00EA6799">
        <w:rPr>
          <w:szCs w:val="22"/>
        </w:rPr>
        <w:t>may be</w:t>
      </w:r>
      <w:r w:rsidR="00432A30">
        <w:rPr>
          <w:szCs w:val="22"/>
        </w:rPr>
        <w:t xml:space="preserve"> needed.</w:t>
      </w:r>
    </w:p>
    <w:p w14:paraId="07B744B6" w14:textId="77777777" w:rsidR="008C4543" w:rsidRPr="004300DA" w:rsidRDefault="008C4543" w:rsidP="00711378">
      <w:pPr>
        <w:keepNext/>
        <w:spacing w:before="240" w:after="60"/>
        <w:rPr>
          <w:szCs w:val="22"/>
        </w:rPr>
      </w:pPr>
      <w:r w:rsidRPr="004300DA">
        <w:rPr>
          <w:szCs w:val="22"/>
        </w:rPr>
        <w:t>CHANGES TO THE MAIN BODY OF ST.27</w:t>
      </w:r>
    </w:p>
    <w:p w14:paraId="02075D74" w14:textId="2A574887" w:rsidR="004B3029" w:rsidRDefault="00432A30" w:rsidP="00711378">
      <w:pPr>
        <w:numPr>
          <w:ilvl w:val="0"/>
          <w:numId w:val="5"/>
        </w:numPr>
        <w:tabs>
          <w:tab w:val="clear" w:pos="567"/>
        </w:tabs>
        <w:spacing w:after="120"/>
        <w:rPr>
          <w:szCs w:val="22"/>
        </w:rPr>
      </w:pPr>
      <w:r>
        <w:rPr>
          <w:szCs w:val="22"/>
        </w:rPr>
        <w:t>Because of these issues</w:t>
      </w:r>
      <w:r w:rsidR="00DC7BA0">
        <w:rPr>
          <w:szCs w:val="22"/>
        </w:rPr>
        <w:t xml:space="preserve"> </w:t>
      </w:r>
      <w:r w:rsidR="00430BAB">
        <w:rPr>
          <w:szCs w:val="22"/>
        </w:rPr>
        <w:t xml:space="preserve">regarding </w:t>
      </w:r>
      <w:r w:rsidR="00DC7BA0">
        <w:rPr>
          <w:szCs w:val="22"/>
        </w:rPr>
        <w:t>event organization</w:t>
      </w:r>
      <w:r>
        <w:rPr>
          <w:szCs w:val="22"/>
        </w:rPr>
        <w:t>, t</w:t>
      </w:r>
      <w:r w:rsidR="004B3029" w:rsidRPr="004300DA">
        <w:rPr>
          <w:szCs w:val="22"/>
        </w:rPr>
        <w:t xml:space="preserve">he Task Force </w:t>
      </w:r>
      <w:r w:rsidR="00C32845">
        <w:rPr>
          <w:szCs w:val="22"/>
        </w:rPr>
        <w:t>needs more time to consider</w:t>
      </w:r>
      <w:r w:rsidR="004B3029" w:rsidRPr="004300DA">
        <w:rPr>
          <w:szCs w:val="22"/>
        </w:rPr>
        <w:t xml:space="preserve"> this proposal.  Some </w:t>
      </w:r>
      <w:r>
        <w:rPr>
          <w:szCs w:val="22"/>
        </w:rPr>
        <w:t xml:space="preserve">Task Force members </w:t>
      </w:r>
      <w:r w:rsidR="004B3029" w:rsidRPr="004300DA">
        <w:rPr>
          <w:szCs w:val="22"/>
        </w:rPr>
        <w:t xml:space="preserve">were in favor of the proposal, some were </w:t>
      </w:r>
      <w:r w:rsidR="00C32845">
        <w:rPr>
          <w:szCs w:val="22"/>
        </w:rPr>
        <w:t>reluctant to make changes</w:t>
      </w:r>
      <w:r w:rsidR="004B3029" w:rsidRPr="004300DA">
        <w:rPr>
          <w:szCs w:val="22"/>
        </w:rPr>
        <w:t>, and others wanted to explore alternative ways of classify</w:t>
      </w:r>
      <w:r>
        <w:rPr>
          <w:szCs w:val="22"/>
        </w:rPr>
        <w:t>ing</w:t>
      </w:r>
      <w:r w:rsidR="004B3029" w:rsidRPr="004300DA">
        <w:rPr>
          <w:szCs w:val="22"/>
        </w:rPr>
        <w:t xml:space="preserve"> ST.27 events.</w:t>
      </w:r>
      <w:r w:rsidR="0077256C">
        <w:rPr>
          <w:szCs w:val="22"/>
        </w:rPr>
        <w:t xml:space="preserve">  Because the proposal is still being </w:t>
      </w:r>
      <w:r w:rsidR="0088228E">
        <w:rPr>
          <w:szCs w:val="22"/>
        </w:rPr>
        <w:t xml:space="preserve">revised </w:t>
      </w:r>
      <w:r w:rsidR="0077256C">
        <w:rPr>
          <w:szCs w:val="22"/>
        </w:rPr>
        <w:t xml:space="preserve">by the Task Force, </w:t>
      </w:r>
      <w:r w:rsidR="0088228E">
        <w:rPr>
          <w:szCs w:val="22"/>
        </w:rPr>
        <w:t xml:space="preserve">further </w:t>
      </w:r>
      <w:r w:rsidR="0077256C">
        <w:rPr>
          <w:szCs w:val="22"/>
        </w:rPr>
        <w:t>information on the proposal will be presented by oral report at the seventh session of the CWS.</w:t>
      </w:r>
    </w:p>
    <w:p w14:paraId="3E06EE14" w14:textId="21EF56AB" w:rsidR="004B3029" w:rsidRPr="00065CCC" w:rsidRDefault="002C0E04" w:rsidP="00CD57D0">
      <w:pPr>
        <w:keepLines/>
        <w:numPr>
          <w:ilvl w:val="0"/>
          <w:numId w:val="5"/>
        </w:numPr>
        <w:tabs>
          <w:tab w:val="clear" w:pos="567"/>
        </w:tabs>
        <w:spacing w:after="220"/>
        <w:rPr>
          <w:szCs w:val="22"/>
        </w:rPr>
      </w:pPr>
      <w:r w:rsidRPr="00065CCC">
        <w:rPr>
          <w:szCs w:val="22"/>
        </w:rPr>
        <w:t>Finalizing the status event code format of ST.27 is desirable so that IPOs can proceed with assurance in implementing ST.27</w:t>
      </w:r>
      <w:r w:rsidR="0031768F">
        <w:rPr>
          <w:szCs w:val="22"/>
        </w:rPr>
        <w:t xml:space="preserve">.  </w:t>
      </w:r>
      <w:r w:rsidR="0031768F" w:rsidRPr="00065CCC">
        <w:rPr>
          <w:szCs w:val="22"/>
        </w:rPr>
        <w:t>T</w:t>
      </w:r>
      <w:r w:rsidR="004B3029" w:rsidRPr="00065CCC">
        <w:rPr>
          <w:szCs w:val="22"/>
        </w:rPr>
        <w:t xml:space="preserve">he </w:t>
      </w:r>
      <w:r w:rsidR="004C3D58" w:rsidRPr="00065CCC">
        <w:rPr>
          <w:szCs w:val="22"/>
        </w:rPr>
        <w:t>International Bureau</w:t>
      </w:r>
      <w:r w:rsidR="004B3029" w:rsidRPr="00065CCC">
        <w:rPr>
          <w:szCs w:val="22"/>
        </w:rPr>
        <w:t xml:space="preserve"> therefore proposes reserving three additional characters to be added at the end of ST.27 event codings.  The reserved characters will be fixed as 'xxx' in the version of ST.27 adopted by this session of the CWS.  </w:t>
      </w:r>
      <w:r w:rsidRPr="00065CCC">
        <w:rPr>
          <w:szCs w:val="22"/>
        </w:rPr>
        <w:t xml:space="preserve">Many industry standards include such reserved fields for possible future use, as do several WIPO Standards such as ST.8.  </w:t>
      </w:r>
      <w:r w:rsidR="004B3029" w:rsidRPr="00065CCC">
        <w:rPr>
          <w:szCs w:val="22"/>
        </w:rPr>
        <w:t>The Task Force will continue exploring potential uses of these reserved characters after the seventh session of the CWS, and will present a proposal for using the reserved characters to the eighth session of the CWS if the Task Force can agree.  Until such a proposal is adopted by the CWS in the future, the reserved c</w:t>
      </w:r>
      <w:r w:rsidR="004441D6">
        <w:rPr>
          <w:szCs w:val="22"/>
        </w:rPr>
        <w:t xml:space="preserve">haracters will be indicated as </w:t>
      </w:r>
      <w:r w:rsidR="004B3029" w:rsidRPr="00065CCC">
        <w:rPr>
          <w:szCs w:val="22"/>
        </w:rPr>
        <w:t>reserved for future use.</w:t>
      </w:r>
    </w:p>
    <w:p w14:paraId="738C8CE0" w14:textId="134E2972" w:rsidR="004B3029" w:rsidRPr="004300DA" w:rsidRDefault="00131569" w:rsidP="00711378">
      <w:pPr>
        <w:numPr>
          <w:ilvl w:val="0"/>
          <w:numId w:val="5"/>
        </w:numPr>
        <w:tabs>
          <w:tab w:val="clear" w:pos="567"/>
        </w:tabs>
        <w:spacing w:after="120"/>
        <w:rPr>
          <w:szCs w:val="22"/>
        </w:rPr>
      </w:pPr>
      <w:r w:rsidRPr="004300DA">
        <w:rPr>
          <w:szCs w:val="22"/>
        </w:rPr>
        <w:t>To reflect this proposal, the following edits are proposed to the main body of ST.27</w:t>
      </w:r>
      <w:r w:rsidR="0061735B">
        <w:rPr>
          <w:szCs w:val="22"/>
        </w:rPr>
        <w:t xml:space="preserve"> (track changes shown compared to the version published in Nov 2018)</w:t>
      </w:r>
      <w:r w:rsidRPr="004300DA">
        <w:rPr>
          <w:szCs w:val="22"/>
        </w:rPr>
        <w:t>:</w:t>
      </w:r>
    </w:p>
    <w:p w14:paraId="3655A9CD" w14:textId="45AC0E18" w:rsidR="00300EC6" w:rsidRPr="003D3EC1" w:rsidRDefault="00300EC6" w:rsidP="003D3EC1">
      <w:pPr>
        <w:pStyle w:val="ListParagraph"/>
        <w:numPr>
          <w:ilvl w:val="0"/>
          <w:numId w:val="14"/>
        </w:numPr>
        <w:ind w:left="360"/>
        <w:rPr>
          <w:i/>
        </w:rPr>
      </w:pPr>
      <w:bookmarkStart w:id="6" w:name="_Toc480358869"/>
      <w:r w:rsidRPr="0061735B">
        <w:t>Key Event Code</w:t>
      </w:r>
      <w:bookmarkEnd w:id="6"/>
      <w:r w:rsidRPr="0061735B">
        <w:t xml:space="preserve"> in paragraph </w:t>
      </w:r>
      <w:r w:rsidR="00A7790F" w:rsidRPr="0061735B">
        <w:t>31</w:t>
      </w:r>
      <w:r w:rsidRPr="0061735B">
        <w:t>:</w:t>
      </w:r>
    </w:p>
    <w:p w14:paraId="6BF9F678" w14:textId="71CFB49D" w:rsidR="00FE76CC" w:rsidRPr="004300DA" w:rsidRDefault="00300EC6" w:rsidP="003D3EC1">
      <w:pPr>
        <w:spacing w:after="200"/>
        <w:ind w:left="562"/>
        <w:rPr>
          <w:szCs w:val="22"/>
        </w:rPr>
      </w:pPr>
      <w:r w:rsidRPr="004300DA">
        <w:rPr>
          <w:szCs w:val="22"/>
        </w:rPr>
        <w:t>31</w:t>
      </w:r>
      <w:r w:rsidR="0031768F">
        <w:rPr>
          <w:szCs w:val="22"/>
        </w:rPr>
        <w:t xml:space="preserve">.  </w:t>
      </w:r>
      <w:r w:rsidR="0031768F" w:rsidRPr="00701FBF">
        <w:rPr>
          <w:szCs w:val="22"/>
        </w:rPr>
        <w:t>T</w:t>
      </w:r>
      <w:r w:rsidR="00701FBF" w:rsidRPr="00701FBF">
        <w:rPr>
          <w:szCs w:val="22"/>
        </w:rPr>
        <w:t>he key events are formed by a combination of a single alphabetic letter followed by the number “10”</w:t>
      </w:r>
      <w:r w:rsidR="00701FBF" w:rsidRPr="00D12C73">
        <w:rPr>
          <w:szCs w:val="22"/>
          <w:u w:val="single"/>
        </w:rPr>
        <w:t>, then a period and "xxx"</w:t>
      </w:r>
      <w:r w:rsidR="00701FBF" w:rsidRPr="00701FBF">
        <w:rPr>
          <w:szCs w:val="22"/>
        </w:rPr>
        <w:t>.  The single alphabetic letter is assigned according to the categories.</w:t>
      </w:r>
      <w:r w:rsidR="00701FBF" w:rsidRPr="00D12C73">
        <w:rPr>
          <w:szCs w:val="22"/>
          <w:u w:val="single"/>
        </w:rPr>
        <w:t xml:space="preserve">  The three additional characters after the period are reserved for possible future use.</w:t>
      </w:r>
    </w:p>
    <w:p w14:paraId="41ABC566" w14:textId="45F31BFE" w:rsidR="00A7790F" w:rsidRPr="003D3EC1" w:rsidRDefault="00A7790F" w:rsidP="003D3EC1">
      <w:pPr>
        <w:pStyle w:val="ListParagraph"/>
        <w:numPr>
          <w:ilvl w:val="0"/>
          <w:numId w:val="14"/>
        </w:numPr>
        <w:ind w:left="360"/>
      </w:pPr>
      <w:bookmarkStart w:id="7" w:name="_Toc480358870"/>
      <w:r w:rsidRPr="0061735B">
        <w:t>Detailed Event Code</w:t>
      </w:r>
      <w:bookmarkEnd w:id="7"/>
      <w:r w:rsidRPr="0061735B">
        <w:t xml:space="preserve"> in paragraph 34:</w:t>
      </w:r>
    </w:p>
    <w:p w14:paraId="75C0A069" w14:textId="5594E653" w:rsidR="00A7790F" w:rsidRPr="00701FBF" w:rsidRDefault="0061735B" w:rsidP="003D3EC1">
      <w:pPr>
        <w:pStyle w:val="ListParagraph"/>
        <w:spacing w:after="200"/>
        <w:ind w:left="562"/>
        <w:contextualSpacing w:val="0"/>
        <w:jc w:val="both"/>
        <w:rPr>
          <w:szCs w:val="22"/>
        </w:rPr>
      </w:pPr>
      <w:r>
        <w:rPr>
          <w:szCs w:val="22"/>
        </w:rPr>
        <w:t>34</w:t>
      </w:r>
      <w:r w:rsidR="0031768F">
        <w:rPr>
          <w:szCs w:val="22"/>
        </w:rPr>
        <w:t xml:space="preserve">.  </w:t>
      </w:r>
      <w:r w:rsidR="0031768F" w:rsidRPr="00701FBF">
        <w:rPr>
          <w:szCs w:val="22"/>
        </w:rPr>
        <w:t>T</w:t>
      </w:r>
      <w:r w:rsidR="00701FBF" w:rsidRPr="00701FBF">
        <w:rPr>
          <w:szCs w:val="22"/>
        </w:rPr>
        <w:t>he detailed events are formed by a combination of a single alphabetic letter followed by a two-digit number from 11 to 99</w:t>
      </w:r>
      <w:r w:rsidR="00701FBF" w:rsidRPr="00D12C73">
        <w:rPr>
          <w:szCs w:val="22"/>
          <w:u w:val="single"/>
        </w:rPr>
        <w:t>, then a period and "xxx"</w:t>
      </w:r>
      <w:r w:rsidR="00701FBF" w:rsidRPr="00701FBF">
        <w:rPr>
          <w:szCs w:val="22"/>
        </w:rPr>
        <w:t>.  The single alphabetic letter is assigned according to the categories.  The codes for detailed events are contained in Annex I.</w:t>
      </w:r>
      <w:r w:rsidR="00701FBF" w:rsidRPr="00D12C73">
        <w:rPr>
          <w:szCs w:val="22"/>
          <w:u w:val="single"/>
        </w:rPr>
        <w:t xml:space="preserve">  The three additional characters after the period are reserved for possible future use.</w:t>
      </w:r>
    </w:p>
    <w:p w14:paraId="25CC9146" w14:textId="1AB6978D" w:rsidR="0061735B" w:rsidRPr="0061735B" w:rsidRDefault="00874547" w:rsidP="003D3EC1">
      <w:pPr>
        <w:pStyle w:val="ListParagraph"/>
        <w:numPr>
          <w:ilvl w:val="0"/>
          <w:numId w:val="14"/>
        </w:numPr>
        <w:ind w:left="360"/>
        <w:rPr>
          <w:szCs w:val="22"/>
        </w:rPr>
      </w:pPr>
      <w:r w:rsidRPr="003D3EC1">
        <w:t xml:space="preserve">The current text of the </w:t>
      </w:r>
      <w:r w:rsidR="0061735B" w:rsidRPr="003D3EC1">
        <w:t>Editorial Note</w:t>
      </w:r>
      <w:r w:rsidRPr="003D3EC1">
        <w:t xml:space="preserve"> will be replaced with the following</w:t>
      </w:r>
      <w:r w:rsidR="0061735B" w:rsidRPr="003D3EC1">
        <w:t>:</w:t>
      </w:r>
    </w:p>
    <w:p w14:paraId="72A1E187" w14:textId="20A91609" w:rsidR="00157BFF" w:rsidRDefault="0061735B" w:rsidP="00711378">
      <w:pPr>
        <w:keepNext/>
        <w:spacing w:before="240" w:after="340"/>
        <w:ind w:left="562"/>
        <w:jc w:val="center"/>
        <w:rPr>
          <w:rFonts w:eastAsia="Times New Roman"/>
          <w:i/>
          <w:szCs w:val="22"/>
          <w:u w:val="single"/>
          <w:lang w:eastAsia="en-US"/>
        </w:rPr>
      </w:pPr>
      <w:r w:rsidRPr="004300DA">
        <w:rPr>
          <w:rFonts w:eastAsia="Times New Roman"/>
          <w:i/>
          <w:szCs w:val="22"/>
          <w:lang w:eastAsia="en-US"/>
        </w:rPr>
        <w:t>Editorial Note by the International Bureau</w:t>
      </w:r>
    </w:p>
    <w:p w14:paraId="4CC20144" w14:textId="1EAA20AB" w:rsidR="0061735B" w:rsidRPr="00874547" w:rsidRDefault="00157BFF" w:rsidP="00711378">
      <w:pPr>
        <w:spacing w:after="120"/>
        <w:ind w:left="567"/>
        <w:rPr>
          <w:rFonts w:eastAsia="Times New Roman"/>
          <w:i/>
          <w:szCs w:val="22"/>
          <w:lang w:eastAsia="en-US"/>
        </w:rPr>
      </w:pPr>
      <w:r w:rsidRPr="00874547">
        <w:rPr>
          <w:rFonts w:eastAsia="Times New Roman"/>
          <w:i/>
          <w:szCs w:val="22"/>
          <w:lang w:eastAsia="en-US"/>
        </w:rPr>
        <w:t xml:space="preserve">IPOs may begin implementing ST.27 to exchange legal status data.  </w:t>
      </w:r>
      <w:r w:rsidR="0061735B" w:rsidRPr="00874547">
        <w:rPr>
          <w:rFonts w:eastAsia="Times New Roman"/>
          <w:i/>
          <w:szCs w:val="22"/>
          <w:lang w:eastAsia="en-US"/>
        </w:rPr>
        <w:t xml:space="preserve">The </w:t>
      </w:r>
      <w:r w:rsidR="007457D3">
        <w:rPr>
          <w:rFonts w:eastAsia="Times New Roman"/>
          <w:i/>
          <w:szCs w:val="22"/>
          <w:lang w:eastAsia="en-US"/>
        </w:rPr>
        <w:t xml:space="preserve">Legal Status </w:t>
      </w:r>
      <w:r w:rsidR="0061735B" w:rsidRPr="00874547">
        <w:rPr>
          <w:rFonts w:eastAsia="Times New Roman"/>
          <w:i/>
          <w:szCs w:val="22"/>
          <w:lang w:eastAsia="en-US"/>
        </w:rPr>
        <w:t>Task Force will continue revising titles and descriptions for categories and events as needed while IPOs continue to improve their mappings.</w:t>
      </w:r>
    </w:p>
    <w:p w14:paraId="49B75DE0" w14:textId="0BF4F660" w:rsidR="0061735B" w:rsidRPr="00874547" w:rsidRDefault="0061735B" w:rsidP="00711378">
      <w:pPr>
        <w:spacing w:after="220"/>
        <w:ind w:left="562"/>
        <w:rPr>
          <w:rFonts w:eastAsia="Times New Roman"/>
          <w:i/>
          <w:szCs w:val="22"/>
          <w:lang w:eastAsia="en-US"/>
        </w:rPr>
      </w:pPr>
      <w:r w:rsidRPr="00874547">
        <w:rPr>
          <w:rFonts w:eastAsia="Times New Roman"/>
          <w:i/>
          <w:szCs w:val="22"/>
          <w:lang w:eastAsia="en-US"/>
        </w:rPr>
        <w:t xml:space="preserve">The CWS has approved reserving three additional characters in the status event code for each event.  These reserved characters are useful for future work on the standard, and are reserved now so that Offices can implement the existing standard with assurance.  The </w:t>
      </w:r>
      <w:r w:rsidR="007457D3">
        <w:rPr>
          <w:rFonts w:eastAsia="Times New Roman"/>
          <w:i/>
          <w:szCs w:val="22"/>
          <w:lang w:eastAsia="en-US"/>
        </w:rPr>
        <w:t xml:space="preserve">Legal Status </w:t>
      </w:r>
      <w:r w:rsidRPr="00874547">
        <w:rPr>
          <w:rFonts w:eastAsia="Times New Roman"/>
          <w:i/>
          <w:szCs w:val="22"/>
          <w:lang w:eastAsia="en-US"/>
        </w:rPr>
        <w:t>Task Force will further explore proposals for using the reserved characters after the seventh session of the CWS and report any agreed proposals to the eighth session of the CWS.  If no proposals are agreed by the Task Force, the reserved characters will remain unused but in place for possible future uses.</w:t>
      </w:r>
    </w:p>
    <w:p w14:paraId="3D901F54" w14:textId="77777777" w:rsidR="00FC7AE8" w:rsidRPr="004300DA" w:rsidRDefault="00FC7AE8" w:rsidP="00711378">
      <w:pPr>
        <w:pStyle w:val="ONUME"/>
        <w:keepNext/>
        <w:keepLines/>
        <w:tabs>
          <w:tab w:val="clear" w:pos="567"/>
          <w:tab w:val="num" w:pos="6663"/>
        </w:tabs>
        <w:ind w:left="5533"/>
        <w:rPr>
          <w:i/>
          <w:szCs w:val="22"/>
        </w:rPr>
      </w:pPr>
      <w:r w:rsidRPr="004300DA">
        <w:rPr>
          <w:i/>
          <w:szCs w:val="22"/>
        </w:rPr>
        <w:t>The CWS is invited to:</w:t>
      </w:r>
    </w:p>
    <w:p w14:paraId="5D0E9C0D" w14:textId="77777777" w:rsidR="00FC7AE8" w:rsidRPr="004300DA" w:rsidRDefault="00FC7AE8" w:rsidP="00711378">
      <w:pPr>
        <w:pStyle w:val="BodyText"/>
        <w:keepNext/>
        <w:keepLines/>
        <w:tabs>
          <w:tab w:val="left" w:pos="6096"/>
          <w:tab w:val="left" w:pos="6600"/>
        </w:tabs>
        <w:ind w:left="5530"/>
        <w:rPr>
          <w:i/>
          <w:szCs w:val="22"/>
        </w:rPr>
      </w:pPr>
      <w:r w:rsidRPr="004300DA">
        <w:rPr>
          <w:szCs w:val="22"/>
        </w:rPr>
        <w:tab/>
      </w:r>
      <w:r w:rsidRPr="004300DA">
        <w:rPr>
          <w:i/>
          <w:szCs w:val="22"/>
        </w:rPr>
        <w:t>(a)</w:t>
      </w:r>
      <w:r w:rsidRPr="004300DA">
        <w:rPr>
          <w:i/>
          <w:szCs w:val="22"/>
        </w:rPr>
        <w:tab/>
        <w:t>note the content of the present document;</w:t>
      </w:r>
    </w:p>
    <w:p w14:paraId="148583F4" w14:textId="413D393D" w:rsidR="00FC7AE8" w:rsidRPr="004300DA" w:rsidRDefault="00FC7AE8" w:rsidP="00711378">
      <w:pPr>
        <w:pStyle w:val="BodyText"/>
        <w:keepNext/>
        <w:keepLines/>
        <w:tabs>
          <w:tab w:val="left" w:pos="6096"/>
          <w:tab w:val="left" w:pos="6600"/>
        </w:tabs>
        <w:ind w:left="5528"/>
        <w:rPr>
          <w:i/>
          <w:szCs w:val="22"/>
        </w:rPr>
      </w:pPr>
      <w:r w:rsidRPr="004300DA">
        <w:rPr>
          <w:i/>
          <w:szCs w:val="22"/>
        </w:rPr>
        <w:tab/>
        <w:t>(b)</w:t>
      </w:r>
      <w:r w:rsidRPr="004300DA">
        <w:rPr>
          <w:i/>
          <w:szCs w:val="22"/>
        </w:rPr>
        <w:tab/>
        <w:t xml:space="preserve">consider and approve the </w:t>
      </w:r>
      <w:r w:rsidR="00D63C1E" w:rsidRPr="004300DA">
        <w:rPr>
          <w:i/>
          <w:szCs w:val="22"/>
        </w:rPr>
        <w:t xml:space="preserve">proposed revision of </w:t>
      </w:r>
      <w:r w:rsidRPr="004300DA">
        <w:rPr>
          <w:i/>
          <w:szCs w:val="22"/>
        </w:rPr>
        <w:t xml:space="preserve">the Main Body of WIPO Standard ST.27, as </w:t>
      </w:r>
      <w:r w:rsidR="00D63C1E" w:rsidRPr="004300DA">
        <w:rPr>
          <w:i/>
          <w:szCs w:val="22"/>
        </w:rPr>
        <w:t xml:space="preserve">referred to </w:t>
      </w:r>
      <w:r w:rsidR="00665811" w:rsidRPr="004300DA">
        <w:rPr>
          <w:i/>
          <w:szCs w:val="22"/>
        </w:rPr>
        <w:t xml:space="preserve">in </w:t>
      </w:r>
      <w:r w:rsidR="00D63C1E" w:rsidRPr="004300DA">
        <w:rPr>
          <w:i/>
          <w:szCs w:val="22"/>
        </w:rPr>
        <w:t>paragraph</w:t>
      </w:r>
      <w:r w:rsidR="008632CF">
        <w:rPr>
          <w:i/>
          <w:szCs w:val="22"/>
        </w:rPr>
        <w:t xml:space="preserve"> 24</w:t>
      </w:r>
      <w:r w:rsidR="00F9539B">
        <w:rPr>
          <w:i/>
          <w:szCs w:val="22"/>
        </w:rPr>
        <w:t xml:space="preserve"> </w:t>
      </w:r>
      <w:r w:rsidR="00D63C1E" w:rsidRPr="004300DA">
        <w:rPr>
          <w:i/>
          <w:szCs w:val="22"/>
        </w:rPr>
        <w:t>above</w:t>
      </w:r>
      <w:r w:rsidRPr="004300DA">
        <w:rPr>
          <w:i/>
          <w:szCs w:val="22"/>
        </w:rPr>
        <w:t>;</w:t>
      </w:r>
    </w:p>
    <w:p w14:paraId="096AE706" w14:textId="58D8BC89" w:rsidR="00395431" w:rsidRPr="0043609E" w:rsidRDefault="00395431" w:rsidP="00711378">
      <w:pPr>
        <w:pStyle w:val="BodyText"/>
        <w:keepNext/>
        <w:keepLines/>
        <w:tabs>
          <w:tab w:val="left" w:pos="6096"/>
          <w:tab w:val="left" w:pos="6600"/>
        </w:tabs>
        <w:ind w:left="5528"/>
        <w:rPr>
          <w:i/>
          <w:szCs w:val="22"/>
        </w:rPr>
      </w:pPr>
      <w:r w:rsidRPr="004300DA">
        <w:rPr>
          <w:i/>
          <w:szCs w:val="22"/>
        </w:rPr>
        <w:tab/>
        <w:t>(</w:t>
      </w:r>
      <w:r w:rsidR="00430BAB">
        <w:rPr>
          <w:i/>
          <w:szCs w:val="22"/>
        </w:rPr>
        <w:t>c</w:t>
      </w:r>
      <w:r w:rsidRPr="004300DA">
        <w:rPr>
          <w:i/>
          <w:szCs w:val="22"/>
        </w:rPr>
        <w:t>)</w:t>
      </w:r>
      <w:r w:rsidRPr="004300DA">
        <w:rPr>
          <w:i/>
          <w:szCs w:val="22"/>
        </w:rPr>
        <w:tab/>
        <w:t xml:space="preserve">consider and approve the proposed revision of Annex </w:t>
      </w:r>
      <w:r w:rsidRPr="0043609E">
        <w:rPr>
          <w:i/>
          <w:szCs w:val="22"/>
        </w:rPr>
        <w:t>I</w:t>
      </w:r>
      <w:r w:rsidR="00B46864" w:rsidRPr="0043609E">
        <w:rPr>
          <w:i/>
          <w:szCs w:val="22"/>
        </w:rPr>
        <w:t>,</w:t>
      </w:r>
      <w:r w:rsidRPr="0043609E">
        <w:rPr>
          <w:i/>
          <w:szCs w:val="22"/>
        </w:rPr>
        <w:t xml:space="preserve"> </w:t>
      </w:r>
      <w:r w:rsidR="00B46864" w:rsidRPr="0043609E">
        <w:rPr>
          <w:i/>
          <w:szCs w:val="22"/>
        </w:rPr>
        <w:t>with</w:t>
      </w:r>
      <w:r w:rsidR="00430BAB" w:rsidRPr="0043609E">
        <w:rPr>
          <w:i/>
          <w:szCs w:val="22"/>
        </w:rPr>
        <w:t xml:space="preserve"> corresponding updates to</w:t>
      </w:r>
      <w:r w:rsidRPr="0043609E">
        <w:rPr>
          <w:i/>
          <w:szCs w:val="22"/>
        </w:rPr>
        <w:t xml:space="preserve"> </w:t>
      </w:r>
      <w:r w:rsidR="00430BAB" w:rsidRPr="0043609E">
        <w:rPr>
          <w:i/>
          <w:szCs w:val="22"/>
        </w:rPr>
        <w:t xml:space="preserve">Annex </w:t>
      </w:r>
      <w:r w:rsidRPr="0043609E">
        <w:rPr>
          <w:i/>
          <w:szCs w:val="22"/>
        </w:rPr>
        <w:t>II</w:t>
      </w:r>
      <w:r w:rsidR="00B46864" w:rsidRPr="0043609E">
        <w:rPr>
          <w:i/>
          <w:szCs w:val="22"/>
        </w:rPr>
        <w:t>,</w:t>
      </w:r>
      <w:r w:rsidRPr="0043609E">
        <w:rPr>
          <w:i/>
          <w:szCs w:val="22"/>
        </w:rPr>
        <w:t xml:space="preserve"> of WIPO Standard ST.27, as referred to in paragraphs 4 </w:t>
      </w:r>
      <w:r w:rsidR="00701FBF">
        <w:rPr>
          <w:i/>
          <w:szCs w:val="22"/>
        </w:rPr>
        <w:t xml:space="preserve">to </w:t>
      </w:r>
      <w:r w:rsidR="008632CF" w:rsidRPr="0043609E">
        <w:rPr>
          <w:i/>
          <w:szCs w:val="22"/>
        </w:rPr>
        <w:t>8</w:t>
      </w:r>
      <w:r w:rsidRPr="0043609E">
        <w:rPr>
          <w:i/>
          <w:szCs w:val="22"/>
        </w:rPr>
        <w:t xml:space="preserve"> above;</w:t>
      </w:r>
    </w:p>
    <w:p w14:paraId="16994F14" w14:textId="11D5C1DD" w:rsidR="007C3EA1" w:rsidRPr="0043609E" w:rsidRDefault="00007E96" w:rsidP="00711378">
      <w:pPr>
        <w:pStyle w:val="BodyText"/>
        <w:keepNext/>
        <w:keepLines/>
        <w:tabs>
          <w:tab w:val="left" w:pos="6096"/>
          <w:tab w:val="left" w:pos="6600"/>
        </w:tabs>
        <w:ind w:left="5530"/>
        <w:rPr>
          <w:i/>
          <w:szCs w:val="22"/>
        </w:rPr>
      </w:pPr>
      <w:r w:rsidRPr="0043609E">
        <w:rPr>
          <w:i/>
          <w:szCs w:val="22"/>
        </w:rPr>
        <w:tab/>
        <w:t>(</w:t>
      </w:r>
      <w:r w:rsidR="00430BAB" w:rsidRPr="0043609E">
        <w:rPr>
          <w:i/>
          <w:szCs w:val="22"/>
        </w:rPr>
        <w:t>d</w:t>
      </w:r>
      <w:r w:rsidRPr="0043609E">
        <w:rPr>
          <w:i/>
          <w:szCs w:val="22"/>
        </w:rPr>
        <w:t>)</w:t>
      </w:r>
      <w:r w:rsidRPr="0043609E">
        <w:rPr>
          <w:i/>
          <w:szCs w:val="22"/>
        </w:rPr>
        <w:tab/>
        <w:t xml:space="preserve">consider and approve the proposed new Common Scenarios Guidance Document as Annex V of WIPO Standard ST.27, as referred to in paragraphs </w:t>
      </w:r>
      <w:r w:rsidR="00D14DC9" w:rsidRPr="0043609E">
        <w:rPr>
          <w:i/>
          <w:szCs w:val="22"/>
        </w:rPr>
        <w:t>10</w:t>
      </w:r>
      <w:r w:rsidRPr="0043609E">
        <w:rPr>
          <w:i/>
          <w:szCs w:val="22"/>
        </w:rPr>
        <w:t xml:space="preserve"> to </w:t>
      </w:r>
      <w:r w:rsidR="00D14DC9" w:rsidRPr="0043609E">
        <w:rPr>
          <w:i/>
          <w:szCs w:val="22"/>
        </w:rPr>
        <w:t>12</w:t>
      </w:r>
      <w:r w:rsidRPr="0043609E">
        <w:rPr>
          <w:i/>
          <w:szCs w:val="22"/>
        </w:rPr>
        <w:t xml:space="preserve"> above, as reproduced in the Annex</w:t>
      </w:r>
      <w:r w:rsidR="00920795" w:rsidRPr="0043609E">
        <w:rPr>
          <w:i/>
          <w:szCs w:val="22"/>
        </w:rPr>
        <w:t xml:space="preserve"> I</w:t>
      </w:r>
      <w:r w:rsidRPr="0043609E">
        <w:rPr>
          <w:i/>
          <w:szCs w:val="22"/>
        </w:rPr>
        <w:t xml:space="preserve"> to the present document, and change the current Annex V to Annex VI</w:t>
      </w:r>
      <w:r w:rsidR="00F7440C" w:rsidRPr="0043609E">
        <w:rPr>
          <w:i/>
          <w:szCs w:val="22"/>
        </w:rPr>
        <w:t xml:space="preserve"> </w:t>
      </w:r>
      <w:r w:rsidR="007C3EA1" w:rsidRPr="0043609E">
        <w:rPr>
          <w:i/>
          <w:szCs w:val="22"/>
        </w:rPr>
        <w:t xml:space="preserve">titled </w:t>
      </w:r>
      <w:r w:rsidR="00F7440C" w:rsidRPr="0043609E">
        <w:rPr>
          <w:i/>
          <w:szCs w:val="22"/>
        </w:rPr>
        <w:t>Category</w:t>
      </w:r>
      <w:r w:rsidR="007C3EA1" w:rsidRPr="0043609E">
        <w:rPr>
          <w:i/>
          <w:szCs w:val="22"/>
        </w:rPr>
        <w:t xml:space="preserve"> </w:t>
      </w:r>
      <w:r w:rsidR="00430BAB" w:rsidRPr="0043609E">
        <w:rPr>
          <w:i/>
          <w:szCs w:val="22"/>
        </w:rPr>
        <w:t>B</w:t>
      </w:r>
      <w:r w:rsidR="007C3EA1" w:rsidRPr="0043609E">
        <w:rPr>
          <w:i/>
          <w:szCs w:val="22"/>
        </w:rPr>
        <w:t xml:space="preserve">ased </w:t>
      </w:r>
      <w:r w:rsidR="00F7440C" w:rsidRPr="0043609E">
        <w:rPr>
          <w:i/>
          <w:szCs w:val="22"/>
        </w:rPr>
        <w:t>Guidance Document</w:t>
      </w:r>
      <w:r w:rsidR="007C3EA1" w:rsidRPr="0043609E">
        <w:rPr>
          <w:i/>
          <w:szCs w:val="22"/>
        </w:rPr>
        <w:t xml:space="preserve">; </w:t>
      </w:r>
      <w:r w:rsidR="00B46864" w:rsidRPr="0043609E">
        <w:rPr>
          <w:i/>
          <w:szCs w:val="22"/>
        </w:rPr>
        <w:t>and</w:t>
      </w:r>
    </w:p>
    <w:p w14:paraId="26E4C2B2" w14:textId="6085F652" w:rsidR="00007E96" w:rsidRPr="004300DA" w:rsidRDefault="0043609E" w:rsidP="00711378">
      <w:pPr>
        <w:pStyle w:val="BodyText"/>
        <w:keepNext/>
        <w:keepLines/>
        <w:tabs>
          <w:tab w:val="left" w:pos="6096"/>
          <w:tab w:val="left" w:pos="6600"/>
        </w:tabs>
        <w:spacing w:after="0"/>
        <w:ind w:left="5528"/>
        <w:rPr>
          <w:i/>
          <w:szCs w:val="22"/>
        </w:rPr>
      </w:pPr>
      <w:r>
        <w:rPr>
          <w:i/>
          <w:szCs w:val="22"/>
        </w:rPr>
        <w:tab/>
      </w:r>
      <w:r w:rsidR="007C3EA1" w:rsidRPr="0043609E">
        <w:rPr>
          <w:i/>
          <w:szCs w:val="22"/>
        </w:rPr>
        <w:t>(</w:t>
      </w:r>
      <w:r w:rsidR="00430BAB" w:rsidRPr="0043609E">
        <w:rPr>
          <w:i/>
          <w:szCs w:val="22"/>
        </w:rPr>
        <w:t>e</w:t>
      </w:r>
      <w:r>
        <w:rPr>
          <w:i/>
          <w:szCs w:val="22"/>
        </w:rPr>
        <w:t>)</w:t>
      </w:r>
      <w:r>
        <w:rPr>
          <w:i/>
          <w:szCs w:val="22"/>
        </w:rPr>
        <w:tab/>
      </w:r>
      <w:r w:rsidR="00B46864" w:rsidRPr="0043609E">
        <w:rPr>
          <w:i/>
          <w:szCs w:val="22"/>
        </w:rPr>
        <w:t xml:space="preserve">provide </w:t>
      </w:r>
      <w:r w:rsidR="007C3EA1" w:rsidRPr="0043609E">
        <w:rPr>
          <w:i/>
          <w:szCs w:val="22"/>
        </w:rPr>
        <w:t xml:space="preserve">comment on </w:t>
      </w:r>
      <w:r w:rsidR="00B46864" w:rsidRPr="0043609E">
        <w:rPr>
          <w:i/>
          <w:szCs w:val="22"/>
        </w:rPr>
        <w:t xml:space="preserve">possible uses of the reserved field or the </w:t>
      </w:r>
      <w:r w:rsidR="007C3EA1" w:rsidRPr="0043609E">
        <w:rPr>
          <w:i/>
          <w:szCs w:val="22"/>
        </w:rPr>
        <w:t xml:space="preserve">15 </w:t>
      </w:r>
      <w:r w:rsidR="00B46864" w:rsidRPr="0043609E">
        <w:rPr>
          <w:i/>
          <w:szCs w:val="22"/>
        </w:rPr>
        <w:t xml:space="preserve">procedure </w:t>
      </w:r>
      <w:r w:rsidR="007C3EA1" w:rsidRPr="0043609E">
        <w:rPr>
          <w:i/>
          <w:szCs w:val="22"/>
        </w:rPr>
        <w:t>tags</w:t>
      </w:r>
      <w:r w:rsidR="00B46864" w:rsidRPr="0043609E">
        <w:rPr>
          <w:i/>
          <w:szCs w:val="22"/>
        </w:rPr>
        <w:t xml:space="preserve"> proposed by the International Bureau, as referred to in</w:t>
      </w:r>
      <w:r w:rsidR="00B46864" w:rsidRPr="004300DA">
        <w:rPr>
          <w:i/>
          <w:szCs w:val="22"/>
        </w:rPr>
        <w:t xml:space="preserve"> paragraphs </w:t>
      </w:r>
      <w:r w:rsidR="00B46864">
        <w:rPr>
          <w:i/>
          <w:szCs w:val="22"/>
        </w:rPr>
        <w:t>15 to 18</w:t>
      </w:r>
      <w:r w:rsidR="00B46864" w:rsidRPr="004300DA">
        <w:rPr>
          <w:i/>
          <w:szCs w:val="22"/>
        </w:rPr>
        <w:t xml:space="preserve"> and </w:t>
      </w:r>
      <w:r w:rsidR="00B46864">
        <w:rPr>
          <w:i/>
          <w:szCs w:val="22"/>
        </w:rPr>
        <w:t>23 to 24</w:t>
      </w:r>
      <w:r w:rsidR="00B46864" w:rsidRPr="004300DA">
        <w:rPr>
          <w:i/>
          <w:szCs w:val="22"/>
        </w:rPr>
        <w:t xml:space="preserve"> abov</w:t>
      </w:r>
      <w:r w:rsidR="00B46864">
        <w:rPr>
          <w:i/>
          <w:szCs w:val="22"/>
        </w:rPr>
        <w:t>e.</w:t>
      </w:r>
    </w:p>
    <w:p w14:paraId="6123EA53" w14:textId="6D0452C9" w:rsidR="00FC7AE8" w:rsidRDefault="00FC7AE8" w:rsidP="00711378">
      <w:pPr>
        <w:pStyle w:val="BodyText"/>
        <w:tabs>
          <w:tab w:val="left" w:pos="6050"/>
          <w:tab w:val="left" w:pos="6600"/>
        </w:tabs>
        <w:spacing w:after="0"/>
        <w:ind w:left="5947"/>
        <w:rPr>
          <w:szCs w:val="22"/>
        </w:rPr>
      </w:pPr>
    </w:p>
    <w:p w14:paraId="59E8DA3C" w14:textId="77777777" w:rsidR="0043609E" w:rsidRPr="004300DA" w:rsidRDefault="0043609E" w:rsidP="00711378">
      <w:pPr>
        <w:pStyle w:val="BodyText"/>
        <w:tabs>
          <w:tab w:val="left" w:pos="6050"/>
          <w:tab w:val="left" w:pos="6600"/>
        </w:tabs>
        <w:spacing w:after="0"/>
        <w:ind w:left="5947"/>
        <w:rPr>
          <w:szCs w:val="22"/>
        </w:rPr>
      </w:pPr>
    </w:p>
    <w:p w14:paraId="39E16551" w14:textId="6D8F1B3D" w:rsidR="00FC7AE8" w:rsidRPr="004300DA" w:rsidRDefault="00FC7AE8" w:rsidP="00711378">
      <w:pPr>
        <w:pStyle w:val="Endofdocument-Annex"/>
        <w:ind w:left="5400" w:firstLine="136"/>
        <w:rPr>
          <w:szCs w:val="22"/>
        </w:rPr>
      </w:pPr>
      <w:r w:rsidRPr="004300DA">
        <w:rPr>
          <w:szCs w:val="22"/>
        </w:rPr>
        <w:t>[Annex</w:t>
      </w:r>
      <w:r w:rsidR="00920795">
        <w:rPr>
          <w:szCs w:val="22"/>
        </w:rPr>
        <w:t xml:space="preserve"> I</w:t>
      </w:r>
      <w:r w:rsidR="00A174A9" w:rsidRPr="004300DA">
        <w:rPr>
          <w:szCs w:val="22"/>
        </w:rPr>
        <w:t xml:space="preserve"> </w:t>
      </w:r>
      <w:r w:rsidRPr="004300DA">
        <w:rPr>
          <w:szCs w:val="22"/>
        </w:rPr>
        <w:t>follows</w:t>
      </w:r>
      <w:r w:rsidR="004C3D58">
        <w:rPr>
          <w:szCs w:val="22"/>
        </w:rPr>
        <w:t xml:space="preserve"> </w:t>
      </w:r>
      <w:r w:rsidR="004C3D58" w:rsidRPr="004300DA">
        <w:rPr>
          <w:szCs w:val="22"/>
        </w:rPr>
        <w:t>(ST.27 Annex V)</w:t>
      </w:r>
      <w:r w:rsidRPr="004300DA">
        <w:rPr>
          <w:szCs w:val="22"/>
        </w:rPr>
        <w:t>]</w:t>
      </w:r>
    </w:p>
    <w:sectPr w:rsidR="00FC7AE8" w:rsidRPr="004300DA" w:rsidSect="005E46F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81DAD" w14:textId="77777777" w:rsidR="005E46FD" w:rsidRDefault="005E46FD">
      <w:r>
        <w:separator/>
      </w:r>
    </w:p>
  </w:endnote>
  <w:endnote w:type="continuationSeparator" w:id="0">
    <w:p w14:paraId="66D5E9C8" w14:textId="77777777" w:rsidR="005E46FD" w:rsidRDefault="005E46FD" w:rsidP="003B38C1">
      <w:r>
        <w:separator/>
      </w:r>
    </w:p>
    <w:p w14:paraId="37768270" w14:textId="77777777" w:rsidR="005E46FD" w:rsidRPr="003B38C1" w:rsidRDefault="005E46FD" w:rsidP="003B38C1">
      <w:pPr>
        <w:spacing w:after="60"/>
        <w:rPr>
          <w:sz w:val="17"/>
        </w:rPr>
      </w:pPr>
      <w:r>
        <w:rPr>
          <w:sz w:val="17"/>
        </w:rPr>
        <w:t>[Endnote continued from previous page]</w:t>
      </w:r>
    </w:p>
  </w:endnote>
  <w:endnote w:type="continuationNotice" w:id="1">
    <w:p w14:paraId="5EFA86A0" w14:textId="77777777" w:rsidR="005E46FD" w:rsidRPr="003B38C1" w:rsidRDefault="005E46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CFCB3" w14:textId="77777777" w:rsidR="005E46FD" w:rsidRDefault="005E46FD">
      <w:r>
        <w:separator/>
      </w:r>
    </w:p>
  </w:footnote>
  <w:footnote w:type="continuationSeparator" w:id="0">
    <w:p w14:paraId="402A22A0" w14:textId="77777777" w:rsidR="005E46FD" w:rsidRDefault="005E46FD" w:rsidP="008B60B2">
      <w:r>
        <w:separator/>
      </w:r>
    </w:p>
    <w:p w14:paraId="2B7F2859" w14:textId="77777777" w:rsidR="005E46FD" w:rsidRPr="00ED77FB" w:rsidRDefault="005E46FD" w:rsidP="008B60B2">
      <w:pPr>
        <w:spacing w:after="60"/>
        <w:rPr>
          <w:sz w:val="17"/>
          <w:szCs w:val="17"/>
        </w:rPr>
      </w:pPr>
      <w:r w:rsidRPr="00ED77FB">
        <w:rPr>
          <w:sz w:val="17"/>
          <w:szCs w:val="17"/>
        </w:rPr>
        <w:t>[Footnote continued from previous page]</w:t>
      </w:r>
    </w:p>
  </w:footnote>
  <w:footnote w:type="continuationNotice" w:id="1">
    <w:p w14:paraId="3146F902" w14:textId="77777777" w:rsidR="005E46FD" w:rsidRPr="00ED77FB" w:rsidRDefault="005E46F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CA41" w14:textId="49A75978" w:rsidR="00EC4E49" w:rsidRDefault="005E46FD" w:rsidP="00477D6B">
    <w:pPr>
      <w:jc w:val="right"/>
    </w:pPr>
    <w:bookmarkStart w:id="8" w:name="Code2"/>
    <w:bookmarkEnd w:id="8"/>
    <w:r>
      <w:t>CWS/7/</w:t>
    </w:r>
    <w:r w:rsidR="00B25B08">
      <w:t>12</w:t>
    </w:r>
  </w:p>
  <w:p w14:paraId="776E01EB" w14:textId="7242DC71" w:rsidR="00EC4E49" w:rsidRDefault="00EC4E49" w:rsidP="00477D6B">
    <w:pPr>
      <w:jc w:val="right"/>
    </w:pPr>
    <w:r>
      <w:t xml:space="preserve">page </w:t>
    </w:r>
    <w:r>
      <w:fldChar w:fldCharType="begin"/>
    </w:r>
    <w:r>
      <w:instrText xml:space="preserve"> PAGE  \* MERGEFORMAT </w:instrText>
    </w:r>
    <w:r>
      <w:fldChar w:fldCharType="separate"/>
    </w:r>
    <w:r w:rsidR="004C3716">
      <w:rPr>
        <w:noProof/>
      </w:rPr>
      <w:t>2</w:t>
    </w:r>
    <w:r>
      <w:fldChar w:fldCharType="end"/>
    </w:r>
  </w:p>
  <w:p w14:paraId="524C7A33" w14:textId="77777777" w:rsidR="00EC4E49" w:rsidRDefault="00EC4E49" w:rsidP="00477D6B">
    <w:pPr>
      <w:jc w:val="right"/>
    </w:pPr>
  </w:p>
  <w:p w14:paraId="5AF8CAAC"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D01D00"/>
    <w:multiLevelType w:val="hybridMultilevel"/>
    <w:tmpl w:val="28048020"/>
    <w:lvl w:ilvl="0" w:tplc="E1D8A5F4">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54D078B"/>
    <w:multiLevelType w:val="hybridMultilevel"/>
    <w:tmpl w:val="214E3802"/>
    <w:lvl w:ilvl="0" w:tplc="EFEE368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3446E1"/>
    <w:multiLevelType w:val="hybridMultilevel"/>
    <w:tmpl w:val="E824404E"/>
    <w:lvl w:ilvl="0" w:tplc="452AD052">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BA14D4"/>
    <w:multiLevelType w:val="hybridMultilevel"/>
    <w:tmpl w:val="5E3EED52"/>
    <w:lvl w:ilvl="0" w:tplc="3E1C4C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8694A"/>
    <w:multiLevelType w:val="hybridMultilevel"/>
    <w:tmpl w:val="394EC798"/>
    <w:lvl w:ilvl="0" w:tplc="3E1C4C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D0C43"/>
    <w:multiLevelType w:val="hybridMultilevel"/>
    <w:tmpl w:val="1424EC9C"/>
    <w:lvl w:ilvl="0" w:tplc="78E8C7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503E52"/>
    <w:multiLevelType w:val="hybridMultilevel"/>
    <w:tmpl w:val="4336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E656E"/>
    <w:multiLevelType w:val="hybridMultilevel"/>
    <w:tmpl w:val="E41A4A00"/>
    <w:lvl w:ilvl="0" w:tplc="EFEE36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13"/>
  </w:num>
  <w:num w:numId="8">
    <w:abstractNumId w:val="9"/>
  </w:num>
  <w:num w:numId="9">
    <w:abstractNumId w:val="11"/>
  </w:num>
  <w:num w:numId="10">
    <w:abstractNumId w:val="10"/>
  </w:num>
  <w:num w:numId="11">
    <w:abstractNumId w:val="1"/>
  </w:num>
  <w:num w:numId="12">
    <w:abstractNumId w:val="12"/>
  </w:num>
  <w:num w:numId="13">
    <w:abstractNumId w:val="1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FD"/>
    <w:rsid w:val="00007E96"/>
    <w:rsid w:val="00043CAA"/>
    <w:rsid w:val="00064EBA"/>
    <w:rsid w:val="00065CCC"/>
    <w:rsid w:val="00075432"/>
    <w:rsid w:val="000808C4"/>
    <w:rsid w:val="00084C62"/>
    <w:rsid w:val="000968ED"/>
    <w:rsid w:val="000C243C"/>
    <w:rsid w:val="000C46AD"/>
    <w:rsid w:val="000D08AE"/>
    <w:rsid w:val="000F5E56"/>
    <w:rsid w:val="00131569"/>
    <w:rsid w:val="001362EE"/>
    <w:rsid w:val="00146866"/>
    <w:rsid w:val="00147E49"/>
    <w:rsid w:val="00153DF0"/>
    <w:rsid w:val="001567B8"/>
    <w:rsid w:val="00157BFF"/>
    <w:rsid w:val="001633F7"/>
    <w:rsid w:val="001647D5"/>
    <w:rsid w:val="00175347"/>
    <w:rsid w:val="00176105"/>
    <w:rsid w:val="001832A6"/>
    <w:rsid w:val="00190076"/>
    <w:rsid w:val="00196B78"/>
    <w:rsid w:val="001A2212"/>
    <w:rsid w:val="001B19B6"/>
    <w:rsid w:val="001C4A9D"/>
    <w:rsid w:val="00205460"/>
    <w:rsid w:val="0021217E"/>
    <w:rsid w:val="00212DF1"/>
    <w:rsid w:val="00232049"/>
    <w:rsid w:val="00243651"/>
    <w:rsid w:val="002634C4"/>
    <w:rsid w:val="0027399F"/>
    <w:rsid w:val="002847CA"/>
    <w:rsid w:val="00285DA9"/>
    <w:rsid w:val="002928D3"/>
    <w:rsid w:val="002B3685"/>
    <w:rsid w:val="002C0E04"/>
    <w:rsid w:val="002C5E3D"/>
    <w:rsid w:val="002D14D4"/>
    <w:rsid w:val="002E049A"/>
    <w:rsid w:val="002F1FE6"/>
    <w:rsid w:val="002F4E68"/>
    <w:rsid w:val="00300EC6"/>
    <w:rsid w:val="00312F7F"/>
    <w:rsid w:val="0031768F"/>
    <w:rsid w:val="00323DBC"/>
    <w:rsid w:val="00341E9D"/>
    <w:rsid w:val="00361450"/>
    <w:rsid w:val="003664C5"/>
    <w:rsid w:val="003673CF"/>
    <w:rsid w:val="00376D9A"/>
    <w:rsid w:val="003845C1"/>
    <w:rsid w:val="00392055"/>
    <w:rsid w:val="00395431"/>
    <w:rsid w:val="003A6F89"/>
    <w:rsid w:val="003A7994"/>
    <w:rsid w:val="003B38C1"/>
    <w:rsid w:val="003D16B8"/>
    <w:rsid w:val="003D3EC1"/>
    <w:rsid w:val="003E4806"/>
    <w:rsid w:val="004207A9"/>
    <w:rsid w:val="00423E3E"/>
    <w:rsid w:val="00427AF4"/>
    <w:rsid w:val="004300DA"/>
    <w:rsid w:val="00430BAB"/>
    <w:rsid w:val="00432A30"/>
    <w:rsid w:val="0043609E"/>
    <w:rsid w:val="004441D6"/>
    <w:rsid w:val="004530DF"/>
    <w:rsid w:val="004647DA"/>
    <w:rsid w:val="00464958"/>
    <w:rsid w:val="00474062"/>
    <w:rsid w:val="00476E41"/>
    <w:rsid w:val="00477D6B"/>
    <w:rsid w:val="00481349"/>
    <w:rsid w:val="004842A5"/>
    <w:rsid w:val="004A511F"/>
    <w:rsid w:val="004B3029"/>
    <w:rsid w:val="004C3716"/>
    <w:rsid w:val="004C3D58"/>
    <w:rsid w:val="004E41DF"/>
    <w:rsid w:val="004F0BDC"/>
    <w:rsid w:val="004F585B"/>
    <w:rsid w:val="005019FF"/>
    <w:rsid w:val="00503131"/>
    <w:rsid w:val="00527B84"/>
    <w:rsid w:val="0053057A"/>
    <w:rsid w:val="00531F28"/>
    <w:rsid w:val="00533710"/>
    <w:rsid w:val="005522A3"/>
    <w:rsid w:val="00560A29"/>
    <w:rsid w:val="00566704"/>
    <w:rsid w:val="0059189B"/>
    <w:rsid w:val="00595D4C"/>
    <w:rsid w:val="00597290"/>
    <w:rsid w:val="005A428E"/>
    <w:rsid w:val="005C6649"/>
    <w:rsid w:val="005E46FD"/>
    <w:rsid w:val="006043E9"/>
    <w:rsid w:val="00605827"/>
    <w:rsid w:val="0061735B"/>
    <w:rsid w:val="0064043D"/>
    <w:rsid w:val="00646050"/>
    <w:rsid w:val="00652E74"/>
    <w:rsid w:val="00665811"/>
    <w:rsid w:val="006713CA"/>
    <w:rsid w:val="00672E1D"/>
    <w:rsid w:val="00676C5C"/>
    <w:rsid w:val="006834D5"/>
    <w:rsid w:val="006E7AD3"/>
    <w:rsid w:val="00701FBF"/>
    <w:rsid w:val="00711378"/>
    <w:rsid w:val="00711817"/>
    <w:rsid w:val="007457D3"/>
    <w:rsid w:val="007653F6"/>
    <w:rsid w:val="0077256C"/>
    <w:rsid w:val="00774C04"/>
    <w:rsid w:val="00791531"/>
    <w:rsid w:val="007C3EA1"/>
    <w:rsid w:val="007D1613"/>
    <w:rsid w:val="007D7318"/>
    <w:rsid w:val="007E0FFD"/>
    <w:rsid w:val="007E1B1A"/>
    <w:rsid w:val="007E4C0E"/>
    <w:rsid w:val="0081768A"/>
    <w:rsid w:val="008457F6"/>
    <w:rsid w:val="008632CF"/>
    <w:rsid w:val="00874547"/>
    <w:rsid w:val="0088228E"/>
    <w:rsid w:val="008A134B"/>
    <w:rsid w:val="008B2CC1"/>
    <w:rsid w:val="008B60B2"/>
    <w:rsid w:val="008C0ABC"/>
    <w:rsid w:val="008C4543"/>
    <w:rsid w:val="008C7F85"/>
    <w:rsid w:val="008D21BB"/>
    <w:rsid w:val="0090731E"/>
    <w:rsid w:val="00911497"/>
    <w:rsid w:val="00913804"/>
    <w:rsid w:val="00916EE2"/>
    <w:rsid w:val="00920795"/>
    <w:rsid w:val="00966A22"/>
    <w:rsid w:val="0096722F"/>
    <w:rsid w:val="009802F8"/>
    <w:rsid w:val="00980843"/>
    <w:rsid w:val="009846F6"/>
    <w:rsid w:val="009868E1"/>
    <w:rsid w:val="009A0DB4"/>
    <w:rsid w:val="009C7DB0"/>
    <w:rsid w:val="009E2791"/>
    <w:rsid w:val="009E3F6F"/>
    <w:rsid w:val="009F499F"/>
    <w:rsid w:val="00A174A9"/>
    <w:rsid w:val="00A34459"/>
    <w:rsid w:val="00A37342"/>
    <w:rsid w:val="00A42DAF"/>
    <w:rsid w:val="00A45BD8"/>
    <w:rsid w:val="00A7231A"/>
    <w:rsid w:val="00A73C60"/>
    <w:rsid w:val="00A7790F"/>
    <w:rsid w:val="00A84A61"/>
    <w:rsid w:val="00A853EC"/>
    <w:rsid w:val="00A869B7"/>
    <w:rsid w:val="00AA2D6D"/>
    <w:rsid w:val="00AA46DE"/>
    <w:rsid w:val="00AA65C5"/>
    <w:rsid w:val="00AB4632"/>
    <w:rsid w:val="00AC205C"/>
    <w:rsid w:val="00AD02A9"/>
    <w:rsid w:val="00AF0A6B"/>
    <w:rsid w:val="00B00D7A"/>
    <w:rsid w:val="00B05A69"/>
    <w:rsid w:val="00B25B08"/>
    <w:rsid w:val="00B42F5D"/>
    <w:rsid w:val="00B46864"/>
    <w:rsid w:val="00B61F54"/>
    <w:rsid w:val="00B659F7"/>
    <w:rsid w:val="00B7085B"/>
    <w:rsid w:val="00B85C18"/>
    <w:rsid w:val="00B95E19"/>
    <w:rsid w:val="00B9734B"/>
    <w:rsid w:val="00BA30E2"/>
    <w:rsid w:val="00BA3727"/>
    <w:rsid w:val="00BB2279"/>
    <w:rsid w:val="00C0065B"/>
    <w:rsid w:val="00C03A8F"/>
    <w:rsid w:val="00C06878"/>
    <w:rsid w:val="00C11BFE"/>
    <w:rsid w:val="00C1371B"/>
    <w:rsid w:val="00C32845"/>
    <w:rsid w:val="00C35501"/>
    <w:rsid w:val="00C5068F"/>
    <w:rsid w:val="00C5338D"/>
    <w:rsid w:val="00C86D74"/>
    <w:rsid w:val="00CA0137"/>
    <w:rsid w:val="00CB684D"/>
    <w:rsid w:val="00CC47C5"/>
    <w:rsid w:val="00CC7716"/>
    <w:rsid w:val="00CD04F1"/>
    <w:rsid w:val="00CD57D0"/>
    <w:rsid w:val="00CD59F2"/>
    <w:rsid w:val="00D05455"/>
    <w:rsid w:val="00D12C73"/>
    <w:rsid w:val="00D14DC9"/>
    <w:rsid w:val="00D3124F"/>
    <w:rsid w:val="00D45252"/>
    <w:rsid w:val="00D54640"/>
    <w:rsid w:val="00D54755"/>
    <w:rsid w:val="00D6252A"/>
    <w:rsid w:val="00D63C1E"/>
    <w:rsid w:val="00D71B4D"/>
    <w:rsid w:val="00D81834"/>
    <w:rsid w:val="00D93D55"/>
    <w:rsid w:val="00DA6500"/>
    <w:rsid w:val="00DB2A3D"/>
    <w:rsid w:val="00DC7BA0"/>
    <w:rsid w:val="00E028E0"/>
    <w:rsid w:val="00E07CFE"/>
    <w:rsid w:val="00E15015"/>
    <w:rsid w:val="00E335FE"/>
    <w:rsid w:val="00E83BE3"/>
    <w:rsid w:val="00E92C0C"/>
    <w:rsid w:val="00EA3D78"/>
    <w:rsid w:val="00EA6799"/>
    <w:rsid w:val="00EA7D6E"/>
    <w:rsid w:val="00EC4E49"/>
    <w:rsid w:val="00ED77FB"/>
    <w:rsid w:val="00EE45FA"/>
    <w:rsid w:val="00F05590"/>
    <w:rsid w:val="00F13B05"/>
    <w:rsid w:val="00F62B85"/>
    <w:rsid w:val="00F66152"/>
    <w:rsid w:val="00F7440C"/>
    <w:rsid w:val="00F9539B"/>
    <w:rsid w:val="00FC36BB"/>
    <w:rsid w:val="00FC7AE8"/>
    <w:rsid w:val="00FC7F5F"/>
    <w:rsid w:val="00FE259D"/>
    <w:rsid w:val="00FE2B6E"/>
    <w:rsid w:val="00FE67F3"/>
    <w:rsid w:val="00FE76CC"/>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44C4D66"/>
  <w15:docId w15:val="{3A5C24A9-FFF8-4A08-AF5A-6435E80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link w:val="ONUME"/>
    <w:rsid w:val="00FC7AE8"/>
    <w:rPr>
      <w:rFonts w:ascii="Arial" w:eastAsia="SimSun" w:hAnsi="Arial" w:cs="Arial"/>
      <w:sz w:val="22"/>
      <w:lang w:val="en-US" w:eastAsia="zh-CN"/>
    </w:rPr>
  </w:style>
  <w:style w:type="character" w:customStyle="1" w:styleId="BodyTextChar">
    <w:name w:val="Body Text Char"/>
    <w:basedOn w:val="DefaultParagraphFont"/>
    <w:link w:val="BodyText"/>
    <w:rsid w:val="00FC7AE8"/>
    <w:rPr>
      <w:rFonts w:ascii="Arial" w:eastAsia="SimSun" w:hAnsi="Arial" w:cs="Arial"/>
      <w:sz w:val="22"/>
      <w:lang w:val="en-US" w:eastAsia="zh-CN"/>
    </w:rPr>
  </w:style>
  <w:style w:type="paragraph" w:styleId="ListParagraph">
    <w:name w:val="List Paragraph"/>
    <w:basedOn w:val="Normal"/>
    <w:uiPriority w:val="34"/>
    <w:qFormat/>
    <w:rsid w:val="000D08AE"/>
    <w:pPr>
      <w:ind w:left="720"/>
      <w:contextualSpacing/>
    </w:pPr>
  </w:style>
  <w:style w:type="character" w:styleId="CommentReference">
    <w:name w:val="annotation reference"/>
    <w:basedOn w:val="DefaultParagraphFont"/>
    <w:uiPriority w:val="99"/>
    <w:unhideWhenUsed/>
    <w:rsid w:val="00C1371B"/>
    <w:rPr>
      <w:sz w:val="16"/>
      <w:szCs w:val="16"/>
    </w:rPr>
  </w:style>
  <w:style w:type="paragraph" w:styleId="CommentSubject">
    <w:name w:val="annotation subject"/>
    <w:basedOn w:val="CommentText"/>
    <w:next w:val="CommentText"/>
    <w:link w:val="CommentSubjectChar"/>
    <w:semiHidden/>
    <w:unhideWhenUsed/>
    <w:rsid w:val="00C1371B"/>
    <w:rPr>
      <w:b/>
      <w:bCs/>
      <w:sz w:val="20"/>
    </w:rPr>
  </w:style>
  <w:style w:type="character" w:customStyle="1" w:styleId="CommentTextChar">
    <w:name w:val="Comment Text Char"/>
    <w:basedOn w:val="DefaultParagraphFont"/>
    <w:link w:val="CommentText"/>
    <w:uiPriority w:val="99"/>
    <w:rsid w:val="00C1371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1371B"/>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FE76CC"/>
    <w:rPr>
      <w:rFonts w:ascii="Arial" w:eastAsia="SimSun" w:hAnsi="Arial" w:cs="Arial"/>
      <w:sz w:val="22"/>
      <w:lang w:val="en-US" w:eastAsia="zh-CN"/>
    </w:rPr>
  </w:style>
  <w:style w:type="character" w:customStyle="1" w:styleId="Heading3Char">
    <w:name w:val="Heading 3 Char"/>
    <w:basedOn w:val="DefaultParagraphFont"/>
    <w:link w:val="Heading3"/>
    <w:rsid w:val="000C243C"/>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300EC6"/>
    <w:rPr>
      <w:rFonts w:ascii="Arial" w:eastAsia="SimSun" w:hAnsi="Arial" w:cs="Arial"/>
      <w:bCs/>
      <w:i/>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2403">
      <w:bodyDiv w:val="1"/>
      <w:marLeft w:val="0"/>
      <w:marRight w:val="0"/>
      <w:marTop w:val="0"/>
      <w:marBottom w:val="0"/>
      <w:divBdr>
        <w:top w:val="none" w:sz="0" w:space="0" w:color="auto"/>
        <w:left w:val="none" w:sz="0" w:space="0" w:color="auto"/>
        <w:bottom w:val="none" w:sz="0" w:space="0" w:color="auto"/>
        <w:right w:val="none" w:sz="0" w:space="0" w:color="auto"/>
      </w:divBdr>
      <w:divsChild>
        <w:div w:id="906110455">
          <w:marLeft w:val="0"/>
          <w:marRight w:val="0"/>
          <w:marTop w:val="0"/>
          <w:marBottom w:val="0"/>
          <w:divBdr>
            <w:top w:val="none" w:sz="0" w:space="0" w:color="auto"/>
            <w:left w:val="none" w:sz="0" w:space="0" w:color="auto"/>
            <w:bottom w:val="none" w:sz="0" w:space="0" w:color="auto"/>
            <w:right w:val="none" w:sz="0" w:space="0" w:color="auto"/>
          </w:divBdr>
        </w:div>
        <w:div w:id="2077583267">
          <w:marLeft w:val="0"/>
          <w:marRight w:val="0"/>
          <w:marTop w:val="0"/>
          <w:marBottom w:val="0"/>
          <w:divBdr>
            <w:top w:val="none" w:sz="0" w:space="0" w:color="auto"/>
            <w:left w:val="none" w:sz="0" w:space="0" w:color="auto"/>
            <w:bottom w:val="none" w:sz="0" w:space="0" w:color="auto"/>
            <w:right w:val="none" w:sz="0" w:space="0" w:color="auto"/>
          </w:divBdr>
        </w:div>
        <w:div w:id="196285748">
          <w:marLeft w:val="0"/>
          <w:marRight w:val="0"/>
          <w:marTop w:val="0"/>
          <w:marBottom w:val="0"/>
          <w:divBdr>
            <w:top w:val="none" w:sz="0" w:space="0" w:color="auto"/>
            <w:left w:val="none" w:sz="0" w:space="0" w:color="auto"/>
            <w:bottom w:val="none" w:sz="0" w:space="0" w:color="auto"/>
            <w:right w:val="none" w:sz="0" w:space="0" w:color="auto"/>
          </w:divBdr>
        </w:div>
        <w:div w:id="88737854">
          <w:marLeft w:val="0"/>
          <w:marRight w:val="0"/>
          <w:marTop w:val="0"/>
          <w:marBottom w:val="0"/>
          <w:divBdr>
            <w:top w:val="none" w:sz="0" w:space="0" w:color="auto"/>
            <w:left w:val="none" w:sz="0" w:space="0" w:color="auto"/>
            <w:bottom w:val="none" w:sz="0" w:space="0" w:color="auto"/>
            <w:right w:val="none" w:sz="0" w:space="0" w:color="auto"/>
          </w:divBdr>
        </w:div>
      </w:divsChild>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7B17B-D7CC-4590-B7D3-93FC1624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6</Pages>
  <Words>2668</Words>
  <Characters>13398</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CWS/7/12 (in English)</vt:lpstr>
    </vt:vector>
  </TitlesOfParts>
  <Company>WIPO</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(in English)</dc:title>
  <dc:subject>REVISION OF WIPO STANDARD ST.27</dc:subject>
  <dc:creator>WIPO</dc:creator>
  <cp:keywords>CWS, WIPO</cp:keywords>
  <cp:lastModifiedBy>DRAKE Sophie</cp:lastModifiedBy>
  <cp:revision>28</cp:revision>
  <cp:lastPrinted>2019-05-23T16:55:00Z</cp:lastPrinted>
  <dcterms:created xsi:type="dcterms:W3CDTF">2019-05-27T12:31:00Z</dcterms:created>
  <dcterms:modified xsi:type="dcterms:W3CDTF">2019-06-12T08:36:00Z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