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BCD82E4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F6FDC8C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6C9324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49DE2DAF" wp14:editId="6B8B763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55B354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5586257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6235BD0" w14:textId="77777777" w:rsidR="008B2CC1" w:rsidRPr="0090731E" w:rsidRDefault="00C0065B" w:rsidP="007E0F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E41BD8">
              <w:rPr>
                <w:rFonts w:ascii="Arial Black" w:hAnsi="Arial Black"/>
                <w:caps/>
                <w:sz w:val="15"/>
              </w:rPr>
              <w:t>7/10</w:t>
            </w:r>
          </w:p>
        </w:tc>
      </w:tr>
      <w:tr w:rsidR="008B2CC1" w:rsidRPr="001832A6" w14:paraId="6BB9EBD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658E79B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Original"/>
            <w:bookmarkEnd w:id="0"/>
            <w:r w:rsidR="005E46FD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4A037E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69887D7" w14:textId="13D65523" w:rsidR="008B2CC1" w:rsidRPr="0090731E" w:rsidRDefault="008B2CC1" w:rsidP="00C426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890D9E">
              <w:rPr>
                <w:rFonts w:ascii="Arial Black" w:hAnsi="Arial Black"/>
                <w:caps/>
                <w:sz w:val="15"/>
              </w:rPr>
              <w:t xml:space="preserve">MAY </w:t>
            </w:r>
            <w:r w:rsidR="00C426B4">
              <w:rPr>
                <w:rFonts w:ascii="Arial Black" w:hAnsi="Arial Black"/>
                <w:caps/>
                <w:sz w:val="15"/>
              </w:rPr>
              <w:t>20</w:t>
            </w:r>
            <w:r w:rsidR="00890D9E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18E1308" w14:textId="77777777" w:rsidR="008B2CC1" w:rsidRPr="008B2CC1" w:rsidRDefault="008B2CC1" w:rsidP="008B2CC1"/>
    <w:p w14:paraId="427CD985" w14:textId="77777777" w:rsidR="008B2CC1" w:rsidRPr="008B2CC1" w:rsidRDefault="008B2CC1" w:rsidP="008B2CC1"/>
    <w:p w14:paraId="4AB1A553" w14:textId="77777777" w:rsidR="008B2CC1" w:rsidRPr="008B2CC1" w:rsidRDefault="008B2CC1" w:rsidP="008B2CC1"/>
    <w:p w14:paraId="1C203693" w14:textId="77777777" w:rsidR="008B2CC1" w:rsidRPr="008B2CC1" w:rsidRDefault="008B2CC1" w:rsidP="008B2CC1"/>
    <w:p w14:paraId="1ADA5B94" w14:textId="77777777" w:rsidR="008B2CC1" w:rsidRPr="008B2CC1" w:rsidRDefault="008B2CC1" w:rsidP="008B2CC1"/>
    <w:p w14:paraId="45F7FCC1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55A85699" w14:textId="77777777" w:rsidR="003845C1" w:rsidRPr="007E0FFD" w:rsidRDefault="003845C1" w:rsidP="003845C1"/>
    <w:p w14:paraId="360F074C" w14:textId="77777777" w:rsidR="003845C1" w:rsidRDefault="003845C1" w:rsidP="003845C1"/>
    <w:p w14:paraId="7997AEAB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4B14E1F0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7B2C8BED" w14:textId="77777777" w:rsidR="008B2CC1" w:rsidRPr="008B2CC1" w:rsidRDefault="008B2CC1" w:rsidP="008B2CC1"/>
    <w:p w14:paraId="7700F7D5" w14:textId="77777777" w:rsidR="008B2CC1" w:rsidRPr="008B2CC1" w:rsidRDefault="008B2CC1" w:rsidP="008B2CC1"/>
    <w:p w14:paraId="7B30A694" w14:textId="77777777" w:rsidR="008B2CC1" w:rsidRPr="008B2CC1" w:rsidRDefault="008B2CC1" w:rsidP="008B2CC1"/>
    <w:p w14:paraId="147373E1" w14:textId="119E617B" w:rsidR="008B2CC1" w:rsidRPr="003845C1" w:rsidRDefault="00316D5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 xml:space="preserve">DIGITAL TRANSFORMATION TASK FORCE </w:t>
      </w:r>
      <w:r w:rsidR="007E0FFD" w:rsidRPr="007E0FFD">
        <w:rPr>
          <w:caps/>
          <w:sz w:val="24"/>
        </w:rPr>
        <w:t xml:space="preserve">Report on Task No. </w:t>
      </w:r>
      <w:r w:rsidR="000D3BD5">
        <w:rPr>
          <w:caps/>
          <w:sz w:val="24"/>
        </w:rPr>
        <w:t>62</w:t>
      </w:r>
    </w:p>
    <w:p w14:paraId="2C3138CF" w14:textId="77777777" w:rsidR="008B2CC1" w:rsidRPr="008B2CC1" w:rsidRDefault="008B2CC1" w:rsidP="008B2CC1"/>
    <w:p w14:paraId="775D2E45" w14:textId="50CBBFFF" w:rsidR="008B2CC1" w:rsidRPr="008B2CC1" w:rsidRDefault="00890D9E" w:rsidP="008B2CC1">
      <w:pPr>
        <w:rPr>
          <w:i/>
        </w:rPr>
      </w:pPr>
      <w:bookmarkStart w:id="3" w:name="Prepared"/>
      <w:bookmarkEnd w:id="3"/>
      <w:r>
        <w:rPr>
          <w:i/>
        </w:rPr>
        <w:t xml:space="preserve">Document prepared by the </w:t>
      </w:r>
      <w:r w:rsidR="00366EEB">
        <w:rPr>
          <w:i/>
        </w:rPr>
        <w:t>Digital Transformation Task Force Leader</w:t>
      </w:r>
    </w:p>
    <w:p w14:paraId="4CC4FB6F" w14:textId="77777777" w:rsidR="00AC205C" w:rsidRDefault="00AC205C"/>
    <w:p w14:paraId="3BEEC098" w14:textId="77777777" w:rsidR="000F5E56" w:rsidRDefault="000F5E56"/>
    <w:p w14:paraId="51973F94" w14:textId="46FE1578" w:rsidR="002928D3" w:rsidRPr="00C426B4" w:rsidRDefault="002928D3" w:rsidP="0053057A">
      <w:pPr>
        <w:rPr>
          <w:u w:val="single"/>
        </w:rPr>
      </w:pPr>
      <w:bookmarkStart w:id="4" w:name="_GoBack"/>
    </w:p>
    <w:bookmarkEnd w:id="4"/>
    <w:p w14:paraId="1C8A6E6B" w14:textId="77777777" w:rsidR="00C426B4" w:rsidRDefault="00C426B4" w:rsidP="0053057A"/>
    <w:p w14:paraId="326EFD6A" w14:textId="77777777" w:rsidR="002928D3" w:rsidRDefault="002928D3"/>
    <w:p w14:paraId="66FC8D85" w14:textId="77777777" w:rsidR="00153EC9" w:rsidRPr="00890D9E" w:rsidRDefault="00153EC9" w:rsidP="00890D9E">
      <w:pPr>
        <w:pStyle w:val="Heading2"/>
        <w:spacing w:before="0"/>
        <w:rPr>
          <w:caps w:val="0"/>
        </w:rPr>
      </w:pPr>
      <w:r w:rsidRPr="007C4727">
        <w:rPr>
          <w:caps w:val="0"/>
        </w:rPr>
        <w:t>INTRODUCTION</w:t>
      </w:r>
    </w:p>
    <w:p w14:paraId="01CE0222" w14:textId="35A10F96" w:rsidR="003B37CF" w:rsidRDefault="00153EC9" w:rsidP="006C5C0E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 xml:space="preserve">At the </w:t>
      </w:r>
      <w:r w:rsidR="008C5CDD">
        <w:t>sixth</w:t>
      </w:r>
      <w:r w:rsidRPr="007C4727">
        <w:t xml:space="preserve"> session</w:t>
      </w:r>
      <w:r w:rsidR="00E41BD8">
        <w:t xml:space="preserve"> of the Committee on WIPO Standards (</w:t>
      </w:r>
      <w:r w:rsidR="008C5CDD" w:rsidRPr="00BB197B">
        <w:t>CWS</w:t>
      </w:r>
      <w:r w:rsidR="00E41BD8">
        <w:t xml:space="preserve">), the Committee </w:t>
      </w:r>
      <w:r w:rsidR="008C5CDD" w:rsidRPr="00BB197B">
        <w:t>approved</w:t>
      </w:r>
      <w:r w:rsidR="00E41BD8">
        <w:t xml:space="preserve"> new </w:t>
      </w:r>
      <w:r w:rsidR="00580B29">
        <w:t>T</w:t>
      </w:r>
      <w:r w:rsidR="00E41BD8">
        <w:t>ask No. 62</w:t>
      </w:r>
      <w:r w:rsidR="00580B29">
        <w:t>, the description of which reads</w:t>
      </w:r>
      <w:r w:rsidR="00E41BD8">
        <w:t>:</w:t>
      </w:r>
      <w:r w:rsidR="00804EFC">
        <w:t xml:space="preserve"> </w:t>
      </w:r>
      <w:r w:rsidR="006C5C0E">
        <w:t xml:space="preserve"> </w:t>
      </w:r>
      <w:r w:rsidR="00804EFC" w:rsidRPr="009942A4">
        <w:t>“Review WIPO Standards: ST.6, ST.8, ST.10, ST.11, ST.15, ST.17, ST.18, ST.63 and ST.81 in view of electronic publication of IP documentation; and propose revisions of those Standards if needed”</w:t>
      </w:r>
      <w:r w:rsidR="00804EFC">
        <w:t xml:space="preserve">.  </w:t>
      </w:r>
      <w:r w:rsidR="008C5CDD" w:rsidRPr="007C4727">
        <w:t xml:space="preserve">(See paragraphs </w:t>
      </w:r>
      <w:r w:rsidR="00E41BD8">
        <w:t>143</w:t>
      </w:r>
      <w:r w:rsidR="008C5CDD" w:rsidRPr="007C4727">
        <w:t xml:space="preserve"> to </w:t>
      </w:r>
      <w:r w:rsidR="008C5CDD">
        <w:t>1</w:t>
      </w:r>
      <w:r w:rsidR="00E41BD8">
        <w:t>51</w:t>
      </w:r>
      <w:r w:rsidR="008C5CDD">
        <w:t xml:space="preserve"> of document CWS/6</w:t>
      </w:r>
      <w:r w:rsidR="008C5CDD" w:rsidRPr="007C4727">
        <w:t>/</w:t>
      </w:r>
      <w:r w:rsidR="008C5CDD">
        <w:t>34</w:t>
      </w:r>
      <w:r w:rsidR="008C5CDD" w:rsidRPr="007C4727">
        <w:t>.)</w:t>
      </w:r>
      <w:r w:rsidR="003B37CF">
        <w:t xml:space="preserve">  </w:t>
      </w:r>
      <w:r w:rsidR="003B37CF" w:rsidRPr="009942A4">
        <w:t xml:space="preserve">The CWS established a corresponding Task Force named “Digital Transformation Task Force” and designated the United States </w:t>
      </w:r>
      <w:r w:rsidR="00580B29">
        <w:t>Patent and Trademark Office (USPTO)</w:t>
      </w:r>
      <w:r w:rsidR="003B37CF" w:rsidRPr="009942A4">
        <w:t xml:space="preserve"> as the Task Force Leader.</w:t>
      </w:r>
    </w:p>
    <w:p w14:paraId="57348B85" w14:textId="65F54EB1" w:rsidR="00761732" w:rsidRDefault="00761732" w:rsidP="00890D9E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>In November 201</w:t>
      </w:r>
      <w:r w:rsidR="00366EEB">
        <w:t>8</w:t>
      </w:r>
      <w:r>
        <w:t>, the International Bureau</w:t>
      </w:r>
      <w:r w:rsidRPr="005814E4">
        <w:t xml:space="preserve"> </w:t>
      </w:r>
      <w:r>
        <w:t xml:space="preserve">issued circular C.CWS.108 requesting nominations to participate in the </w:t>
      </w:r>
      <w:r w:rsidRPr="009942A4">
        <w:t>Digital Transformation Task Force</w:t>
      </w:r>
      <w:r>
        <w:t>.  Representatives from 13 IP Offices volunteered for the Task Force.</w:t>
      </w:r>
    </w:p>
    <w:p w14:paraId="15D95DDD" w14:textId="77777777" w:rsidR="00153EC9" w:rsidRPr="00890D9E" w:rsidRDefault="00153EC9" w:rsidP="00890D9E">
      <w:pPr>
        <w:pStyle w:val="Heading2"/>
        <w:spacing w:before="0"/>
        <w:rPr>
          <w:caps w:val="0"/>
        </w:rPr>
      </w:pPr>
      <w:r w:rsidRPr="007C4727">
        <w:rPr>
          <w:caps w:val="0"/>
        </w:rPr>
        <w:t>PROGRESS REPORT</w:t>
      </w:r>
    </w:p>
    <w:p w14:paraId="4EF2AB05" w14:textId="77777777" w:rsidR="00A763DA" w:rsidRPr="007E5CC5" w:rsidRDefault="00A763DA" w:rsidP="00890D9E">
      <w:pPr>
        <w:pStyle w:val="ONUME"/>
        <w:numPr>
          <w:ilvl w:val="0"/>
          <w:numId w:val="0"/>
        </w:numPr>
        <w:rPr>
          <w:szCs w:val="22"/>
        </w:rPr>
      </w:pPr>
      <w:r w:rsidRPr="007E5CC5">
        <w:rPr>
          <w:szCs w:val="22"/>
        </w:rPr>
        <w:fldChar w:fldCharType="begin"/>
      </w:r>
      <w:r w:rsidRPr="007E5CC5">
        <w:rPr>
          <w:szCs w:val="22"/>
        </w:rPr>
        <w:instrText xml:space="preserve"> AUTONUM  </w:instrText>
      </w:r>
      <w:r w:rsidRPr="007E5CC5">
        <w:rPr>
          <w:szCs w:val="22"/>
        </w:rPr>
        <w:fldChar w:fldCharType="end"/>
      </w:r>
      <w:r w:rsidRPr="007E5CC5">
        <w:rPr>
          <w:szCs w:val="22"/>
        </w:rPr>
        <w:tab/>
      </w:r>
      <w:r w:rsidR="00B70A5E" w:rsidRPr="007E5CC5">
        <w:rPr>
          <w:szCs w:val="22"/>
        </w:rPr>
        <w:t xml:space="preserve">The Task Force Leader prepared </w:t>
      </w:r>
      <w:r w:rsidR="007E5CC5" w:rsidRPr="007E5CC5">
        <w:rPr>
          <w:szCs w:val="22"/>
        </w:rPr>
        <w:t xml:space="preserve">a </w:t>
      </w:r>
      <w:r w:rsidR="00B70A5E" w:rsidRPr="007E5CC5">
        <w:rPr>
          <w:szCs w:val="22"/>
        </w:rPr>
        <w:t>draft work plan in consultation with the International Bureau and circulated it to the Task Force for comment.</w:t>
      </w:r>
      <w:r w:rsidR="008B6DB9" w:rsidRPr="007E5CC5">
        <w:rPr>
          <w:szCs w:val="22"/>
        </w:rPr>
        <w:t xml:space="preserve">  </w:t>
      </w:r>
      <w:r w:rsidR="007E5CC5" w:rsidRPr="007E5CC5">
        <w:rPr>
          <w:szCs w:val="22"/>
        </w:rPr>
        <w:t>The goal of the work plan is:</w:t>
      </w:r>
    </w:p>
    <w:p w14:paraId="4E97C073" w14:textId="77777777" w:rsidR="007E5CC5" w:rsidRPr="007E5CC5" w:rsidRDefault="007E5CC5" w:rsidP="00890D9E">
      <w:pPr>
        <w:pStyle w:val="NoSpacing"/>
        <w:spacing w:after="220"/>
        <w:ind w:left="562"/>
        <w:rPr>
          <w:rFonts w:ascii="Arial" w:hAnsi="Arial" w:cs="Arial"/>
        </w:rPr>
      </w:pPr>
      <w:r w:rsidRPr="007E5CC5">
        <w:rPr>
          <w:rFonts w:ascii="Arial" w:hAnsi="Arial" w:cs="Arial"/>
        </w:rPr>
        <w:t xml:space="preserve">To update existing WIPO Standards and practices for publishing information related to IP rights in the digital environment. To achieve this goal, the </w:t>
      </w:r>
      <w:r w:rsidR="006C5C0E">
        <w:rPr>
          <w:rFonts w:ascii="Arial" w:hAnsi="Arial" w:cs="Arial"/>
        </w:rPr>
        <w:t>T</w:t>
      </w:r>
      <w:r w:rsidRPr="007E5CC5">
        <w:rPr>
          <w:rFonts w:ascii="Arial" w:hAnsi="Arial" w:cs="Arial"/>
        </w:rPr>
        <w:t xml:space="preserve">ask </w:t>
      </w:r>
      <w:r w:rsidR="006C5C0E">
        <w:rPr>
          <w:rFonts w:ascii="Arial" w:hAnsi="Arial" w:cs="Arial"/>
        </w:rPr>
        <w:t>F</w:t>
      </w:r>
      <w:r w:rsidRPr="007E5CC5">
        <w:rPr>
          <w:rFonts w:ascii="Arial" w:hAnsi="Arial" w:cs="Arial"/>
        </w:rPr>
        <w:t>orce will:</w:t>
      </w:r>
    </w:p>
    <w:p w14:paraId="2EBEC941" w14:textId="77777777" w:rsidR="007E5CC5" w:rsidRDefault="007E5CC5" w:rsidP="007E5CC5">
      <w:pPr>
        <w:pStyle w:val="NoSpacing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7E5CC5">
        <w:rPr>
          <w:rFonts w:ascii="Arial" w:hAnsi="Arial" w:cs="Arial"/>
        </w:rPr>
        <w:t>Review WIPO Standards in view of electronic publication of IP documentation</w:t>
      </w:r>
    </w:p>
    <w:p w14:paraId="683B9568" w14:textId="77777777" w:rsidR="007E5CC5" w:rsidRDefault="007E5CC5" w:rsidP="007E5CC5">
      <w:pPr>
        <w:pStyle w:val="NoSpacing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7E5CC5">
        <w:rPr>
          <w:rFonts w:ascii="Arial" w:hAnsi="Arial" w:cs="Arial"/>
        </w:rPr>
        <w:t>Review the publication practices to improve digital dissemination of information</w:t>
      </w:r>
    </w:p>
    <w:p w14:paraId="50DFABF8" w14:textId="77777777" w:rsidR="007E5CC5" w:rsidRPr="007E5CC5" w:rsidRDefault="007E5CC5" w:rsidP="00890D9E">
      <w:pPr>
        <w:pStyle w:val="NoSpacing"/>
        <w:numPr>
          <w:ilvl w:val="0"/>
          <w:numId w:val="10"/>
        </w:numPr>
        <w:spacing w:after="220" w:line="360" w:lineRule="auto"/>
        <w:ind w:left="994"/>
        <w:rPr>
          <w:rFonts w:ascii="Arial" w:hAnsi="Arial" w:cs="Arial"/>
        </w:rPr>
      </w:pPr>
      <w:r w:rsidRPr="007E5CC5">
        <w:rPr>
          <w:rFonts w:ascii="Arial" w:hAnsi="Arial" w:cs="Arial"/>
        </w:rPr>
        <w:t>Propose revisions to those Standards if needed</w:t>
      </w:r>
    </w:p>
    <w:p w14:paraId="2FD5263B" w14:textId="77777777" w:rsidR="00A763DA" w:rsidRDefault="007E5CC5" w:rsidP="00B04BF3">
      <w:pPr>
        <w:pStyle w:val="ONUME"/>
        <w:keepNext/>
        <w:keepLines/>
        <w:numPr>
          <w:ilvl w:val="0"/>
          <w:numId w:val="0"/>
        </w:numPr>
      </w:pPr>
      <w:r w:rsidRPr="007C4727">
        <w:lastRenderedPageBreak/>
        <w:fldChar w:fldCharType="begin"/>
      </w:r>
      <w:r w:rsidRPr="007C4727">
        <w:instrText xml:space="preserve"> AUTONUM  </w:instrText>
      </w:r>
      <w:r w:rsidRPr="007C4727">
        <w:fldChar w:fldCharType="end"/>
      </w:r>
      <w:r w:rsidR="00C5787E">
        <w:tab/>
      </w:r>
      <w:r w:rsidR="00993BC8">
        <w:t xml:space="preserve">The draft work plan </w:t>
      </w:r>
      <w:r w:rsidR="00411DAD">
        <w:t>contains the</w:t>
      </w:r>
      <w:r w:rsidR="00993BC8">
        <w:t xml:space="preserve"> following steps:</w:t>
      </w:r>
    </w:p>
    <w:p w14:paraId="1F2876CF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IP Offices to share existing practices on electronic publication</w:t>
      </w:r>
    </w:p>
    <w:p w14:paraId="6E62A0B6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Discuss existing challenges to the current process</w:t>
      </w:r>
    </w:p>
    <w:p w14:paraId="58BC6B30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Share and discuss future plans for electronic publication</w:t>
      </w:r>
    </w:p>
    <w:p w14:paraId="4F69010E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Agree on definition and criteria for electronic publications</w:t>
      </w:r>
    </w:p>
    <w:p w14:paraId="0A5A5027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 xml:space="preserve">Discuss file types: image, bib, full-text </w:t>
      </w:r>
    </w:p>
    <w:p w14:paraId="45C1A862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Agree on the criteria for reviewing the standards</w:t>
      </w:r>
    </w:p>
    <w:p w14:paraId="316584A1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0D9E">
        <w:rPr>
          <w:rFonts w:ascii="Arial" w:hAnsi="Arial" w:cs="Arial"/>
        </w:rPr>
        <w:t>Prioritize the order to review the standards in the task description</w:t>
      </w:r>
    </w:p>
    <w:p w14:paraId="1E9DE3D7" w14:textId="77777777" w:rsidR="00993BC8" w:rsidRPr="00890D9E" w:rsidRDefault="00993BC8" w:rsidP="00B04BF3">
      <w:pPr>
        <w:pStyle w:val="NoSpacing"/>
        <w:keepNext/>
        <w:keepLines/>
        <w:numPr>
          <w:ilvl w:val="0"/>
          <w:numId w:val="10"/>
        </w:numPr>
        <w:spacing w:after="220"/>
        <w:ind w:left="994"/>
        <w:rPr>
          <w:rFonts w:ascii="Arial" w:hAnsi="Arial" w:cs="Arial"/>
        </w:rPr>
      </w:pPr>
      <w:r w:rsidRPr="00890D9E">
        <w:rPr>
          <w:rFonts w:ascii="Arial" w:hAnsi="Arial" w:cs="Arial"/>
        </w:rPr>
        <w:t xml:space="preserve">Begin review and propose updates of existing standards </w:t>
      </w:r>
      <w:r w:rsidR="00CA1B58" w:rsidRPr="00890D9E">
        <w:rPr>
          <w:rFonts w:ascii="Arial" w:hAnsi="Arial" w:cs="Arial"/>
        </w:rPr>
        <w:t>where needed</w:t>
      </w:r>
      <w:r w:rsidR="006C5C0E">
        <w:rPr>
          <w:rFonts w:ascii="Arial" w:hAnsi="Arial" w:cs="Arial"/>
        </w:rPr>
        <w:t>.</w:t>
      </w:r>
    </w:p>
    <w:p w14:paraId="2A3A704B" w14:textId="5AE2145B" w:rsidR="00A763DA" w:rsidRDefault="00A763DA" w:rsidP="00890D9E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9E286B">
        <w:t xml:space="preserve">Additional discussions are planned to take place on the Task Force wiki between publication of this document and </w:t>
      </w:r>
      <w:r w:rsidR="00DF1EC0">
        <w:t>the seventh session of the CWS</w:t>
      </w:r>
      <w:r w:rsidR="009E286B">
        <w:t>.  The Task Force Leader will provide additional progress info</w:t>
      </w:r>
      <w:r w:rsidR="006C5C0E">
        <w:t>rmation</w:t>
      </w:r>
      <w:r w:rsidR="009E286B">
        <w:t xml:space="preserve"> during the report on this Task.</w:t>
      </w:r>
    </w:p>
    <w:p w14:paraId="1EF2C823" w14:textId="77777777" w:rsidR="00A763DA" w:rsidRPr="00890D9E" w:rsidRDefault="009E286B" w:rsidP="00890D9E">
      <w:pPr>
        <w:pStyle w:val="Heading2"/>
        <w:spacing w:before="0"/>
        <w:rPr>
          <w:caps w:val="0"/>
        </w:rPr>
      </w:pPr>
      <w:r w:rsidRPr="00890D9E">
        <w:rPr>
          <w:caps w:val="0"/>
        </w:rPr>
        <w:t>WORK PLAN</w:t>
      </w:r>
    </w:p>
    <w:p w14:paraId="62F4A6DA" w14:textId="77777777" w:rsidR="009E286B" w:rsidRPr="00890D9E" w:rsidRDefault="00A763DA" w:rsidP="00D65CAE">
      <w:pPr>
        <w:pStyle w:val="ONUME"/>
        <w:numPr>
          <w:ilvl w:val="0"/>
          <w:numId w:val="0"/>
        </w:numPr>
        <w:spacing w:after="120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9E286B" w:rsidRPr="00890D9E">
        <w:t>The schedule for the proposed work plan for 2019</w:t>
      </w:r>
      <w:r w:rsidR="00270CEE">
        <w:t xml:space="preserve"> - </w:t>
      </w:r>
      <w:r w:rsidR="009E286B" w:rsidRPr="00890D9E">
        <w:t>2020 is as follows:</w:t>
      </w:r>
    </w:p>
    <w:tbl>
      <w:tblPr>
        <w:tblW w:w="9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321"/>
        <w:gridCol w:w="2239"/>
      </w:tblGrid>
      <w:tr w:rsidR="00DF1EC0" w:rsidRPr="00DF1EC0" w14:paraId="19563F04" w14:textId="77777777" w:rsidTr="00062721">
        <w:trPr>
          <w:jc w:val="center"/>
        </w:trPr>
        <w:tc>
          <w:tcPr>
            <w:tcW w:w="1522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66310C" w14:textId="3E6CEED3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321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74A134" w14:textId="7777777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b/>
                <w:bCs/>
                <w:szCs w:val="22"/>
                <w:lang w:eastAsia="en-US"/>
              </w:rPr>
              <w:t>Action items</w:t>
            </w:r>
          </w:p>
        </w:tc>
        <w:tc>
          <w:tcPr>
            <w:tcW w:w="2239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CB19FC" w14:textId="7777777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b/>
                <w:bCs/>
                <w:szCs w:val="22"/>
                <w:lang w:eastAsia="en-US"/>
              </w:rPr>
              <w:t>Tentative timeline</w:t>
            </w:r>
          </w:p>
        </w:tc>
      </w:tr>
      <w:tr w:rsidR="00DF1EC0" w:rsidRPr="00DF1EC0" w14:paraId="55130B59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BC43DD" w14:textId="2D9A9E3B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842CBB" w14:textId="1CEE8EBC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IP Offices to share existing practices on electronic publication and existing challenges to the current process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C17143" w14:textId="5AD1F7DF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8 weeks</w:t>
            </w:r>
          </w:p>
        </w:tc>
      </w:tr>
      <w:tr w:rsidR="00DF1EC0" w:rsidRPr="00DF1EC0" w14:paraId="1BBFC9A6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069F4B" w14:textId="3010F00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2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019D7B0" w14:textId="4C088612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Share and discuss future plans for electronic publication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A7453CE" w14:textId="37B5EDF8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4 weeks</w:t>
            </w:r>
          </w:p>
        </w:tc>
      </w:tr>
      <w:tr w:rsidR="00DF1EC0" w:rsidRPr="00DF1EC0" w14:paraId="1D5963A5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FEAB6D" w14:textId="7E1FF7A9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3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C03314B" w14:textId="050CBDAF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Agree on definition and criteria for electronic publications and discuss file types: image, bibliographic, full text, XML, visual representation of data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86D9AC" w14:textId="54C0ADE5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iCs/>
                <w:color w:val="000000"/>
                <w:szCs w:val="22"/>
              </w:rPr>
              <w:t>4 weeks</w:t>
            </w:r>
          </w:p>
        </w:tc>
      </w:tr>
      <w:tr w:rsidR="00DF1EC0" w:rsidRPr="00DF1EC0" w14:paraId="3B4BD8DF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7DC84F9" w14:textId="2A56DCD2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4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E63560" w14:textId="72DB1B39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Agree on the criteria for review of the standards, desired outcomes of review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79A7373" w14:textId="60510C4F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4 weeks</w:t>
            </w:r>
          </w:p>
        </w:tc>
      </w:tr>
      <w:tr w:rsidR="00DF1EC0" w:rsidRPr="00DF1EC0" w14:paraId="4DDADF2F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D795DA" w14:textId="4AF31198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5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9CB4F3" w14:textId="4F825AAD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Prioritize the order in which to review the standards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D67F34" w14:textId="4B4DA68D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4 weeks</w:t>
            </w:r>
          </w:p>
        </w:tc>
      </w:tr>
      <w:tr w:rsidR="00DF1EC0" w:rsidRPr="00DF1EC0" w14:paraId="5E560B21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8481EF" w14:textId="77559296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Round 6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2799F1F" w14:textId="2EAA253A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Begin Review and update of existing standards for publication based upon agreed guidelines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EDA0DF4" w14:textId="4A9C615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4 weeks</w:t>
            </w:r>
          </w:p>
        </w:tc>
      </w:tr>
      <w:tr w:rsidR="00DF1EC0" w:rsidRPr="00DF1EC0" w14:paraId="2B39FBC2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ED116D1" w14:textId="463972C0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 xml:space="preserve">Round </w:t>
            </w:r>
            <w:r w:rsidRPr="00D65CAE">
              <w:rPr>
                <w:rFonts w:eastAsia="Times New Roman"/>
                <w:i/>
                <w:szCs w:val="22"/>
                <w:lang w:eastAsia="en-US"/>
              </w:rPr>
              <w:t>N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7D0660" w14:textId="7777777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- Perform detailed analysis of each standard in order of priority</w:t>
            </w:r>
          </w:p>
          <w:p w14:paraId="36655DC4" w14:textId="506A6518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- Develop recommendations based on detailed review and discussion with task force members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FC32" w14:textId="23B4A2B3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as needed</w:t>
            </w:r>
          </w:p>
        </w:tc>
      </w:tr>
      <w:tr w:rsidR="00DF1EC0" w:rsidRPr="00DF1EC0" w14:paraId="2A78C82A" w14:textId="77777777" w:rsidTr="00062721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E9390A" w14:textId="1B926E34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 xml:space="preserve">Round </w:t>
            </w:r>
            <w:r w:rsidRPr="00D65CAE">
              <w:rPr>
                <w:rFonts w:eastAsia="Times New Roman"/>
                <w:i/>
                <w:szCs w:val="22"/>
                <w:lang w:eastAsia="en-US"/>
              </w:rPr>
              <w:t>N+1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F9C55C" w14:textId="77777777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- Prepare a proposal for CWS/x on changes to existing standards where needed</w:t>
            </w:r>
          </w:p>
          <w:p w14:paraId="5B3E15D0" w14:textId="091511DF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- Prepare a proposal for CWS/x on new standards for electronic publishing where needed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D7BCF4" w14:textId="464FD898" w:rsidR="00DF1EC0" w:rsidRPr="00D65CAE" w:rsidRDefault="00DF1EC0" w:rsidP="00DF1EC0">
            <w:pPr>
              <w:rPr>
                <w:rFonts w:eastAsia="Times New Roman"/>
                <w:szCs w:val="22"/>
                <w:lang w:eastAsia="en-US"/>
              </w:rPr>
            </w:pPr>
            <w:r w:rsidRPr="00D65CAE">
              <w:rPr>
                <w:rFonts w:eastAsia="Times New Roman"/>
                <w:szCs w:val="22"/>
                <w:lang w:eastAsia="en-US"/>
              </w:rPr>
              <w:t>as needed</w:t>
            </w:r>
          </w:p>
        </w:tc>
      </w:tr>
    </w:tbl>
    <w:p w14:paraId="38F6469B" w14:textId="77777777" w:rsidR="00D65CAE" w:rsidRDefault="00D65CAE" w:rsidP="00D65CAE">
      <w:pPr>
        <w:spacing w:after="60"/>
        <w:rPr>
          <w:iCs/>
          <w:color w:val="000000"/>
          <w:szCs w:val="22"/>
        </w:rPr>
      </w:pPr>
    </w:p>
    <w:p w14:paraId="55B295AD" w14:textId="03F068EF" w:rsidR="00732738" w:rsidRDefault="00913B32" w:rsidP="00062721">
      <w:pPr>
        <w:spacing w:after="220"/>
        <w:rPr>
          <w:iCs/>
          <w:color w:val="000000"/>
          <w:szCs w:val="22"/>
        </w:rPr>
      </w:pPr>
      <w:r w:rsidRPr="00913B32">
        <w:rPr>
          <w:iCs/>
          <w:color w:val="000000"/>
          <w:szCs w:val="22"/>
        </w:rPr>
        <w:t>Repeat rounds N, N+1 as many times as needed to go through the identified standards.</w:t>
      </w:r>
    </w:p>
    <w:p w14:paraId="3F24EA3C" w14:textId="77777777" w:rsidR="00153EC9" w:rsidRPr="007C4727" w:rsidRDefault="00153EC9" w:rsidP="00114737">
      <w:pPr>
        <w:pStyle w:val="ONUME"/>
        <w:numPr>
          <w:ilvl w:val="0"/>
          <w:numId w:val="0"/>
        </w:numPr>
        <w:ind w:left="5533"/>
        <w:rPr>
          <w:i/>
        </w:rPr>
      </w:pPr>
      <w:r w:rsidRPr="007C4727">
        <w:rPr>
          <w:i/>
        </w:rPr>
        <w:lastRenderedPageBreak/>
        <w:fldChar w:fldCharType="begin"/>
      </w:r>
      <w:r w:rsidRPr="007C4727">
        <w:rPr>
          <w:i/>
        </w:rPr>
        <w:instrText xml:space="preserve"> AUTONUM  </w:instrText>
      </w:r>
      <w:r w:rsidRPr="007C4727">
        <w:rPr>
          <w:i/>
        </w:rPr>
        <w:fldChar w:fldCharType="end"/>
      </w:r>
      <w:r w:rsidRPr="007C4727">
        <w:rPr>
          <w:i/>
        </w:rPr>
        <w:tab/>
        <w:t xml:space="preserve">The CWS is invited to: </w:t>
      </w:r>
    </w:p>
    <w:p w14:paraId="063AD837" w14:textId="093BC09A" w:rsidR="00C32CED" w:rsidRPr="00334C4A" w:rsidRDefault="00C32CED" w:rsidP="00B04BF3">
      <w:pPr>
        <w:pStyle w:val="BodyText"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(a)</w:t>
      </w:r>
      <w:r w:rsidRPr="00334C4A">
        <w:rPr>
          <w:i/>
          <w:szCs w:val="22"/>
        </w:rPr>
        <w:tab/>
        <w:t xml:space="preserve">note the </w:t>
      </w:r>
      <w:r w:rsidR="00316D57">
        <w:rPr>
          <w:i/>
          <w:szCs w:val="22"/>
        </w:rPr>
        <w:t>content of the present document</w:t>
      </w:r>
      <w:r w:rsidRPr="00334C4A">
        <w:rPr>
          <w:i/>
          <w:szCs w:val="22"/>
        </w:rPr>
        <w:t>;</w:t>
      </w:r>
    </w:p>
    <w:p w14:paraId="1A857659" w14:textId="77777777" w:rsidR="00C32CED" w:rsidRPr="00334C4A" w:rsidRDefault="00C32CED" w:rsidP="00B04BF3">
      <w:pPr>
        <w:pStyle w:val="BodyText"/>
        <w:tabs>
          <w:tab w:val="left" w:pos="6050"/>
          <w:tab w:val="left" w:pos="6600"/>
        </w:tabs>
        <w:spacing w:after="0"/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(b)</w:t>
      </w:r>
      <w:r>
        <w:rPr>
          <w:i/>
          <w:szCs w:val="22"/>
        </w:rPr>
        <w:tab/>
      </w:r>
      <w:proofErr w:type="gramStart"/>
      <w:r w:rsidRPr="00334C4A">
        <w:rPr>
          <w:i/>
          <w:szCs w:val="22"/>
        </w:rPr>
        <w:t>note</w:t>
      </w:r>
      <w:proofErr w:type="gramEnd"/>
      <w:r w:rsidRPr="00334C4A">
        <w:rPr>
          <w:i/>
          <w:szCs w:val="22"/>
        </w:rPr>
        <w:t xml:space="preserve"> the work plan of the </w:t>
      </w:r>
      <w:r>
        <w:rPr>
          <w:i/>
          <w:szCs w:val="22"/>
        </w:rPr>
        <w:t xml:space="preserve">Digital Transformation </w:t>
      </w:r>
      <w:r w:rsidRPr="00334C4A">
        <w:rPr>
          <w:i/>
          <w:szCs w:val="22"/>
        </w:rPr>
        <w:t>Task Force and encourage IPOs to participate in the Task Force discussions</w:t>
      </w:r>
      <w:r>
        <w:rPr>
          <w:i/>
          <w:szCs w:val="22"/>
        </w:rPr>
        <w:t>.</w:t>
      </w:r>
    </w:p>
    <w:p w14:paraId="0D19E8EF" w14:textId="77777777" w:rsidR="00153EC9" w:rsidRPr="007C4727" w:rsidRDefault="00153EC9" w:rsidP="00B04BF3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</w:rPr>
      </w:pPr>
    </w:p>
    <w:p w14:paraId="3609DFEF" w14:textId="77777777" w:rsidR="00153EC9" w:rsidRPr="007C4727" w:rsidRDefault="00153EC9" w:rsidP="00153EC9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33E095C3" w14:textId="5B696F53" w:rsidR="00153EC9" w:rsidRPr="007C4727" w:rsidRDefault="00153EC9" w:rsidP="00153EC9">
      <w:pPr>
        <w:pStyle w:val="Endofdocument-Annex"/>
        <w:rPr>
          <w:lang w:val="en-GB"/>
        </w:rPr>
      </w:pPr>
      <w:r w:rsidRPr="007C4727">
        <w:rPr>
          <w:lang w:val="en-GB"/>
        </w:rPr>
        <w:t>[</w:t>
      </w:r>
      <w:r w:rsidR="00187DCE">
        <w:rPr>
          <w:lang w:val="en-GB"/>
        </w:rPr>
        <w:t>End of document</w:t>
      </w:r>
      <w:r w:rsidRPr="007C4727">
        <w:rPr>
          <w:lang w:val="en-GB"/>
        </w:rPr>
        <w:t>]</w:t>
      </w:r>
    </w:p>
    <w:sectPr w:rsidR="00153EC9" w:rsidRPr="007C4727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8BD13" w14:textId="77777777" w:rsidR="005E46FD" w:rsidRDefault="005E46FD">
      <w:r>
        <w:separator/>
      </w:r>
    </w:p>
  </w:endnote>
  <w:endnote w:type="continuationSeparator" w:id="0">
    <w:p w14:paraId="1886812F" w14:textId="77777777" w:rsidR="005E46FD" w:rsidRDefault="005E46FD" w:rsidP="003B38C1">
      <w:r>
        <w:separator/>
      </w:r>
    </w:p>
    <w:p w14:paraId="7B169D45" w14:textId="77777777" w:rsidR="005E46FD" w:rsidRPr="003B38C1" w:rsidRDefault="005E46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F24B24" w14:textId="77777777" w:rsidR="005E46FD" w:rsidRPr="003B38C1" w:rsidRDefault="005E46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1678" w14:textId="77777777" w:rsidR="005E46FD" w:rsidRDefault="005E46FD">
      <w:r>
        <w:separator/>
      </w:r>
    </w:p>
  </w:footnote>
  <w:footnote w:type="continuationSeparator" w:id="0">
    <w:p w14:paraId="41D7EA33" w14:textId="77777777" w:rsidR="005E46FD" w:rsidRDefault="005E46FD" w:rsidP="008B60B2">
      <w:r>
        <w:separator/>
      </w:r>
    </w:p>
    <w:p w14:paraId="13408803" w14:textId="77777777" w:rsidR="005E46FD" w:rsidRPr="00ED77FB" w:rsidRDefault="005E46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E6EED87" w14:textId="77777777" w:rsidR="005E46FD" w:rsidRPr="00ED77FB" w:rsidRDefault="005E46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8CB31" w14:textId="77777777" w:rsidR="00EC4E49" w:rsidRDefault="005E46FD" w:rsidP="00477D6B">
    <w:pPr>
      <w:jc w:val="right"/>
    </w:pPr>
    <w:bookmarkStart w:id="5" w:name="Code2"/>
    <w:bookmarkEnd w:id="5"/>
    <w:r>
      <w:t>CWS/</w:t>
    </w:r>
    <w:r w:rsidR="00E41BD8">
      <w:t>7/10</w:t>
    </w:r>
  </w:p>
  <w:p w14:paraId="76D7D596" w14:textId="37B590AF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426B4">
      <w:rPr>
        <w:noProof/>
      </w:rPr>
      <w:t>3</w:t>
    </w:r>
    <w:r>
      <w:fldChar w:fldCharType="end"/>
    </w:r>
  </w:p>
  <w:p w14:paraId="5129E3F0" w14:textId="77777777" w:rsidR="00EC4E49" w:rsidRDefault="00EC4E49" w:rsidP="00477D6B">
    <w:pPr>
      <w:jc w:val="right"/>
    </w:pPr>
  </w:p>
  <w:p w14:paraId="4F1A3F2F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F7A57"/>
    <w:multiLevelType w:val="hybridMultilevel"/>
    <w:tmpl w:val="505C2C74"/>
    <w:lvl w:ilvl="0" w:tplc="32567BC6">
      <w:start w:val="138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144AE2"/>
    <w:multiLevelType w:val="hybridMultilevel"/>
    <w:tmpl w:val="4B94B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47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26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E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6A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C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26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CD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C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3FB25CD"/>
    <w:multiLevelType w:val="hybridMultilevel"/>
    <w:tmpl w:val="D9E00FA4"/>
    <w:lvl w:ilvl="0" w:tplc="02167700">
      <w:start w:val="2"/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43CAA"/>
    <w:rsid w:val="00062721"/>
    <w:rsid w:val="00075432"/>
    <w:rsid w:val="00084C62"/>
    <w:rsid w:val="000968ED"/>
    <w:rsid w:val="000D3BD5"/>
    <w:rsid w:val="000F4C87"/>
    <w:rsid w:val="000F5E56"/>
    <w:rsid w:val="00114737"/>
    <w:rsid w:val="001362EE"/>
    <w:rsid w:val="00153EC9"/>
    <w:rsid w:val="001647D5"/>
    <w:rsid w:val="001832A6"/>
    <w:rsid w:val="00187DCE"/>
    <w:rsid w:val="0021217E"/>
    <w:rsid w:val="002634C4"/>
    <w:rsid w:val="00270CEE"/>
    <w:rsid w:val="002928D3"/>
    <w:rsid w:val="002D6A65"/>
    <w:rsid w:val="002F1FE6"/>
    <w:rsid w:val="002F4E68"/>
    <w:rsid w:val="00312F7F"/>
    <w:rsid w:val="00316D57"/>
    <w:rsid w:val="003473A1"/>
    <w:rsid w:val="00361450"/>
    <w:rsid w:val="00366EEB"/>
    <w:rsid w:val="003673CF"/>
    <w:rsid w:val="003845C1"/>
    <w:rsid w:val="003A6F89"/>
    <w:rsid w:val="003B37CF"/>
    <w:rsid w:val="003B38C1"/>
    <w:rsid w:val="003C0EF0"/>
    <w:rsid w:val="00411DAD"/>
    <w:rsid w:val="00423E3E"/>
    <w:rsid w:val="00427AF4"/>
    <w:rsid w:val="004647DA"/>
    <w:rsid w:val="00474062"/>
    <w:rsid w:val="00477D6B"/>
    <w:rsid w:val="004E7438"/>
    <w:rsid w:val="005019FF"/>
    <w:rsid w:val="0053057A"/>
    <w:rsid w:val="00560A29"/>
    <w:rsid w:val="00580B29"/>
    <w:rsid w:val="0058367A"/>
    <w:rsid w:val="005C6649"/>
    <w:rsid w:val="005E46FD"/>
    <w:rsid w:val="005E5D0A"/>
    <w:rsid w:val="00605827"/>
    <w:rsid w:val="006429AB"/>
    <w:rsid w:val="00646050"/>
    <w:rsid w:val="006713CA"/>
    <w:rsid w:val="00676C5C"/>
    <w:rsid w:val="006C5C0E"/>
    <w:rsid w:val="006F7A08"/>
    <w:rsid w:val="00732738"/>
    <w:rsid w:val="00761732"/>
    <w:rsid w:val="007C2CB6"/>
    <w:rsid w:val="007D1613"/>
    <w:rsid w:val="007E0FFD"/>
    <w:rsid w:val="007E4C0E"/>
    <w:rsid w:val="007E5CC5"/>
    <w:rsid w:val="00804EFC"/>
    <w:rsid w:val="00811BA6"/>
    <w:rsid w:val="00890D9E"/>
    <w:rsid w:val="008A134B"/>
    <w:rsid w:val="008B2CC1"/>
    <w:rsid w:val="008B60B2"/>
    <w:rsid w:val="008B6DB9"/>
    <w:rsid w:val="008C0ABC"/>
    <w:rsid w:val="008C5CDD"/>
    <w:rsid w:val="0090731E"/>
    <w:rsid w:val="00913B32"/>
    <w:rsid w:val="00916EE2"/>
    <w:rsid w:val="00966A22"/>
    <w:rsid w:val="0096722F"/>
    <w:rsid w:val="00980843"/>
    <w:rsid w:val="00993BC8"/>
    <w:rsid w:val="009B5006"/>
    <w:rsid w:val="009B6B26"/>
    <w:rsid w:val="009C7DB0"/>
    <w:rsid w:val="009E2791"/>
    <w:rsid w:val="009E286B"/>
    <w:rsid w:val="009E3F6F"/>
    <w:rsid w:val="009F499F"/>
    <w:rsid w:val="00A37342"/>
    <w:rsid w:val="00A42DAF"/>
    <w:rsid w:val="00A45BD8"/>
    <w:rsid w:val="00A763DA"/>
    <w:rsid w:val="00A869B7"/>
    <w:rsid w:val="00AC205C"/>
    <w:rsid w:val="00AD03A3"/>
    <w:rsid w:val="00AF0A6B"/>
    <w:rsid w:val="00B04BF3"/>
    <w:rsid w:val="00B05A69"/>
    <w:rsid w:val="00B70A5E"/>
    <w:rsid w:val="00B9734B"/>
    <w:rsid w:val="00BA30E2"/>
    <w:rsid w:val="00C0065B"/>
    <w:rsid w:val="00C056A3"/>
    <w:rsid w:val="00C11BFE"/>
    <w:rsid w:val="00C32CED"/>
    <w:rsid w:val="00C426B4"/>
    <w:rsid w:val="00C5068F"/>
    <w:rsid w:val="00C5787E"/>
    <w:rsid w:val="00C86D74"/>
    <w:rsid w:val="00CA1B58"/>
    <w:rsid w:val="00CD04F1"/>
    <w:rsid w:val="00CD59F2"/>
    <w:rsid w:val="00D3124F"/>
    <w:rsid w:val="00D45252"/>
    <w:rsid w:val="00D65CAE"/>
    <w:rsid w:val="00D71B4D"/>
    <w:rsid w:val="00D93D55"/>
    <w:rsid w:val="00D97A95"/>
    <w:rsid w:val="00DC723F"/>
    <w:rsid w:val="00DF1EC0"/>
    <w:rsid w:val="00E15015"/>
    <w:rsid w:val="00E335FE"/>
    <w:rsid w:val="00E41BD8"/>
    <w:rsid w:val="00EA7D6E"/>
    <w:rsid w:val="00EC4E49"/>
    <w:rsid w:val="00ED77FB"/>
    <w:rsid w:val="00EE45FA"/>
    <w:rsid w:val="00F66152"/>
    <w:rsid w:val="00FA17FC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600A7DF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153EC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53EC9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7E5CC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580B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0B2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0B2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0B29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DF1E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F1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610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CWS/7/10 (in English)</vt:lpstr>
    </vt:vector>
  </TitlesOfParts>
  <Company>WIPO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CWS/7/10 (in English)</dc:title>
  <dc:subject>REPORT ON TASK NO. 62</dc:subject>
  <dc:creator>WIPO</dc:creator>
  <cp:keywords>CWS, WIPO</cp:keywords>
  <cp:lastModifiedBy>DRAKE Sophie</cp:lastModifiedBy>
  <cp:revision>10</cp:revision>
  <cp:lastPrinted>2011-02-15T11:56:00Z</cp:lastPrinted>
  <dcterms:created xsi:type="dcterms:W3CDTF">2019-05-09T18:54:00Z</dcterms:created>
  <dcterms:modified xsi:type="dcterms:W3CDTF">2019-05-20T15:14:00Z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