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D57687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8B66FE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5470" cy="1326515"/>
                  <wp:effectExtent l="0" t="0" r="0" b="698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5470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D57687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D57687" w:rsidRPr="00596EE4" w:rsidRDefault="00D57687" w:rsidP="00D57687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CWS/6/</w:t>
            </w: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</w:rPr>
              <w:t xml:space="preserve">30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D57687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D57687" w:rsidRPr="00596EE4" w:rsidRDefault="00D57687" w:rsidP="00D57687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596EE4">
              <w:rPr>
                <w:rFonts w:ascii="Arial Black" w:hAnsi="Arial Black"/>
                <w:caps/>
                <w:sz w:val="15"/>
              </w:rPr>
              <w:t>ORIGINAL:  english</w:t>
            </w:r>
          </w:p>
        </w:tc>
      </w:tr>
      <w:tr w:rsidR="00D57687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D57687" w:rsidRPr="00596EE4" w:rsidRDefault="00D57687" w:rsidP="00D57687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596EE4">
              <w:rPr>
                <w:rFonts w:ascii="Arial Black" w:hAnsi="Arial Black"/>
                <w:caps/>
                <w:sz w:val="15"/>
              </w:rPr>
              <w:t xml:space="preserve">DATE:  </w:t>
            </w:r>
            <w:r>
              <w:rPr>
                <w:rFonts w:ascii="Arial Black" w:hAnsi="Arial Black"/>
                <w:caps/>
                <w:sz w:val="15"/>
              </w:rPr>
              <w:t xml:space="preserve">August </w:t>
            </w:r>
            <w:r w:rsidR="005C15AC" w:rsidRPr="005C15AC">
              <w:rPr>
                <w:rFonts w:ascii="Arial Black" w:hAnsi="Arial Black"/>
                <w:caps/>
                <w:sz w:val="15"/>
              </w:rPr>
              <w:t>31</w:t>
            </w:r>
            <w:r>
              <w:rPr>
                <w:rFonts w:ascii="Arial Black" w:hAnsi="Arial Black"/>
                <w:caps/>
                <w:sz w:val="15"/>
              </w:rPr>
              <w:t>,</w:t>
            </w:r>
            <w:r w:rsidRPr="00596EE4">
              <w:rPr>
                <w:rFonts w:ascii="Arial Black" w:hAnsi="Arial Black"/>
                <w:caps/>
                <w:sz w:val="15"/>
              </w:rPr>
              <w:t xml:space="preserve"> 2018 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8B66FE" w:rsidP="008B2CC1">
      <w:pPr>
        <w:rPr>
          <w:b/>
          <w:sz w:val="28"/>
          <w:szCs w:val="28"/>
        </w:rPr>
      </w:pPr>
      <w:r w:rsidRPr="008B66FE">
        <w:rPr>
          <w:b/>
          <w:sz w:val="28"/>
          <w:szCs w:val="28"/>
        </w:rPr>
        <w:t>Committee on WIPO Standards (CWS)</w:t>
      </w:r>
    </w:p>
    <w:p w:rsidR="003845C1" w:rsidRDefault="003845C1" w:rsidP="003845C1"/>
    <w:p w:rsidR="003845C1" w:rsidRDefault="003845C1" w:rsidP="003845C1"/>
    <w:p w:rsidR="008B66FE" w:rsidRPr="008B66FE" w:rsidRDefault="00C66B38" w:rsidP="008B66FE">
      <w:pPr>
        <w:rPr>
          <w:b/>
          <w:sz w:val="24"/>
          <w:szCs w:val="24"/>
        </w:rPr>
      </w:pPr>
      <w:r>
        <w:rPr>
          <w:b/>
          <w:sz w:val="24"/>
          <w:szCs w:val="24"/>
        </w:rPr>
        <w:t>Sixth</w:t>
      </w:r>
      <w:r w:rsidR="008B66FE" w:rsidRPr="008B66FE">
        <w:rPr>
          <w:b/>
          <w:sz w:val="24"/>
          <w:szCs w:val="24"/>
        </w:rPr>
        <w:t xml:space="preserve"> Session</w:t>
      </w:r>
    </w:p>
    <w:p w:rsidR="008B2CC1" w:rsidRPr="003845C1" w:rsidRDefault="008B66FE" w:rsidP="008B66FE">
      <w:pPr>
        <w:rPr>
          <w:b/>
          <w:sz w:val="24"/>
          <w:szCs w:val="24"/>
        </w:rPr>
      </w:pPr>
      <w:r w:rsidRPr="008B66FE">
        <w:rPr>
          <w:b/>
          <w:sz w:val="24"/>
          <w:szCs w:val="24"/>
        </w:rPr>
        <w:t xml:space="preserve">Geneva, </w:t>
      </w:r>
      <w:r w:rsidR="002C41B4">
        <w:rPr>
          <w:b/>
          <w:sz w:val="24"/>
          <w:szCs w:val="24"/>
        </w:rPr>
        <w:t>October 15</w:t>
      </w:r>
      <w:r w:rsidRPr="008B66FE">
        <w:rPr>
          <w:b/>
          <w:sz w:val="24"/>
          <w:szCs w:val="24"/>
        </w:rPr>
        <w:t xml:space="preserve"> to </w:t>
      </w:r>
      <w:r w:rsidR="002C41B4">
        <w:rPr>
          <w:b/>
          <w:sz w:val="24"/>
          <w:szCs w:val="24"/>
        </w:rPr>
        <w:t>19</w:t>
      </w:r>
      <w:r w:rsidRPr="008B66FE">
        <w:rPr>
          <w:b/>
          <w:sz w:val="24"/>
          <w:szCs w:val="24"/>
        </w:rPr>
        <w:t>, 201</w:t>
      </w:r>
      <w:r w:rsidR="002C41B4">
        <w:rPr>
          <w:b/>
          <w:sz w:val="24"/>
          <w:szCs w:val="24"/>
        </w:rPr>
        <w:t>8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2B5007" w:rsidRPr="003845C1" w:rsidRDefault="002B5007" w:rsidP="002B5007">
      <w:pPr>
        <w:rPr>
          <w:caps/>
          <w:sz w:val="24"/>
        </w:rPr>
      </w:pPr>
      <w:bookmarkStart w:id="2" w:name="TitleOfDoc"/>
      <w:bookmarkEnd w:id="2"/>
      <w:r>
        <w:rPr>
          <w:caps/>
          <w:sz w:val="24"/>
        </w:rPr>
        <w:t>INFORMATION ON THE ENTRY INTO NATIONAL (REGIONAL) PHASE OF PUBLISHED PCT INTERNATIONAL APPLICATIONS</w:t>
      </w:r>
    </w:p>
    <w:p w:rsidR="002B5007" w:rsidRPr="008B2CC1" w:rsidRDefault="002B5007" w:rsidP="002B5007"/>
    <w:p w:rsidR="002B5007" w:rsidRPr="008B2CC1" w:rsidRDefault="002B5007" w:rsidP="002B5007">
      <w:pPr>
        <w:rPr>
          <w:i/>
        </w:rPr>
      </w:pPr>
      <w:bookmarkStart w:id="3" w:name="Prepared"/>
      <w:bookmarkEnd w:id="3"/>
      <w:r>
        <w:rPr>
          <w:i/>
        </w:rPr>
        <w:t>Document prepared by the Secretariat</w:t>
      </w:r>
    </w:p>
    <w:p w:rsidR="002B5007" w:rsidRDefault="002B5007" w:rsidP="002B5007"/>
    <w:p w:rsidR="002B5007" w:rsidRDefault="002B5007" w:rsidP="002B5007"/>
    <w:p w:rsidR="00DE1C0F" w:rsidRDefault="00DE1C0F" w:rsidP="002B5007"/>
    <w:p w:rsidR="00DE1C0F" w:rsidRDefault="00DE1C0F" w:rsidP="002B5007"/>
    <w:p w:rsidR="00DE1C0F" w:rsidRDefault="00DE1C0F" w:rsidP="002B5007"/>
    <w:p w:rsidR="002B5007" w:rsidRPr="00BB7541" w:rsidRDefault="009E2638" w:rsidP="009E2638">
      <w:pPr>
        <w:pStyle w:val="ONUME"/>
        <w:numPr>
          <w:ilvl w:val="0"/>
          <w:numId w:val="0"/>
        </w:numPr>
        <w:rPr>
          <w:rFonts w:eastAsia="Batang"/>
          <w:lang w:eastAsia="ko-KR"/>
        </w:r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2B5007">
        <w:t>The Committee on WIPO Standards (CWS), according to</w:t>
      </w:r>
      <w:r w:rsidR="002B5007">
        <w:rPr>
          <w:snapToGrid w:val="0"/>
        </w:rPr>
        <w:t xml:space="preserve"> Task No. 23,</w:t>
      </w:r>
      <w:r w:rsidR="002B5007">
        <w:t xml:space="preserve"> monitors</w:t>
      </w:r>
      <w:r w:rsidR="002B5007">
        <w:rPr>
          <w:snapToGrid w:val="0"/>
        </w:rPr>
        <w:t xml:space="preserve"> </w:t>
      </w:r>
      <w:r w:rsidR="00464674">
        <w:rPr>
          <w:snapToGrid w:val="0"/>
        </w:rPr>
        <w:t>“</w:t>
      </w:r>
      <w:r w:rsidR="002B5007">
        <w:t>the inclusion, in databases, of information about the entry, and, where applicable, the non-entry into the national (regional) phase of published PCT international applications</w:t>
      </w:r>
      <w:r w:rsidR="00464674">
        <w:t>”</w:t>
      </w:r>
      <w:r w:rsidR="002B5007">
        <w:t>.</w:t>
      </w:r>
      <w:r w:rsidR="002B5007" w:rsidRPr="00507725">
        <w:t xml:space="preserve"> </w:t>
      </w:r>
      <w:r w:rsidR="002B5007">
        <w:t xml:space="preserve"> The International Bureau should report at </w:t>
      </w:r>
      <w:r w:rsidR="008A5448">
        <w:t xml:space="preserve">the CWS </w:t>
      </w:r>
      <w:r w:rsidR="002B5007">
        <w:t xml:space="preserve">meetings every second year on the progress of the said </w:t>
      </w:r>
      <w:r w:rsidR="002B5007" w:rsidRPr="00BB7541">
        <w:t>Task.  (See document CWS/3/12 and paragraph 73 of CWS/3/14).</w:t>
      </w:r>
    </w:p>
    <w:p w:rsidR="00A919EA" w:rsidRPr="00BB7541" w:rsidRDefault="009E2638" w:rsidP="009E2638">
      <w:pPr>
        <w:pStyle w:val="ONUME"/>
        <w:numPr>
          <w:ilvl w:val="0"/>
          <w:numId w:val="0"/>
        </w:numPr>
        <w:rPr>
          <w:rFonts w:eastAsia="Batang"/>
          <w:lang w:eastAsia="ko-KR"/>
        </w:r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CB4C72" w:rsidRPr="00BB7541">
        <w:t>Since July 1, 2017, designated Offices</w:t>
      </w:r>
      <w:r w:rsidR="00CB4C72" w:rsidRPr="00BB7541">
        <w:rPr>
          <w:rStyle w:val="FootnoteReference"/>
        </w:rPr>
        <w:footnoteReference w:id="2"/>
      </w:r>
      <w:r w:rsidR="00CB4C72" w:rsidRPr="00BB7541">
        <w:t xml:space="preserve"> have been required</w:t>
      </w:r>
      <w:r w:rsidR="008A5448">
        <w:t>,</w:t>
      </w:r>
      <w:r w:rsidR="00CB4C72" w:rsidRPr="00BB7541">
        <w:t xml:space="preserve"> under </w:t>
      </w:r>
      <w:r w:rsidR="00907AFD">
        <w:t xml:space="preserve">PCT </w:t>
      </w:r>
      <w:r w:rsidR="00CB4C72" w:rsidRPr="00BB7541">
        <w:t>Rule 95.1</w:t>
      </w:r>
      <w:r w:rsidR="008A5448">
        <w:t>,</w:t>
      </w:r>
      <w:r w:rsidR="00CB4C72" w:rsidRPr="00BB7541">
        <w:t xml:space="preserve"> to notify the International Bureau of information concerning international applications which enter the national phase at their Office.  The International Bureau has developed systems for collecting and distributing this information.  </w:t>
      </w:r>
      <w:r w:rsidR="00A919EA" w:rsidRPr="00BB7541">
        <w:t xml:space="preserve">The International Bureau has made updates to the delivery and visibility of national phase entry data through enhancements to the PATENTSCOPE website </w:t>
      </w:r>
      <w:r w:rsidR="00907AFD">
        <w:t>(</w:t>
      </w:r>
      <w:hyperlink r:id="rId9" w:history="1">
        <w:r w:rsidR="00907AFD" w:rsidRPr="00003E8A">
          <w:rPr>
            <w:rStyle w:val="Hyperlink"/>
          </w:rPr>
          <w:t>https://patentscope.wipo.int/search/en/structuredSearch.jsf</w:t>
        </w:r>
      </w:hyperlink>
      <w:r w:rsidR="00907AFD">
        <w:t xml:space="preserve">) </w:t>
      </w:r>
      <w:r w:rsidR="00A919EA" w:rsidRPr="00BB7541">
        <w:t xml:space="preserve">where national phase entry data sets </w:t>
      </w:r>
      <w:proofErr w:type="gramStart"/>
      <w:r w:rsidR="00A919EA" w:rsidRPr="00BB7541">
        <w:t>may be downloaded</w:t>
      </w:r>
      <w:proofErr w:type="gramEnd"/>
      <w:r w:rsidR="00A919EA" w:rsidRPr="00BB7541">
        <w:t xml:space="preserve"> in CSV format.</w:t>
      </w:r>
    </w:p>
    <w:p w:rsidR="00E34CD1" w:rsidRDefault="009E2638" w:rsidP="009E2638">
      <w:pPr>
        <w:pStyle w:val="ONUME"/>
        <w:numPr>
          <w:ilvl w:val="0"/>
          <w:numId w:val="0"/>
        </w:numPr>
        <w:sectPr w:rsidR="00E34CD1" w:rsidSect="002C41B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>
        <w:rPr>
          <w:rFonts w:eastAsia="Batang"/>
          <w:lang w:eastAsia="ko-KR"/>
        </w:rPr>
        <w:fldChar w:fldCharType="begin"/>
      </w:r>
      <w:r>
        <w:rPr>
          <w:rFonts w:eastAsia="Batang"/>
          <w:lang w:eastAsia="ko-KR"/>
        </w:rPr>
        <w:instrText xml:space="preserve"> AUTONUM  </w:instrText>
      </w:r>
      <w:r>
        <w:rPr>
          <w:rFonts w:eastAsia="Batang"/>
          <w:lang w:eastAsia="ko-KR"/>
        </w:rPr>
        <w:fldChar w:fldCharType="end"/>
      </w:r>
      <w:r>
        <w:rPr>
          <w:rFonts w:eastAsia="Batang"/>
          <w:lang w:eastAsia="ko-KR"/>
        </w:rPr>
        <w:tab/>
      </w:r>
      <w:r w:rsidR="00907AFD" w:rsidRPr="009E2638">
        <w:rPr>
          <w:rFonts w:eastAsia="Batang"/>
          <w:lang w:eastAsia="ko-KR"/>
        </w:rPr>
        <w:t xml:space="preserve">The International Bureau informed the eleventh session of </w:t>
      </w:r>
      <w:r w:rsidR="008A5448" w:rsidRPr="009E2638">
        <w:rPr>
          <w:rFonts w:eastAsia="Batang"/>
          <w:lang w:eastAsia="ko-KR"/>
        </w:rPr>
        <w:t xml:space="preserve">the </w:t>
      </w:r>
      <w:r w:rsidR="00907AFD" w:rsidRPr="009E2638">
        <w:rPr>
          <w:rFonts w:eastAsia="Batang"/>
          <w:lang w:eastAsia="ko-KR"/>
        </w:rPr>
        <w:t xml:space="preserve">PCT Working Group, held in June 2018, of the status of its </w:t>
      </w:r>
      <w:r w:rsidR="00907AFD" w:rsidRPr="00BB7541">
        <w:t>collection of national phase entry data</w:t>
      </w:r>
      <w:r w:rsidR="00907AFD">
        <w:t>,</w:t>
      </w:r>
      <w:r w:rsidR="00907AFD" w:rsidRPr="00BB7541">
        <w:t xml:space="preserve"> which holds entries for 63 designated Offices</w:t>
      </w:r>
      <w:r w:rsidR="00D57687">
        <w:t xml:space="preserve">.  The relevant working document is reproduced as </w:t>
      </w:r>
      <w:r w:rsidR="00B61917">
        <w:t xml:space="preserve">an </w:t>
      </w:r>
      <w:r w:rsidR="00D57687">
        <w:t>Annex to this document</w:t>
      </w:r>
      <w:r w:rsidR="00E34CD1">
        <w:t xml:space="preserve">. </w:t>
      </w:r>
    </w:p>
    <w:p w:rsidR="00477156" w:rsidRDefault="009E2638" w:rsidP="009E2638">
      <w:pPr>
        <w:pStyle w:val="ONUME"/>
        <w:numPr>
          <w:ilvl w:val="0"/>
          <w:numId w:val="0"/>
        </w:numPr>
      </w:pPr>
      <w:r>
        <w:rPr>
          <w:rFonts w:eastAsia="Batang"/>
          <w:lang w:eastAsia="ko-KR"/>
        </w:rPr>
        <w:lastRenderedPageBreak/>
        <w:fldChar w:fldCharType="begin"/>
      </w:r>
      <w:r>
        <w:rPr>
          <w:rFonts w:eastAsia="Batang"/>
          <w:lang w:eastAsia="ko-KR"/>
        </w:rPr>
        <w:instrText xml:space="preserve"> AUTONUM  </w:instrText>
      </w:r>
      <w:r>
        <w:rPr>
          <w:rFonts w:eastAsia="Batang"/>
          <w:lang w:eastAsia="ko-KR"/>
        </w:rPr>
        <w:fldChar w:fldCharType="end"/>
      </w:r>
      <w:r>
        <w:rPr>
          <w:rFonts w:eastAsia="Batang"/>
          <w:lang w:eastAsia="ko-KR"/>
        </w:rPr>
        <w:tab/>
      </w:r>
      <w:r w:rsidR="00A919EA" w:rsidRPr="009E2638">
        <w:rPr>
          <w:rFonts w:eastAsia="Batang"/>
          <w:lang w:eastAsia="ko-KR"/>
        </w:rPr>
        <w:t xml:space="preserve">As the new requirement for the provision of </w:t>
      </w:r>
      <w:r w:rsidR="00A919EA" w:rsidRPr="00BB7541">
        <w:t xml:space="preserve">national phase entry data has </w:t>
      </w:r>
      <w:r w:rsidR="00A919EA" w:rsidRPr="009E2638">
        <w:rPr>
          <w:rFonts w:eastAsia="Batang"/>
          <w:lang w:eastAsia="ko-KR"/>
        </w:rPr>
        <w:t xml:space="preserve">entered into force </w:t>
      </w:r>
      <w:r w:rsidR="00A919EA" w:rsidRPr="00BB7541">
        <w:t>under the PCT and the data is available in</w:t>
      </w:r>
      <w:r w:rsidR="00BB7541" w:rsidRPr="00BB7541">
        <w:t xml:space="preserve"> the WIPO public PATENTSCOPE website, the Secretariat proposes to discontinue the CWS Task No. 23.</w:t>
      </w:r>
    </w:p>
    <w:p w:rsidR="002B5007" w:rsidRPr="00861DA6" w:rsidRDefault="009E2638" w:rsidP="009E2638">
      <w:pPr>
        <w:pStyle w:val="ONUME"/>
        <w:numPr>
          <w:ilvl w:val="0"/>
          <w:numId w:val="0"/>
        </w:numPr>
        <w:tabs>
          <w:tab w:val="num" w:pos="6101"/>
        </w:tabs>
        <w:ind w:left="5533"/>
        <w:rPr>
          <w:rStyle w:val="H3-DecisionChar"/>
          <w:sz w:val="22"/>
          <w:szCs w:val="22"/>
        </w:rPr>
      </w:pPr>
      <w:r>
        <w:rPr>
          <w:rStyle w:val="H3-DecisionChar"/>
          <w:sz w:val="22"/>
          <w:szCs w:val="22"/>
        </w:rPr>
        <w:fldChar w:fldCharType="begin"/>
      </w:r>
      <w:r>
        <w:rPr>
          <w:rStyle w:val="H3-DecisionChar"/>
          <w:sz w:val="22"/>
          <w:szCs w:val="22"/>
        </w:rPr>
        <w:instrText xml:space="preserve"> AUTONUM  </w:instrText>
      </w:r>
      <w:r>
        <w:rPr>
          <w:rStyle w:val="H3-DecisionChar"/>
          <w:sz w:val="22"/>
          <w:szCs w:val="22"/>
        </w:rPr>
        <w:fldChar w:fldCharType="end"/>
      </w:r>
      <w:r>
        <w:rPr>
          <w:rStyle w:val="H3-DecisionChar"/>
          <w:sz w:val="22"/>
          <w:szCs w:val="22"/>
        </w:rPr>
        <w:tab/>
      </w:r>
      <w:r w:rsidR="002B5007" w:rsidRPr="00861DA6">
        <w:rPr>
          <w:rStyle w:val="H3-DecisionChar"/>
          <w:sz w:val="22"/>
          <w:szCs w:val="22"/>
        </w:rPr>
        <w:t xml:space="preserve">The CWS </w:t>
      </w:r>
      <w:proofErr w:type="gramStart"/>
      <w:r w:rsidR="002B5007" w:rsidRPr="00861DA6">
        <w:rPr>
          <w:rStyle w:val="H3-DecisionChar"/>
          <w:sz w:val="22"/>
          <w:szCs w:val="22"/>
        </w:rPr>
        <w:t>is invited</w:t>
      </w:r>
      <w:proofErr w:type="gramEnd"/>
      <w:r w:rsidR="002B5007" w:rsidRPr="00861DA6">
        <w:rPr>
          <w:rStyle w:val="H3-DecisionChar"/>
          <w:sz w:val="22"/>
          <w:szCs w:val="22"/>
        </w:rPr>
        <w:t xml:space="preserve"> to:</w:t>
      </w:r>
    </w:p>
    <w:p w:rsidR="002B5007" w:rsidRPr="00861DA6" w:rsidRDefault="002B5007" w:rsidP="002B5007">
      <w:pPr>
        <w:pStyle w:val="ONUME"/>
        <w:numPr>
          <w:ilvl w:val="1"/>
          <w:numId w:val="7"/>
        </w:numPr>
        <w:tabs>
          <w:tab w:val="num" w:pos="6101"/>
        </w:tabs>
        <w:ind w:left="5533" w:right="283" w:firstLine="563"/>
        <w:rPr>
          <w:i/>
          <w:szCs w:val="22"/>
        </w:rPr>
      </w:pPr>
      <w:r w:rsidRPr="00861DA6">
        <w:rPr>
          <w:i/>
          <w:szCs w:val="22"/>
        </w:rPr>
        <w:t>note the contents of th</w:t>
      </w:r>
      <w:r w:rsidR="00BB7541">
        <w:rPr>
          <w:i/>
          <w:szCs w:val="22"/>
        </w:rPr>
        <w:t>e present document</w:t>
      </w:r>
      <w:r w:rsidRPr="00861DA6">
        <w:rPr>
          <w:i/>
          <w:szCs w:val="22"/>
        </w:rPr>
        <w:t xml:space="preserve">; </w:t>
      </w:r>
      <w:r>
        <w:rPr>
          <w:i/>
          <w:szCs w:val="22"/>
        </w:rPr>
        <w:t xml:space="preserve"> </w:t>
      </w:r>
      <w:r w:rsidRPr="00861DA6">
        <w:rPr>
          <w:i/>
          <w:szCs w:val="22"/>
        </w:rPr>
        <w:t>and</w:t>
      </w:r>
    </w:p>
    <w:p w:rsidR="002B5007" w:rsidRPr="00861DA6" w:rsidRDefault="00BB7541" w:rsidP="006D3AF3">
      <w:pPr>
        <w:pStyle w:val="ONUME"/>
        <w:numPr>
          <w:ilvl w:val="1"/>
          <w:numId w:val="7"/>
        </w:numPr>
        <w:tabs>
          <w:tab w:val="num" w:pos="6101"/>
        </w:tabs>
        <w:spacing w:after="0"/>
        <w:ind w:left="5534" w:right="284" w:firstLine="561"/>
        <w:rPr>
          <w:i/>
          <w:szCs w:val="22"/>
        </w:rPr>
      </w:pPr>
      <w:proofErr w:type="gramStart"/>
      <w:r>
        <w:rPr>
          <w:i/>
        </w:rPr>
        <w:t>consider</w:t>
      </w:r>
      <w:proofErr w:type="gramEnd"/>
      <w:r>
        <w:rPr>
          <w:i/>
        </w:rPr>
        <w:t xml:space="preserve"> the proposal for the discontinuation of Task No. 23</w:t>
      </w:r>
      <w:r w:rsidR="00907AFD">
        <w:rPr>
          <w:i/>
        </w:rPr>
        <w:t>, as indicated in paragraph 4, above</w:t>
      </w:r>
      <w:r w:rsidR="002B5007" w:rsidRPr="00861DA6">
        <w:rPr>
          <w:i/>
        </w:rPr>
        <w:t>.</w:t>
      </w:r>
    </w:p>
    <w:p w:rsidR="002B5007" w:rsidRPr="006D3AF3" w:rsidRDefault="002B5007" w:rsidP="006D3AF3">
      <w:pPr>
        <w:ind w:left="5534" w:right="283"/>
        <w:jc w:val="both"/>
      </w:pPr>
    </w:p>
    <w:p w:rsidR="002B5007" w:rsidRPr="00346D19" w:rsidRDefault="002B5007" w:rsidP="006D3AF3">
      <w:pPr>
        <w:ind w:left="5534"/>
        <w:jc w:val="both"/>
      </w:pPr>
    </w:p>
    <w:p w:rsidR="00C472CE" w:rsidRPr="00440C7D" w:rsidRDefault="002B5007" w:rsidP="00FA6531">
      <w:pPr>
        <w:pStyle w:val="Endofdocument-Annex"/>
        <w:rPr>
          <w:lang w:val="en-GB"/>
        </w:rPr>
      </w:pPr>
      <w:r w:rsidRPr="00470F6C">
        <w:t>[</w:t>
      </w:r>
      <w:r>
        <w:t>Annex follows</w:t>
      </w:r>
      <w:r w:rsidRPr="00470F6C">
        <w:t>]</w:t>
      </w:r>
    </w:p>
    <w:sectPr w:rsidR="00C472CE" w:rsidRPr="00440C7D" w:rsidSect="002C41B4">
      <w:headerReference w:type="first" r:id="rId16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415" w:rsidRDefault="003E5415">
      <w:r>
        <w:separator/>
      </w:r>
    </w:p>
  </w:endnote>
  <w:endnote w:type="continuationSeparator" w:id="0">
    <w:p w:rsidR="003E5415" w:rsidRDefault="003E5415" w:rsidP="003B38C1">
      <w:r>
        <w:separator/>
      </w:r>
    </w:p>
    <w:p w:rsidR="003E5415" w:rsidRPr="003B38C1" w:rsidRDefault="003E541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E5415" w:rsidRPr="003B38C1" w:rsidRDefault="003E541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531" w:rsidRDefault="00FA65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531" w:rsidRDefault="00FA65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531" w:rsidRDefault="00FA65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415" w:rsidRDefault="003E5415">
      <w:r>
        <w:separator/>
      </w:r>
    </w:p>
  </w:footnote>
  <w:footnote w:type="continuationSeparator" w:id="0">
    <w:p w:rsidR="003E5415" w:rsidRDefault="003E5415" w:rsidP="008B60B2">
      <w:r>
        <w:separator/>
      </w:r>
    </w:p>
    <w:p w:rsidR="003E5415" w:rsidRPr="00ED77FB" w:rsidRDefault="003E541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E5415" w:rsidRPr="00ED77FB" w:rsidRDefault="003E541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CB4C72" w:rsidRDefault="00CB4C72" w:rsidP="00CB4C7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D5274C">
        <w:t>In this document, references to designated Offices refer equally to elected Offices; references to national Offices and the national phase refer equally to regional Offices and the regional phase.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531" w:rsidRDefault="00FA65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2C41B4" w:rsidP="00477D6B">
    <w:pPr>
      <w:jc w:val="right"/>
    </w:pPr>
    <w:bookmarkStart w:id="4" w:name="Code2"/>
    <w:bookmarkEnd w:id="4"/>
    <w:r>
      <w:t>CWS/</w:t>
    </w:r>
    <w:r w:rsidR="002B5007">
      <w:t>6</w:t>
    </w:r>
    <w:r>
      <w:t>/</w:t>
    </w:r>
    <w:r w:rsidR="00D57687">
      <w:t>30</w:t>
    </w:r>
  </w:p>
  <w:p w:rsidR="00477156" w:rsidRDefault="00477156" w:rsidP="00477D6B">
    <w:pPr>
      <w:jc w:val="right"/>
    </w:pPr>
    <w:proofErr w:type="gramStart"/>
    <w:r>
      <w:t>page</w:t>
    </w:r>
    <w:proofErr w:type="gramEnd"/>
    <w:r>
      <w:t xml:space="preserve"> 2</w:t>
    </w:r>
  </w:p>
  <w:p w:rsidR="00477156" w:rsidRDefault="00477156" w:rsidP="00477D6B">
    <w:pPr>
      <w:jc w:val="right"/>
    </w:pPr>
  </w:p>
  <w:p w:rsidR="00EC4E49" w:rsidRDefault="00EC4E4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531" w:rsidRDefault="00FA653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3AA" w:rsidRDefault="00DC03AA" w:rsidP="00477156">
    <w:pPr>
      <w:jc w:val="right"/>
    </w:pPr>
    <w:r>
      <w:t>CWS/6/30</w:t>
    </w:r>
  </w:p>
  <w:p w:rsidR="00DC03AA" w:rsidRDefault="00FA6531" w:rsidP="00477156">
    <w:pPr>
      <w:jc w:val="right"/>
    </w:pPr>
    <w:r>
      <w:t>page 2</w:t>
    </w:r>
  </w:p>
  <w:p w:rsidR="00DC03AA" w:rsidRDefault="00DC03AA" w:rsidP="00477156">
    <w:pPr>
      <w:jc w:val="right"/>
    </w:pPr>
  </w:p>
  <w:p w:rsidR="00DC03AA" w:rsidRDefault="00DC03AA" w:rsidP="00477156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D542E3"/>
    <w:multiLevelType w:val="multilevel"/>
    <w:tmpl w:val="3EFE083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formsDesign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1B4"/>
    <w:rsid w:val="00043CAA"/>
    <w:rsid w:val="00075432"/>
    <w:rsid w:val="000918F3"/>
    <w:rsid w:val="000968ED"/>
    <w:rsid w:val="000E39FE"/>
    <w:rsid w:val="000F5E56"/>
    <w:rsid w:val="00104EAE"/>
    <w:rsid w:val="00127D08"/>
    <w:rsid w:val="001362EE"/>
    <w:rsid w:val="001460C5"/>
    <w:rsid w:val="001647D5"/>
    <w:rsid w:val="001832A6"/>
    <w:rsid w:val="0018694B"/>
    <w:rsid w:val="0021217E"/>
    <w:rsid w:val="00222BA5"/>
    <w:rsid w:val="00240516"/>
    <w:rsid w:val="002634C4"/>
    <w:rsid w:val="002928D3"/>
    <w:rsid w:val="002B5007"/>
    <w:rsid w:val="002C41B4"/>
    <w:rsid w:val="002F1FE6"/>
    <w:rsid w:val="002F4E68"/>
    <w:rsid w:val="00312F7F"/>
    <w:rsid w:val="00361450"/>
    <w:rsid w:val="003673CF"/>
    <w:rsid w:val="00383469"/>
    <w:rsid w:val="003845C1"/>
    <w:rsid w:val="003A6F89"/>
    <w:rsid w:val="003B38C1"/>
    <w:rsid w:val="003E5415"/>
    <w:rsid w:val="00423E3E"/>
    <w:rsid w:val="00427AF4"/>
    <w:rsid w:val="00464674"/>
    <w:rsid w:val="004647DA"/>
    <w:rsid w:val="00474062"/>
    <w:rsid w:val="00476DE5"/>
    <w:rsid w:val="00477156"/>
    <w:rsid w:val="00477D6B"/>
    <w:rsid w:val="004D7F61"/>
    <w:rsid w:val="004F1D50"/>
    <w:rsid w:val="005019FF"/>
    <w:rsid w:val="0053057A"/>
    <w:rsid w:val="00560A29"/>
    <w:rsid w:val="005C15AC"/>
    <w:rsid w:val="005C37D3"/>
    <w:rsid w:val="005C6649"/>
    <w:rsid w:val="00604B41"/>
    <w:rsid w:val="00605827"/>
    <w:rsid w:val="00646050"/>
    <w:rsid w:val="006549E5"/>
    <w:rsid w:val="006713CA"/>
    <w:rsid w:val="00676C5C"/>
    <w:rsid w:val="006D3AF3"/>
    <w:rsid w:val="0075431F"/>
    <w:rsid w:val="007D1613"/>
    <w:rsid w:val="007E4C0E"/>
    <w:rsid w:val="0084376D"/>
    <w:rsid w:val="00864F25"/>
    <w:rsid w:val="00885DC1"/>
    <w:rsid w:val="008A5448"/>
    <w:rsid w:val="008A5F3E"/>
    <w:rsid w:val="008B2CC1"/>
    <w:rsid w:val="008B60B2"/>
    <w:rsid w:val="008B66FE"/>
    <w:rsid w:val="0090731E"/>
    <w:rsid w:val="00907AFD"/>
    <w:rsid w:val="00916EE2"/>
    <w:rsid w:val="009204A3"/>
    <w:rsid w:val="00966A22"/>
    <w:rsid w:val="0096722F"/>
    <w:rsid w:val="00980843"/>
    <w:rsid w:val="009E2638"/>
    <w:rsid w:val="009E2791"/>
    <w:rsid w:val="009E3F6F"/>
    <w:rsid w:val="009F499F"/>
    <w:rsid w:val="00A42DAF"/>
    <w:rsid w:val="00A45BD8"/>
    <w:rsid w:val="00A869B7"/>
    <w:rsid w:val="00A919EA"/>
    <w:rsid w:val="00AC205C"/>
    <w:rsid w:val="00AF0A6B"/>
    <w:rsid w:val="00B05A69"/>
    <w:rsid w:val="00B61917"/>
    <w:rsid w:val="00B9734B"/>
    <w:rsid w:val="00BA30E2"/>
    <w:rsid w:val="00BB7541"/>
    <w:rsid w:val="00BD5B04"/>
    <w:rsid w:val="00BF4879"/>
    <w:rsid w:val="00C11BFE"/>
    <w:rsid w:val="00C145EA"/>
    <w:rsid w:val="00C211FF"/>
    <w:rsid w:val="00C4238E"/>
    <w:rsid w:val="00C472CE"/>
    <w:rsid w:val="00C5068F"/>
    <w:rsid w:val="00C66B38"/>
    <w:rsid w:val="00C846B7"/>
    <w:rsid w:val="00C86D74"/>
    <w:rsid w:val="00CA01A2"/>
    <w:rsid w:val="00CB4C72"/>
    <w:rsid w:val="00CD04F1"/>
    <w:rsid w:val="00D06F4E"/>
    <w:rsid w:val="00D45252"/>
    <w:rsid w:val="00D57687"/>
    <w:rsid w:val="00D71B4D"/>
    <w:rsid w:val="00D825FE"/>
    <w:rsid w:val="00D93D55"/>
    <w:rsid w:val="00DC03AA"/>
    <w:rsid w:val="00DD5674"/>
    <w:rsid w:val="00DE1C0F"/>
    <w:rsid w:val="00E15015"/>
    <w:rsid w:val="00E335FE"/>
    <w:rsid w:val="00E34CD1"/>
    <w:rsid w:val="00E60DB9"/>
    <w:rsid w:val="00E645E4"/>
    <w:rsid w:val="00EC4E49"/>
    <w:rsid w:val="00ED77FB"/>
    <w:rsid w:val="00EE45FA"/>
    <w:rsid w:val="00F47C23"/>
    <w:rsid w:val="00F66152"/>
    <w:rsid w:val="00FA6531"/>
    <w:rsid w:val="00FA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5:docId w15:val="{9290C9B6-CDBA-4456-AB0B-0891CD224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2C41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C41B4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link w:val="ONUME"/>
    <w:rsid w:val="002B5007"/>
    <w:rPr>
      <w:rFonts w:ascii="Arial" w:eastAsia="SimSun" w:hAnsi="Arial" w:cs="Arial"/>
      <w:sz w:val="22"/>
      <w:lang w:eastAsia="zh-CN"/>
    </w:rPr>
  </w:style>
  <w:style w:type="paragraph" w:customStyle="1" w:styleId="H3-Decision">
    <w:name w:val="H3-Decision"/>
    <w:basedOn w:val="Heading3"/>
    <w:link w:val="H3-DecisionChar"/>
    <w:rsid w:val="002B5007"/>
    <w:pPr>
      <w:spacing w:before="0" w:after="240"/>
      <w:ind w:left="4536"/>
    </w:pPr>
    <w:rPr>
      <w:rFonts w:ascii="Times New Roman" w:eastAsia="Times New Roman" w:hAnsi="Times New Roman" w:cs="Times New Roman"/>
      <w:bCs w:val="0"/>
      <w:i/>
      <w:sz w:val="24"/>
      <w:szCs w:val="24"/>
      <w:u w:val="none"/>
    </w:rPr>
  </w:style>
  <w:style w:type="character" w:customStyle="1" w:styleId="H3-DecisionChar">
    <w:name w:val="H3-Decision Char"/>
    <w:link w:val="H3-Decision"/>
    <w:rsid w:val="002B5007"/>
    <w:rPr>
      <w:i/>
      <w:sz w:val="24"/>
      <w:szCs w:val="24"/>
      <w:lang w:eastAsia="zh-CN"/>
    </w:rPr>
  </w:style>
  <w:style w:type="character" w:styleId="FootnoteReference">
    <w:name w:val="footnote reference"/>
    <w:basedOn w:val="DefaultParagraphFont"/>
    <w:rsid w:val="00CB4C72"/>
    <w:rPr>
      <w:vertAlign w:val="superscript"/>
    </w:rPr>
  </w:style>
  <w:style w:type="character" w:styleId="Hyperlink">
    <w:name w:val="Hyperlink"/>
    <w:basedOn w:val="DefaultParagraphFont"/>
    <w:rsid w:val="00CB4C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atentscope.wipo.int/search/en/structuredSearch.jsf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25A20-89D2-4218-8C46-4B48CE367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 5 (E)</Template>
  <TotalTime>5</TotalTime>
  <Pages>2</Pages>
  <Words>304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CWS/6/30</vt:lpstr>
    </vt:vector>
  </TitlesOfParts>
  <Company>WIPO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CWS/6/30</dc:title>
  <dc:subject>INFORMATION ON THE ENTRY INTO NATIONAL (REGIONAL) PHASE OF PUBLISHED PCT INTERNATIONAL APPLICATIONS</dc:subject>
  <dc:creator>WIPO</dc:creator>
  <cp:keywords>CWS in English</cp:keywords>
  <dc:description/>
  <cp:lastModifiedBy>DRAKE Sophie</cp:lastModifiedBy>
  <cp:revision>7</cp:revision>
  <cp:lastPrinted>2018-08-31T08:13:00Z</cp:lastPrinted>
  <dcterms:created xsi:type="dcterms:W3CDTF">2018-08-31T08:10:00Z</dcterms:created>
  <dcterms:modified xsi:type="dcterms:W3CDTF">2018-08-31T08:23:00Z</dcterms:modified>
  <cp:category/>
</cp:coreProperties>
</file>