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176C5F">
              <w:rPr>
                <w:rFonts w:ascii="Arial Black" w:hAnsi="Arial Black"/>
                <w:caps/>
                <w:sz w:val="15"/>
              </w:rPr>
              <w:t>27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176C5F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82D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E82D75">
              <w:rPr>
                <w:rFonts w:ascii="Arial Black" w:hAnsi="Arial Black"/>
                <w:caps/>
                <w:sz w:val="15"/>
              </w:rPr>
              <w:t>SEPTEMBER 3</w:t>
            </w:r>
            <w:r w:rsidR="00176C5F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3845C1" w:rsidRDefault="003845C1" w:rsidP="003845C1"/>
    <w:p w:rsidR="003845C1" w:rsidRDefault="003845C1" w:rsidP="003845C1"/>
    <w:p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76C5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QUESTIONNAIRE ON THE USE OF IDENTIFIERS FOR APPLICANTS BY INTELLECTUAL PROPERTY OFFICES</w:t>
      </w:r>
    </w:p>
    <w:p w:rsidR="008B2CC1" w:rsidRPr="008B2CC1" w:rsidRDefault="008B2CC1" w:rsidP="008B2CC1"/>
    <w:p w:rsidR="008B2CC1" w:rsidRPr="008B2CC1" w:rsidRDefault="00176C5F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Name Standardization Task Force</w:t>
      </w:r>
    </w:p>
    <w:p w:rsidR="00AC205C" w:rsidRDefault="00AC205C"/>
    <w:p w:rsidR="000F5E56" w:rsidRDefault="000F5E56"/>
    <w:p w:rsidR="002928D3" w:rsidRPr="00E82D75" w:rsidRDefault="002928D3" w:rsidP="0053057A"/>
    <w:p w:rsidR="00E82D75" w:rsidRDefault="00E82D75" w:rsidP="0053057A"/>
    <w:p w:rsidR="00176C5F" w:rsidRDefault="00176C5F" w:rsidP="0053057A"/>
    <w:p w:rsidR="00176C5F" w:rsidRPr="009E1B59" w:rsidRDefault="00176C5F" w:rsidP="00176C5F">
      <w:pPr>
        <w:pStyle w:val="ONUME"/>
        <w:numPr>
          <w:ilvl w:val="0"/>
          <w:numId w:val="0"/>
        </w:numPr>
        <w:rPr>
          <w:rFonts w:eastAsia="Malgun Gothic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9E1B59">
        <w:rPr>
          <w:szCs w:val="22"/>
        </w:rPr>
        <w:t xml:space="preserve">The Committee on WIPO Standards (CWS), at its fifth session held in Geneva from May 29 to June 2, 2017, created </w:t>
      </w:r>
      <w:r w:rsidRPr="009E1B59">
        <w:rPr>
          <w:rFonts w:eastAsia="Malgun Gothic"/>
          <w:szCs w:val="22"/>
        </w:rPr>
        <w:t>Task No. 55: “Envisaging developing a WIPO standard assisting Industrial Property Offices (IPOs) in providing better “quality at source” in relation to applicant name:</w:t>
      </w:r>
    </w:p>
    <w:p w:rsidR="00176C5F" w:rsidRPr="009E1B59" w:rsidRDefault="00176C5F" w:rsidP="00176C5F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  <w:szCs w:val="22"/>
        </w:rPr>
      </w:pPr>
      <w:r w:rsidRPr="009E1B59">
        <w:rPr>
          <w:rFonts w:eastAsia="Malgun Gothic"/>
          <w:szCs w:val="22"/>
        </w:rPr>
        <w:t xml:space="preserve">conduct a survey on the use of the identifiers for applicants by IPOs and on </w:t>
      </w:r>
      <w:r>
        <w:rPr>
          <w:rFonts w:eastAsia="Malgun Gothic"/>
          <w:szCs w:val="22"/>
        </w:rPr>
        <w:br/>
      </w:r>
      <w:r w:rsidRPr="009E1B59">
        <w:rPr>
          <w:rFonts w:eastAsia="Malgun Gothic"/>
          <w:szCs w:val="22"/>
        </w:rPr>
        <w:t>the problems, which might be associated with it; and</w:t>
      </w:r>
    </w:p>
    <w:p w:rsidR="00176C5F" w:rsidRPr="009E1B59" w:rsidRDefault="00176C5F" w:rsidP="00176C5F">
      <w:pPr>
        <w:pStyle w:val="ONUME"/>
        <w:widowControl w:val="0"/>
        <w:numPr>
          <w:ilvl w:val="0"/>
          <w:numId w:val="8"/>
        </w:numPr>
        <w:wordWrap w:val="0"/>
        <w:autoSpaceDE w:val="0"/>
        <w:autoSpaceDN w:val="0"/>
        <w:spacing w:line="276" w:lineRule="auto"/>
        <w:ind w:left="1134" w:firstLine="0"/>
        <w:jc w:val="both"/>
        <w:rPr>
          <w:rFonts w:eastAsia="Malgun Gothic"/>
          <w:szCs w:val="22"/>
        </w:rPr>
      </w:pPr>
      <w:r w:rsidRPr="009E1B59">
        <w:rPr>
          <w:rFonts w:eastAsia="Malgun Gothic"/>
          <w:szCs w:val="22"/>
        </w:rPr>
        <w:t>prepare a proposal for future actions aimed at the standardization of applicant names in IP documents and present it for consideration by the CWS.”</w:t>
      </w:r>
    </w:p>
    <w:p w:rsidR="00176C5F" w:rsidRPr="00C17DB4" w:rsidRDefault="00176C5F" w:rsidP="00176C5F">
      <w:pPr>
        <w:rPr>
          <w:szCs w:val="22"/>
        </w:rPr>
      </w:pPr>
      <w:r w:rsidRPr="009E1B59">
        <w:rPr>
          <w:rFonts w:eastAsia="Malgun Gothic"/>
          <w:szCs w:val="22"/>
        </w:rPr>
        <w:t>(See document CWS/5/14</w:t>
      </w:r>
      <w:r w:rsidR="0073261E">
        <w:rPr>
          <w:rFonts w:eastAsia="Malgun Gothic"/>
          <w:szCs w:val="22"/>
        </w:rPr>
        <w:t xml:space="preserve"> and</w:t>
      </w:r>
      <w:r w:rsidRPr="009E1B59">
        <w:rPr>
          <w:rFonts w:eastAsia="Malgun Gothic"/>
          <w:szCs w:val="22"/>
        </w:rPr>
        <w:t xml:space="preserve"> CWS/5/14 ADD</w:t>
      </w:r>
      <w:r w:rsidR="0073261E">
        <w:rPr>
          <w:rFonts w:eastAsia="Malgun Gothic"/>
          <w:szCs w:val="22"/>
        </w:rPr>
        <w:t>,</w:t>
      </w:r>
      <w:r w:rsidRPr="009E1B59">
        <w:rPr>
          <w:rFonts w:eastAsia="Malgun Gothic"/>
          <w:szCs w:val="22"/>
        </w:rPr>
        <w:t xml:space="preserve"> and paragraphs 82 to 85 and 116(e) of </w:t>
      </w:r>
      <w:r w:rsidRPr="009E1B59">
        <w:rPr>
          <w:szCs w:val="22"/>
        </w:rPr>
        <w:t>document</w:t>
      </w:r>
      <w:r w:rsidR="00883BB8">
        <w:rPr>
          <w:szCs w:val="22"/>
        </w:rPr>
        <w:t xml:space="preserve"> CWS/5/22</w:t>
      </w:r>
      <w:r>
        <w:rPr>
          <w:szCs w:val="22"/>
        </w:rPr>
        <w:t>.</w:t>
      </w:r>
      <w:r>
        <w:rPr>
          <w:rFonts w:eastAsiaTheme="minorEastAsia" w:hint="eastAsia"/>
          <w:szCs w:val="22"/>
          <w:lang w:eastAsia="ko-KR"/>
        </w:rPr>
        <w:t>)</w:t>
      </w:r>
    </w:p>
    <w:p w:rsidR="00176C5F" w:rsidRPr="009E1B59" w:rsidRDefault="00176C5F" w:rsidP="00176C5F">
      <w:pPr>
        <w:rPr>
          <w:rFonts w:eastAsia="Malgun Gothic"/>
          <w:szCs w:val="22"/>
        </w:rPr>
      </w:pPr>
    </w:p>
    <w:p w:rsidR="00176C5F" w:rsidRPr="009E1B59" w:rsidRDefault="00176C5F" w:rsidP="00176C5F">
      <w:pPr>
        <w:rPr>
          <w:rFonts w:eastAsia="Malgun Gothic"/>
          <w:szCs w:val="22"/>
        </w:rPr>
      </w:pPr>
      <w:r w:rsidRPr="009E1B59">
        <w:rPr>
          <w:rFonts w:eastAsia="Malgun Gothic"/>
          <w:szCs w:val="22"/>
        </w:rPr>
        <w:fldChar w:fldCharType="begin"/>
      </w:r>
      <w:r w:rsidRPr="009E1B59">
        <w:rPr>
          <w:rFonts w:eastAsia="Malgun Gothic"/>
          <w:szCs w:val="22"/>
        </w:rPr>
        <w:instrText xml:space="preserve"> AUTONUM  </w:instrText>
      </w:r>
      <w:r w:rsidRPr="009E1B59">
        <w:rPr>
          <w:rFonts w:eastAsia="Malgun Gothic"/>
          <w:szCs w:val="22"/>
        </w:rPr>
        <w:fldChar w:fldCharType="end"/>
      </w:r>
      <w:r w:rsidRPr="009E1B59">
        <w:rPr>
          <w:rFonts w:eastAsia="Malgun Gothic"/>
          <w:szCs w:val="22"/>
        </w:rPr>
        <w:tab/>
        <w:t xml:space="preserve">In accordance with the decision of the CWS at its fifth session, the Name Standardization Task Force prepared </w:t>
      </w:r>
      <w:r w:rsidRPr="009E1B59">
        <w:rPr>
          <w:szCs w:val="22"/>
        </w:rPr>
        <w:t xml:space="preserve">a questionnaire to carry out </w:t>
      </w:r>
      <w:r>
        <w:rPr>
          <w:szCs w:val="22"/>
        </w:rPr>
        <w:t>a</w:t>
      </w:r>
      <w:r w:rsidRPr="009E1B59">
        <w:rPr>
          <w:szCs w:val="22"/>
        </w:rPr>
        <w:t xml:space="preserve"> survey on the use of the identifiers for applicants by IPOs</w:t>
      </w:r>
      <w:r w:rsidRPr="009E1B59">
        <w:rPr>
          <w:rFonts w:eastAsia="Malgun Gothic"/>
          <w:szCs w:val="22"/>
        </w:rPr>
        <w:t xml:space="preserve"> for consideration and approval at the sixth session of the CWS.  The proposed questionnaire is reproduced as the Annex to this document. </w:t>
      </w:r>
    </w:p>
    <w:p w:rsidR="00176C5F" w:rsidRPr="009E1B59" w:rsidRDefault="00176C5F" w:rsidP="00176C5F">
      <w:pPr>
        <w:rPr>
          <w:rFonts w:eastAsia="Malgun Gothic"/>
          <w:szCs w:val="22"/>
        </w:rPr>
      </w:pPr>
    </w:p>
    <w:p w:rsidR="00176C5F" w:rsidRPr="009E1B59" w:rsidRDefault="00176C5F" w:rsidP="00176C5F">
      <w:pPr>
        <w:rPr>
          <w:rFonts w:eastAsia="Malgun Gothic"/>
          <w:szCs w:val="22"/>
        </w:rPr>
      </w:pPr>
      <w:r w:rsidRPr="009E1B59">
        <w:rPr>
          <w:rFonts w:eastAsia="Malgun Gothic"/>
          <w:szCs w:val="22"/>
        </w:rPr>
        <w:fldChar w:fldCharType="begin"/>
      </w:r>
      <w:r w:rsidRPr="009E1B59">
        <w:rPr>
          <w:rFonts w:eastAsia="Malgun Gothic"/>
          <w:szCs w:val="22"/>
        </w:rPr>
        <w:instrText xml:space="preserve"> AUTONUM  </w:instrText>
      </w:r>
      <w:r w:rsidRPr="009E1B59">
        <w:rPr>
          <w:rFonts w:eastAsia="Malgun Gothic"/>
          <w:szCs w:val="22"/>
        </w:rPr>
        <w:fldChar w:fldCharType="end"/>
      </w:r>
      <w:r w:rsidRPr="009E1B59">
        <w:rPr>
          <w:rFonts w:eastAsia="Malgun Gothic"/>
          <w:szCs w:val="22"/>
        </w:rPr>
        <w:tab/>
        <w:t>The questionnaire consists of three parts: Part A is for I</w:t>
      </w:r>
      <w:r>
        <w:rPr>
          <w:rFonts w:eastAsia="Malgun Gothic"/>
          <w:szCs w:val="22"/>
        </w:rPr>
        <w:t xml:space="preserve">ntellectual </w:t>
      </w:r>
      <w:r w:rsidRPr="009E1B59">
        <w:rPr>
          <w:rFonts w:eastAsia="Malgun Gothic"/>
          <w:szCs w:val="22"/>
        </w:rPr>
        <w:t>P</w:t>
      </w:r>
      <w:r>
        <w:rPr>
          <w:rFonts w:eastAsia="Malgun Gothic"/>
          <w:szCs w:val="22"/>
        </w:rPr>
        <w:t>roperty Offices (IPOs)</w:t>
      </w:r>
      <w:r w:rsidRPr="009E1B59">
        <w:rPr>
          <w:rFonts w:eastAsia="Malgun Gothic"/>
          <w:szCs w:val="22"/>
        </w:rPr>
        <w:t xml:space="preserve"> which use or intend to use identifiers for applicants, Part B is for </w:t>
      </w:r>
      <w:r>
        <w:rPr>
          <w:rFonts w:eastAsia="Malgun Gothic"/>
          <w:szCs w:val="22"/>
        </w:rPr>
        <w:t>IPOs</w:t>
      </w:r>
      <w:r w:rsidRPr="009E1B59">
        <w:rPr>
          <w:rFonts w:eastAsia="Malgun Gothic"/>
          <w:szCs w:val="22"/>
        </w:rPr>
        <w:t xml:space="preserve"> which do not use and </w:t>
      </w:r>
      <w:r>
        <w:rPr>
          <w:rFonts w:eastAsia="Malgun Gothic"/>
          <w:szCs w:val="22"/>
        </w:rPr>
        <w:t xml:space="preserve">do </w:t>
      </w:r>
      <w:r w:rsidRPr="009E1B59">
        <w:rPr>
          <w:rFonts w:eastAsia="Malgun Gothic"/>
          <w:szCs w:val="22"/>
        </w:rPr>
        <w:t>no</w:t>
      </w:r>
      <w:r>
        <w:rPr>
          <w:rFonts w:eastAsia="Malgun Gothic"/>
          <w:szCs w:val="22"/>
        </w:rPr>
        <w:t>t</w:t>
      </w:r>
      <w:r w:rsidRPr="009E1B59">
        <w:rPr>
          <w:rFonts w:eastAsia="Malgun Gothic"/>
          <w:szCs w:val="22"/>
        </w:rPr>
        <w:t xml:space="preserve"> plan to use identifiers for applicants; and Part C is to find areas </w:t>
      </w:r>
      <w:r>
        <w:rPr>
          <w:rFonts w:eastAsia="Malgun Gothic"/>
          <w:szCs w:val="22"/>
        </w:rPr>
        <w:t>where</w:t>
      </w:r>
      <w:r w:rsidRPr="009E1B59">
        <w:rPr>
          <w:rFonts w:eastAsia="Malgun Gothic"/>
          <w:szCs w:val="22"/>
        </w:rPr>
        <w:t xml:space="preserve"> </w:t>
      </w:r>
      <w:r>
        <w:rPr>
          <w:rFonts w:eastAsia="Malgun Gothic"/>
          <w:szCs w:val="22"/>
        </w:rPr>
        <w:t>IPOs</w:t>
      </w:r>
      <w:r w:rsidRPr="009E1B59">
        <w:rPr>
          <w:rFonts w:eastAsia="Malgun Gothic"/>
          <w:szCs w:val="22"/>
        </w:rPr>
        <w:t xml:space="preserve"> </w:t>
      </w:r>
      <w:r>
        <w:rPr>
          <w:rFonts w:eastAsia="Malgun Gothic"/>
          <w:szCs w:val="22"/>
        </w:rPr>
        <w:t xml:space="preserve">can focus more on </w:t>
      </w:r>
      <w:r w:rsidRPr="009E1B59">
        <w:rPr>
          <w:rFonts w:eastAsia="Malgun Gothic"/>
          <w:szCs w:val="22"/>
        </w:rPr>
        <w:t>name standardization.</w:t>
      </w:r>
    </w:p>
    <w:p w:rsidR="00176C5F" w:rsidRPr="009E1B59" w:rsidRDefault="00176C5F" w:rsidP="00176C5F">
      <w:pPr>
        <w:pStyle w:val="ONUME"/>
        <w:numPr>
          <w:ilvl w:val="0"/>
          <w:numId w:val="0"/>
        </w:numPr>
        <w:spacing w:after="120"/>
        <w:rPr>
          <w:szCs w:val="22"/>
        </w:rPr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9E1B59">
        <w:rPr>
          <w:szCs w:val="22"/>
        </w:rPr>
        <w:t xml:space="preserve">The Task Force plans to conduct a survey in December 2018 and report the outcome of </w:t>
      </w:r>
      <w:r>
        <w:rPr>
          <w:szCs w:val="22"/>
        </w:rPr>
        <w:t xml:space="preserve">the </w:t>
      </w:r>
      <w:r w:rsidRPr="009E1B59">
        <w:rPr>
          <w:szCs w:val="22"/>
        </w:rPr>
        <w:t>survey at the seventh session of the CWS</w:t>
      </w:r>
      <w:r>
        <w:rPr>
          <w:szCs w:val="22"/>
        </w:rPr>
        <w:t>,</w:t>
      </w:r>
      <w:r w:rsidRPr="009E1B59">
        <w:rPr>
          <w:szCs w:val="22"/>
        </w:rPr>
        <w:t xml:space="preserve"> if the proposed questionnaire is approved at this session.  The International Bureau should be requested to prepare and issue </w:t>
      </w:r>
      <w:r w:rsidR="006008CD">
        <w:rPr>
          <w:szCs w:val="22"/>
        </w:rPr>
        <w:t xml:space="preserve">a </w:t>
      </w:r>
      <w:r w:rsidRPr="009E1B59">
        <w:rPr>
          <w:szCs w:val="22"/>
        </w:rPr>
        <w:t>circular inviting IP</w:t>
      </w:r>
      <w:r>
        <w:rPr>
          <w:szCs w:val="22"/>
        </w:rPr>
        <w:t>Os</w:t>
      </w:r>
      <w:r w:rsidRPr="009E1B59">
        <w:rPr>
          <w:szCs w:val="22"/>
        </w:rPr>
        <w:t xml:space="preserve"> to complete the questionnaire. </w:t>
      </w:r>
    </w:p>
    <w:p w:rsidR="00176C5F" w:rsidRPr="009E1B59" w:rsidRDefault="00176C5F" w:rsidP="00FA19BB">
      <w:pPr>
        <w:pStyle w:val="ONUME"/>
        <w:numPr>
          <w:ilvl w:val="0"/>
          <w:numId w:val="0"/>
        </w:numPr>
        <w:ind w:left="5534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Pr="009E1B59">
        <w:rPr>
          <w:i/>
          <w:szCs w:val="22"/>
        </w:rPr>
        <w:t>The CWS is invited to:</w:t>
      </w:r>
    </w:p>
    <w:p w:rsidR="00176C5F" w:rsidRDefault="00FA19BB" w:rsidP="00FA19B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(a)</w:t>
      </w:r>
      <w:r>
        <w:rPr>
          <w:i/>
          <w:szCs w:val="22"/>
        </w:rPr>
        <w:tab/>
      </w:r>
      <w:r w:rsidR="00176C5F" w:rsidRPr="009E1B59">
        <w:rPr>
          <w:i/>
          <w:szCs w:val="22"/>
        </w:rPr>
        <w:t>note the content of the present document and its Annex; and</w:t>
      </w:r>
    </w:p>
    <w:p w:rsidR="00176C5F" w:rsidRDefault="00FA19BB" w:rsidP="00FA19B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  <w:t>(b)</w:t>
      </w:r>
      <w:r>
        <w:rPr>
          <w:i/>
          <w:szCs w:val="22"/>
        </w:rPr>
        <w:tab/>
      </w:r>
      <w:r w:rsidR="00176C5F" w:rsidRPr="009E1B59">
        <w:rPr>
          <w:i/>
          <w:szCs w:val="22"/>
        </w:rPr>
        <w:t xml:space="preserve">consider and decide on the proposed questionnaire on the use of the identifiers for applicants by IPOs, as reproduced in the Annex to the present document;  </w:t>
      </w:r>
    </w:p>
    <w:p w:rsidR="00176C5F" w:rsidRPr="00FA19BB" w:rsidRDefault="00FA19BB" w:rsidP="00FA19BB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  <w:r>
        <w:rPr>
          <w:i/>
          <w:szCs w:val="22"/>
        </w:rPr>
        <w:tab/>
        <w:t>(c)</w:t>
      </w:r>
      <w:r>
        <w:rPr>
          <w:i/>
          <w:szCs w:val="22"/>
        </w:rPr>
        <w:tab/>
      </w:r>
      <w:r w:rsidR="00176C5F" w:rsidRPr="009E1B59">
        <w:rPr>
          <w:i/>
          <w:szCs w:val="22"/>
        </w:rPr>
        <w:t xml:space="preserve">consider and decide on the proposed actions to be undertaken by the Name Standardization Task Force and the International Bureau, as specified in paragraph </w:t>
      </w:r>
      <w:r w:rsidR="00176C5F">
        <w:rPr>
          <w:i/>
          <w:szCs w:val="22"/>
        </w:rPr>
        <w:t>4</w:t>
      </w:r>
      <w:r w:rsidR="00176C5F" w:rsidRPr="009E1B59">
        <w:rPr>
          <w:i/>
          <w:szCs w:val="22"/>
        </w:rPr>
        <w:t>, above.</w:t>
      </w:r>
      <w:r w:rsidR="00176C5F" w:rsidRPr="00FA19BB">
        <w:rPr>
          <w:i/>
          <w:szCs w:val="22"/>
        </w:rPr>
        <w:t xml:space="preserve"> </w:t>
      </w:r>
      <w:bookmarkStart w:id="5" w:name="_GoBack"/>
      <w:bookmarkEnd w:id="5"/>
    </w:p>
    <w:p w:rsidR="00176C5F" w:rsidRPr="009E1B59" w:rsidRDefault="00176C5F" w:rsidP="00176C5F">
      <w:pPr>
        <w:pStyle w:val="Endofdocument-Annex"/>
        <w:rPr>
          <w:szCs w:val="22"/>
        </w:rPr>
      </w:pPr>
    </w:p>
    <w:p w:rsidR="00176C5F" w:rsidRPr="009E1B59" w:rsidRDefault="00176C5F" w:rsidP="00176C5F">
      <w:pPr>
        <w:pStyle w:val="Endofdocument-Annex"/>
        <w:rPr>
          <w:szCs w:val="22"/>
        </w:rPr>
      </w:pPr>
    </w:p>
    <w:p w:rsidR="00965849" w:rsidRDefault="00176C5F" w:rsidP="00176C5F">
      <w:pPr>
        <w:pStyle w:val="Endofdocument-Annex"/>
        <w:rPr>
          <w:szCs w:val="22"/>
        </w:rPr>
        <w:sectPr w:rsidR="00965849" w:rsidSect="00D04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E1B59">
        <w:rPr>
          <w:szCs w:val="22"/>
        </w:rPr>
        <w:t>[Annex follows]</w:t>
      </w:r>
    </w:p>
    <w:p w:rsidR="00965849" w:rsidRDefault="00965849" w:rsidP="00965849">
      <w:pPr>
        <w:pStyle w:val="Heading1"/>
        <w:rPr>
          <w:szCs w:val="22"/>
          <w:lang w:eastAsia="en-US"/>
        </w:rPr>
      </w:pPr>
      <w:r>
        <w:rPr>
          <w:szCs w:val="22"/>
          <w:shd w:val="clear" w:color="auto" w:fill="FFFFFF"/>
        </w:rPr>
        <w:lastRenderedPageBreak/>
        <w:t>Draft questionnaire on the Use of Identifiers for Applicants by IPO</w:t>
      </w:r>
      <w:r>
        <w:rPr>
          <w:caps w:val="0"/>
          <w:szCs w:val="22"/>
          <w:shd w:val="clear" w:color="auto" w:fill="FFFFFF"/>
        </w:rPr>
        <w:t>s</w:t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rPr>
          <w:rFonts w:eastAsiaTheme="minorEastAsia"/>
          <w:szCs w:val="22"/>
          <w:lang w:eastAsia="ko-KR"/>
        </w:rPr>
      </w:pPr>
      <w:r>
        <w:rPr>
          <w:szCs w:val="22"/>
          <w:lang w:eastAsia="ko-KR"/>
        </w:rPr>
        <w:t>If</w:t>
      </w:r>
      <w:r>
        <w:rPr>
          <w:szCs w:val="22"/>
        </w:rPr>
        <w:t xml:space="preserve"> your </w:t>
      </w:r>
      <w:r>
        <w:rPr>
          <w:szCs w:val="22"/>
          <w:lang w:eastAsia="ko-KR"/>
        </w:rPr>
        <w:t>O</w:t>
      </w:r>
      <w:r>
        <w:rPr>
          <w:szCs w:val="22"/>
        </w:rPr>
        <w:t>ffice use</w:t>
      </w:r>
      <w:r>
        <w:rPr>
          <w:szCs w:val="22"/>
          <w:lang w:eastAsia="ko-KR"/>
        </w:rPr>
        <w:t>s</w:t>
      </w:r>
      <w:r>
        <w:rPr>
          <w:szCs w:val="22"/>
        </w:rPr>
        <w:t xml:space="preserve"> or intend</w:t>
      </w:r>
      <w:r>
        <w:rPr>
          <w:szCs w:val="22"/>
          <w:lang w:eastAsia="ko-KR"/>
        </w:rPr>
        <w:t>s</w:t>
      </w:r>
      <w:r>
        <w:rPr>
          <w:szCs w:val="22"/>
        </w:rPr>
        <w:t xml:space="preserve"> to use identifiers* for applicants</w:t>
      </w:r>
      <w:r>
        <w:rPr>
          <w:szCs w:val="22"/>
          <w:lang w:eastAsia="ko-KR"/>
        </w:rPr>
        <w:t>, please complete Part A (Q1 to Q7) and Part C (Q10 to Q14) of this questionnaire.</w:t>
      </w:r>
      <w:r>
        <w:rPr>
          <w:szCs w:val="22"/>
        </w:rPr>
        <w:t xml:space="preserve">  If no</w:t>
      </w:r>
      <w:r>
        <w:rPr>
          <w:szCs w:val="22"/>
          <w:lang w:eastAsia="ko-KR"/>
        </w:rPr>
        <w:t>t</w:t>
      </w:r>
      <w:r>
        <w:rPr>
          <w:szCs w:val="22"/>
        </w:rPr>
        <w:t xml:space="preserve">, please complete Parts B (Q8 to Q9) </w:t>
      </w:r>
      <w:r>
        <w:rPr>
          <w:szCs w:val="22"/>
          <w:lang w:eastAsia="ko-KR"/>
        </w:rPr>
        <w:t>and Part C (Q10 to Q14)</w:t>
      </w:r>
      <w:r>
        <w:rPr>
          <w:szCs w:val="22"/>
        </w:rPr>
        <w:t>.</w:t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ind w:left="567"/>
        <w:rPr>
          <w:i/>
          <w:szCs w:val="22"/>
          <w:lang w:eastAsia="ko-KR"/>
        </w:rPr>
      </w:pPr>
      <w:r>
        <w:rPr>
          <w:rFonts w:eastAsiaTheme="minorEastAsia"/>
          <w:i/>
          <w:szCs w:val="22"/>
          <w:lang w:eastAsia="ko-KR"/>
        </w:rPr>
        <w:t xml:space="preserve">[*Note: </w:t>
      </w:r>
      <w:r>
        <w:rPr>
          <w:i/>
          <w:szCs w:val="22"/>
          <w:lang w:eastAsia="ko-KR"/>
        </w:rPr>
        <w:t>Identifiers group applicants, which belong to the same legal entity, under a single standardized name or numerical code.</w:t>
      </w:r>
      <w:r>
        <w:rPr>
          <w:rFonts w:eastAsiaTheme="minorEastAsia"/>
          <w:i/>
          <w:szCs w:val="22"/>
          <w:lang w:eastAsia="ko-KR"/>
        </w:rPr>
        <w:t>]</w:t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pStyle w:val="Heading2"/>
        <w:rPr>
          <w:szCs w:val="22"/>
          <w:lang w:eastAsia="en-US"/>
        </w:rPr>
      </w:pPr>
      <w:r>
        <w:rPr>
          <w:caps w:val="0"/>
          <w:szCs w:val="22"/>
        </w:rPr>
        <w:t>PART A - IDENTIFIERS</w:t>
      </w: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Q1. What are the perceived advantages of using Applicant Identifiers for your Office?</w:t>
      </w:r>
    </w:p>
    <w:p w:rsidR="00965849" w:rsidRDefault="00965849" w:rsidP="00965849">
      <w:pPr>
        <w:pStyle w:val="Heading4"/>
        <w:rPr>
          <w:i w:val="0"/>
          <w:szCs w:val="22"/>
        </w:rPr>
      </w:pPr>
      <w:r>
        <w:rPr>
          <w:i w:val="0"/>
          <w:szCs w:val="22"/>
        </w:rPr>
        <w:t>Q1a. for the Office itself: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Effective management of applicant information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56232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Easy to change applicant’s information in all relevant records simultaneously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9043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Control over the length of names, in particular, ensuring that they fit in database fields or screen forms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9119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Effective management of foreign applicant names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924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Avoiding corrupted diacritic and other specific characters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9265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Avoid using “similar or same looking” characters with different codes, (e.g. UTF-8hex code 0620 for Cyrillic “P” and UTF-8hex code0050 for Latin “P”)</w:t>
      </w:r>
    </w:p>
    <w:p w:rsidR="00965849" w:rsidRDefault="00FA19BB" w:rsidP="00965849">
      <w:pPr>
        <w:tabs>
          <w:tab w:val="left" w:pos="8010"/>
        </w:tabs>
        <w:rPr>
          <w:szCs w:val="22"/>
          <w:lang w:eastAsia="en-US"/>
        </w:rPr>
      </w:pPr>
      <w:sdt>
        <w:sdtPr>
          <w:rPr>
            <w:szCs w:val="22"/>
            <w:lang w:eastAsia="ko-KR"/>
          </w:rPr>
          <w:id w:val="17091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Other. 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pStyle w:val="Heading4"/>
        <w:rPr>
          <w:i w:val="0"/>
          <w:szCs w:val="22"/>
        </w:rPr>
      </w:pPr>
      <w:r>
        <w:rPr>
          <w:i w:val="0"/>
          <w:szCs w:val="22"/>
        </w:rPr>
        <w:t>Q1b. for Applicants and Patent Information Users: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5656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No need to repeatedly input information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28642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Accurate statistics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1266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Unifying multiple versions of an applicant name into a single, standardized name to eliminate confusion caused by inconsistency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67972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Availability of information regarding the parent company of the company filing for the patent (disclosed corporate structure)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7463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Avoiding the situation where, for example, the inventor’s name incorrectly appears as the patentee name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27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Applicant name standardization also for re-assignments</w:t>
      </w:r>
    </w:p>
    <w:p w:rsidR="00965849" w:rsidRDefault="00FA19BB" w:rsidP="00965849">
      <w:pPr>
        <w:rPr>
          <w:szCs w:val="22"/>
          <w:u w:val="single"/>
          <w:lang w:eastAsia="ko-KR"/>
        </w:rPr>
      </w:pPr>
      <w:sdt>
        <w:sdtPr>
          <w:rPr>
            <w:szCs w:val="22"/>
            <w:lang w:eastAsia="ko-KR"/>
          </w:rPr>
          <w:id w:val="-30308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Other 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rPr>
          <w:szCs w:val="22"/>
          <w:lang w:eastAsia="en-US"/>
        </w:rPr>
      </w:pPr>
    </w:p>
    <w:p w:rsidR="00965849" w:rsidRDefault="00965849" w:rsidP="00965849">
      <w:pPr>
        <w:tabs>
          <w:tab w:val="left" w:pos="8010"/>
        </w:tabs>
        <w:rPr>
          <w:szCs w:val="22"/>
        </w:rPr>
      </w:pPr>
      <w:r>
        <w:rPr>
          <w:szCs w:val="22"/>
        </w:rPr>
        <w:t xml:space="preserve">Comments: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Q2. Does your Office publish (or intend to publish) the identifiers assigned to the applicant?</w:t>
      </w:r>
      <w:r>
        <w:rPr>
          <w:szCs w:val="22"/>
          <w:u w:val="none"/>
        </w:rPr>
        <w:br/>
        <w:t>If so, how:</w:t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tabs>
          <w:tab w:val="left" w:pos="8100"/>
        </w:tabs>
        <w:rPr>
          <w:szCs w:val="22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Q3. Does your Office include (or plan to include) the identifiers in the set of data for the exchange of patent information with other IP Offices?</w:t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tabs>
          <w:tab w:val="left" w:pos="810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  <w:u w:val="single"/>
        </w:rPr>
        <w:sectPr w:rsidR="00965849">
          <w:headerReference w:type="default" r:id="rId14"/>
          <w:pgSz w:w="11907" w:h="16840"/>
          <w:pgMar w:top="1417" w:right="1417" w:bottom="1134" w:left="1417" w:header="510" w:footer="1020" w:gutter="0"/>
          <w:cols w:space="720"/>
        </w:sectPr>
      </w:pPr>
    </w:p>
    <w:p w:rsidR="00965849" w:rsidRDefault="00965849" w:rsidP="00965849">
      <w:pPr>
        <w:pStyle w:val="Heading3"/>
        <w:rPr>
          <w:szCs w:val="22"/>
        </w:rPr>
      </w:pPr>
      <w:r>
        <w:rPr>
          <w:szCs w:val="22"/>
          <w:u w:val="none"/>
        </w:rPr>
        <w:lastRenderedPageBreak/>
        <w:t>Q4. Which approach to assigning identifiers does your Office use (or plan to use)?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71177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Normative (code assigned by a national authority)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87344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Procedural (code assigned by an international authority, e.g. WIPO, based on the applicant’s IP portfolio in an agreed international database)</w:t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006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Other 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pStyle w:val="Heading3"/>
        <w:rPr>
          <w:szCs w:val="22"/>
          <w:lang w:eastAsia="en-US"/>
        </w:rPr>
      </w:pPr>
      <w:r>
        <w:rPr>
          <w:szCs w:val="22"/>
          <w:u w:val="none"/>
        </w:rPr>
        <w:t>Q5. How does your Office ensure that an applicant has only one identifier?</w:t>
      </w:r>
      <w:r>
        <w:rPr>
          <w:szCs w:val="22"/>
        </w:rPr>
        <w:br/>
      </w:r>
    </w:p>
    <w:p w:rsidR="00965849" w:rsidRDefault="00965849" w:rsidP="00965849">
      <w:pPr>
        <w:pStyle w:val="ListParagraph"/>
        <w:numPr>
          <w:ilvl w:val="0"/>
          <w:numId w:val="10"/>
        </w:numPr>
        <w:tabs>
          <w:tab w:val="left" w:pos="8100"/>
        </w:tabs>
        <w:rPr>
          <w:szCs w:val="22"/>
          <w:lang w:eastAsia="ko-KR"/>
        </w:rPr>
      </w:pPr>
      <w:r>
        <w:rPr>
          <w:szCs w:val="22"/>
          <w:u w:val="single"/>
          <w:lang w:eastAsia="ko-KR"/>
        </w:rPr>
        <w:t>In case of national applicants,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pStyle w:val="ListParagraph"/>
        <w:tabs>
          <w:tab w:val="left" w:pos="8100"/>
        </w:tabs>
        <w:ind w:left="800"/>
        <w:rPr>
          <w:szCs w:val="22"/>
          <w:lang w:eastAsia="ko-KR"/>
        </w:rPr>
      </w:pPr>
    </w:p>
    <w:p w:rsidR="00965849" w:rsidRDefault="00965849" w:rsidP="00965849">
      <w:pPr>
        <w:pStyle w:val="ListParagraph"/>
        <w:numPr>
          <w:ilvl w:val="0"/>
          <w:numId w:val="10"/>
        </w:numPr>
        <w:tabs>
          <w:tab w:val="left" w:pos="8100"/>
        </w:tabs>
        <w:rPr>
          <w:szCs w:val="22"/>
          <w:lang w:eastAsia="ko-KR"/>
        </w:rPr>
      </w:pPr>
      <w:r>
        <w:rPr>
          <w:szCs w:val="22"/>
          <w:u w:val="single"/>
          <w:lang w:eastAsia="ko-KR"/>
        </w:rPr>
        <w:t>In case of foreign applicants,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pStyle w:val="Heading3"/>
        <w:rPr>
          <w:szCs w:val="22"/>
          <w:lang w:eastAsia="en-US"/>
        </w:rPr>
      </w:pPr>
      <w:r>
        <w:rPr>
          <w:szCs w:val="22"/>
          <w:u w:val="none"/>
        </w:rPr>
        <w:t>Q6a. What information does your Office request in order to assign identifiers to applicants?</w:t>
      </w:r>
      <w:r>
        <w:rPr>
          <w:szCs w:val="22"/>
        </w:rPr>
        <w:t xml:space="preserve"> </w:t>
      </w:r>
      <w:r>
        <w:rPr>
          <w:szCs w:val="22"/>
        </w:rPr>
        <w:br/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2636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Tax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11171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Social security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87681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</w:rPr>
        <w:t xml:space="preserve"> Passport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95980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Copy from the register of legal entities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89990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E-mail address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3364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Other 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pStyle w:val="Heading3"/>
        <w:rPr>
          <w:szCs w:val="22"/>
          <w:lang w:eastAsia="en-US"/>
        </w:rPr>
      </w:pPr>
      <w:r>
        <w:rPr>
          <w:szCs w:val="22"/>
          <w:u w:val="none"/>
        </w:rPr>
        <w:t>Q6</w:t>
      </w:r>
      <w:r>
        <w:rPr>
          <w:rFonts w:eastAsiaTheme="minorEastAsia"/>
          <w:szCs w:val="22"/>
          <w:u w:val="none"/>
          <w:lang w:eastAsia="ko-KR"/>
        </w:rPr>
        <w:t>b</w:t>
      </w:r>
      <w:r>
        <w:rPr>
          <w:szCs w:val="22"/>
          <w:u w:val="none"/>
        </w:rPr>
        <w:t xml:space="preserve">. What information does your Office request in order to assign identifiers to </w:t>
      </w:r>
      <w:r>
        <w:rPr>
          <w:rFonts w:eastAsiaTheme="minorEastAsia"/>
          <w:szCs w:val="22"/>
          <w:u w:val="none"/>
          <w:lang w:eastAsia="ko-KR"/>
        </w:rPr>
        <w:t xml:space="preserve">foreign </w:t>
      </w:r>
      <w:r>
        <w:rPr>
          <w:szCs w:val="22"/>
          <w:u w:val="none"/>
        </w:rPr>
        <w:t>applicants?</w:t>
      </w:r>
      <w:r>
        <w:rPr>
          <w:szCs w:val="22"/>
        </w:rPr>
        <w:t xml:space="preserve"> </w:t>
      </w:r>
      <w:r>
        <w:rPr>
          <w:szCs w:val="22"/>
        </w:rPr>
        <w:br/>
      </w:r>
    </w:p>
    <w:p w:rsidR="00965849" w:rsidRDefault="00FA19BB" w:rsidP="00965849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213323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 xml:space="preserve"> Tax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0920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Social security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23424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</w:rPr>
        <w:t xml:space="preserve"> Passport number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9264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Copy from the register of legal entities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2018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E-mail address</w:t>
      </w:r>
    </w:p>
    <w:p w:rsidR="00965849" w:rsidRDefault="00FA19BB" w:rsidP="00965849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95552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 Other 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pStyle w:val="Heading4"/>
        <w:rPr>
          <w:i w:val="0"/>
          <w:szCs w:val="22"/>
          <w:lang w:eastAsia="en-US"/>
        </w:rPr>
      </w:pPr>
      <w:r>
        <w:rPr>
          <w:i w:val="0"/>
          <w:szCs w:val="22"/>
        </w:rPr>
        <w:t xml:space="preserve">Q7a. Does your Office consider that a Global Identifier (GID) would be a good solution for applicant name standardization? </w:t>
      </w:r>
    </w:p>
    <w:p w:rsidR="00965849" w:rsidRDefault="00965849" w:rsidP="00965849"/>
    <w:p w:rsidR="00965849" w:rsidRDefault="00965849" w:rsidP="00965849">
      <w:pPr>
        <w:tabs>
          <w:tab w:val="left" w:pos="810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4"/>
        <w:rPr>
          <w:i w:val="0"/>
          <w:szCs w:val="22"/>
        </w:rPr>
      </w:pPr>
      <w:r>
        <w:rPr>
          <w:i w:val="0"/>
          <w:szCs w:val="22"/>
        </w:rPr>
        <w:t>Q7b. If yes, could you suggest how the GID can be established and maintained?</w:t>
      </w:r>
    </w:p>
    <w:p w:rsidR="00965849" w:rsidRDefault="00965849" w:rsidP="00965849"/>
    <w:p w:rsidR="00965849" w:rsidRDefault="00965849" w:rsidP="00965849">
      <w:pPr>
        <w:tabs>
          <w:tab w:val="left" w:pos="810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tabs>
          <w:tab w:val="left" w:pos="8100"/>
        </w:tabs>
        <w:rPr>
          <w:szCs w:val="22"/>
          <w:lang w:eastAsia="ko-KR"/>
        </w:rPr>
      </w:pPr>
    </w:p>
    <w:p w:rsidR="00965849" w:rsidRDefault="00965849" w:rsidP="00965849">
      <w:pPr>
        <w:pStyle w:val="Heading4"/>
        <w:rPr>
          <w:i w:val="0"/>
          <w:szCs w:val="22"/>
          <w:lang w:eastAsia="en-US"/>
        </w:rPr>
      </w:pPr>
      <w:r>
        <w:rPr>
          <w:i w:val="0"/>
          <w:szCs w:val="22"/>
        </w:rPr>
        <w:t>Q7c. In case the GID is established, will your Office use both the GID and a national identifier at the same time or will your Office use the GID instead of a national identifier?</w:t>
      </w:r>
    </w:p>
    <w:p w:rsidR="00965849" w:rsidRDefault="00965849" w:rsidP="00965849"/>
    <w:p w:rsidR="00965849" w:rsidRDefault="00965849" w:rsidP="00965849">
      <w:pPr>
        <w:tabs>
          <w:tab w:val="left" w:pos="8100"/>
        </w:tabs>
        <w:rPr>
          <w:rFonts w:eastAsiaTheme="minorEastAsia"/>
          <w:szCs w:val="22"/>
          <w:lang w:eastAsia="ko-KR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rFonts w:eastAsiaTheme="minorEastAsia"/>
          <w:szCs w:val="22"/>
          <w:lang w:eastAsia="ko-KR"/>
        </w:rPr>
        <w:sectPr w:rsidR="00965849" w:rsidSect="00B06002">
          <w:headerReference w:type="default" r:id="rId15"/>
          <w:pgSz w:w="11907" w:h="16840"/>
          <w:pgMar w:top="1417" w:right="1417" w:bottom="1134" w:left="1417" w:header="510" w:footer="1020" w:gutter="0"/>
          <w:pgNumType w:start="2"/>
          <w:cols w:space="720"/>
        </w:sectPr>
      </w:pPr>
    </w:p>
    <w:p w:rsidR="00965849" w:rsidRDefault="00965849" w:rsidP="00965849">
      <w:pPr>
        <w:pStyle w:val="Heading2"/>
        <w:rPr>
          <w:caps w:val="0"/>
          <w:szCs w:val="22"/>
          <w:lang w:eastAsia="en-US"/>
        </w:rPr>
      </w:pPr>
      <w:r>
        <w:rPr>
          <w:caps w:val="0"/>
          <w:szCs w:val="22"/>
        </w:rPr>
        <w:lastRenderedPageBreak/>
        <w:t>PART B - NO IDENTIFIER</w:t>
      </w: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 xml:space="preserve">Q8a. If your Office does not use or does not intend to use identifiers for applicants, please explain why: </w:t>
      </w:r>
      <w:r>
        <w:rPr>
          <w:szCs w:val="22"/>
          <w:u w:val="none"/>
        </w:rPr>
        <w:br/>
      </w:r>
    </w:p>
    <w:p w:rsidR="00965849" w:rsidRDefault="00965849" w:rsidP="00965849">
      <w:pPr>
        <w:tabs>
          <w:tab w:val="left" w:pos="8100"/>
        </w:tabs>
        <w:rPr>
          <w:szCs w:val="22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pStyle w:val="Heading4"/>
        <w:rPr>
          <w:szCs w:val="22"/>
          <w:lang w:eastAsia="en-US"/>
        </w:rPr>
      </w:pPr>
      <w:r>
        <w:rPr>
          <w:i w:val="0"/>
          <w:szCs w:val="22"/>
        </w:rPr>
        <w:t>Q8b. Please describe any alternative approach to the use of identifiers:</w:t>
      </w:r>
      <w:r>
        <w:rPr>
          <w:szCs w:val="22"/>
        </w:rPr>
        <w:br/>
      </w:r>
    </w:p>
    <w:p w:rsidR="00965849" w:rsidRDefault="00965849" w:rsidP="00965849">
      <w:pPr>
        <w:tabs>
          <w:tab w:val="left" w:pos="8100"/>
        </w:tabs>
        <w:rPr>
          <w:szCs w:val="22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</w:rPr>
        <w:t xml:space="preserve">Q9. Please explain any drawbacks or legal complications related to using the identifiers: </w:t>
      </w:r>
    </w:p>
    <w:p w:rsidR="00965849" w:rsidRDefault="00965849" w:rsidP="00965849"/>
    <w:p w:rsidR="00965849" w:rsidRDefault="00965849" w:rsidP="00965849">
      <w:pPr>
        <w:tabs>
          <w:tab w:val="left" w:pos="810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tabs>
          <w:tab w:val="left" w:pos="8100"/>
        </w:tabs>
        <w:rPr>
          <w:szCs w:val="22"/>
          <w:u w:val="single"/>
        </w:rPr>
      </w:pPr>
    </w:p>
    <w:p w:rsidR="00965849" w:rsidRDefault="00965849" w:rsidP="00965849">
      <w:pPr>
        <w:pStyle w:val="Heading2"/>
        <w:rPr>
          <w:szCs w:val="22"/>
        </w:rPr>
      </w:pPr>
      <w:r>
        <w:rPr>
          <w:rFonts w:eastAsiaTheme="minorEastAsia"/>
          <w:caps w:val="0"/>
          <w:szCs w:val="22"/>
          <w:lang w:eastAsia="ko-KR"/>
        </w:rPr>
        <w:t>PART C</w:t>
      </w:r>
      <w:r>
        <w:rPr>
          <w:caps w:val="0"/>
          <w:szCs w:val="22"/>
        </w:rPr>
        <w:t xml:space="preserve"> - STANDARDIZATION EFFORTS</w:t>
      </w: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Q10. Which of the following options would you consider for investigation in your Office? Please mark each option that you choose with (L: Low), (M: Medium) OR (H: High) depending on the priority attributed by your office.</w:t>
      </w:r>
      <w:r>
        <w:rPr>
          <w:szCs w:val="22"/>
          <w:u w:val="none"/>
        </w:rPr>
        <w:br/>
      </w:r>
    </w:p>
    <w:p w:rsidR="00965849" w:rsidRDefault="00965849" w:rsidP="00965849">
      <w:pPr>
        <w:rPr>
          <w:szCs w:val="22"/>
        </w:rPr>
      </w:pPr>
      <w:r>
        <w:rPr>
          <w:szCs w:val="22"/>
        </w:rPr>
        <w:t xml:space="preserve">E.g. </w:t>
      </w:r>
      <w:r>
        <w:rPr>
          <w:rFonts w:ascii="MS Gothic" w:eastAsia="MS Gothic" w:hAnsi="MS Gothic" w:cs="MS Gothic" w:hint="eastAsia"/>
          <w:szCs w:val="22"/>
        </w:rPr>
        <w:t>☒</w:t>
      </w:r>
      <w:r>
        <w:rPr>
          <w:szCs w:val="22"/>
        </w:rPr>
        <w:t xml:space="preserve"> (H) Use of identifiers </w:t>
      </w:r>
      <w:r>
        <w:rPr>
          <w:szCs w:val="22"/>
        </w:rPr>
        <w:br/>
      </w:r>
    </w:p>
    <w:p w:rsidR="00965849" w:rsidRDefault="00FA19BB" w:rsidP="00965849">
      <w:pPr>
        <w:rPr>
          <w:szCs w:val="22"/>
        </w:rPr>
      </w:pPr>
      <w:sdt>
        <w:sdtPr>
          <w:rPr>
            <w:rFonts w:eastAsia="MS Gothic"/>
            <w:szCs w:val="22"/>
          </w:rPr>
          <w:id w:val="-205923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965849">
        <w:rPr>
          <w:szCs w:val="22"/>
          <w:lang w:eastAsia="ko-KR"/>
        </w:rPr>
        <w:t xml:space="preserve">( ) </w:t>
      </w:r>
      <w:r w:rsidR="00965849">
        <w:rPr>
          <w:szCs w:val="22"/>
        </w:rPr>
        <w:t>Us</w:t>
      </w:r>
      <w:r w:rsidR="00965849">
        <w:rPr>
          <w:szCs w:val="22"/>
          <w:lang w:eastAsia="ko-KR"/>
        </w:rPr>
        <w:t>e of</w:t>
      </w:r>
      <w:r w:rsidR="00965849">
        <w:rPr>
          <w:szCs w:val="22"/>
        </w:rPr>
        <w:t xml:space="preserve"> identifiers</w:t>
      </w:r>
    </w:p>
    <w:p w:rsidR="00965849" w:rsidRDefault="00FA19BB" w:rsidP="00965849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198422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>( ) N</w:t>
      </w:r>
      <w:r w:rsidR="00965849">
        <w:rPr>
          <w:szCs w:val="22"/>
        </w:rPr>
        <w:t>ormalized</w:t>
      </w:r>
      <w:r w:rsidR="00965849">
        <w:rPr>
          <w:szCs w:val="22"/>
          <w:lang w:eastAsia="ko-KR"/>
        </w:rPr>
        <w:t>*</w:t>
      </w:r>
      <w:r w:rsidR="00965849">
        <w:rPr>
          <w:szCs w:val="22"/>
        </w:rPr>
        <w:t xml:space="preserve"> names</w:t>
      </w:r>
    </w:p>
    <w:p w:rsidR="00965849" w:rsidRDefault="00FA19BB" w:rsidP="00965849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203008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>( ) U</w:t>
      </w:r>
      <w:r w:rsidR="00965849">
        <w:rPr>
          <w:szCs w:val="22"/>
        </w:rPr>
        <w:t xml:space="preserve">se of “dictionaries” of </w:t>
      </w:r>
      <w:r w:rsidR="00965849">
        <w:rPr>
          <w:szCs w:val="22"/>
          <w:lang w:eastAsia="ko-KR"/>
        </w:rPr>
        <w:t>patentee</w:t>
      </w:r>
      <w:r w:rsidR="00965849">
        <w:rPr>
          <w:szCs w:val="22"/>
        </w:rPr>
        <w:t xml:space="preserve"> names</w:t>
      </w:r>
      <w:r w:rsidR="00965849">
        <w:rPr>
          <w:szCs w:val="22"/>
          <w:lang w:eastAsia="ko-KR"/>
        </w:rPr>
        <w:t xml:space="preserve"> by patent information</w:t>
      </w:r>
    </w:p>
    <w:p w:rsidR="00965849" w:rsidRDefault="00FA19BB" w:rsidP="00965849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19170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>( ) Use of standardized** names designated by applicants</w:t>
      </w:r>
    </w:p>
    <w:p w:rsidR="00965849" w:rsidRDefault="00FA19BB" w:rsidP="00965849">
      <w:pPr>
        <w:tabs>
          <w:tab w:val="left" w:pos="8010"/>
        </w:tabs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30470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84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965849">
        <w:rPr>
          <w:szCs w:val="22"/>
          <w:lang w:eastAsia="ko-KR"/>
        </w:rPr>
        <w:t>( ) O</w:t>
      </w:r>
      <w:r w:rsidR="00965849">
        <w:rPr>
          <w:szCs w:val="22"/>
        </w:rPr>
        <w:t xml:space="preserve">ther </w:t>
      </w:r>
      <w:r w:rsidR="00965849">
        <w:rPr>
          <w:szCs w:val="22"/>
          <w:lang w:eastAsia="ko-KR"/>
        </w:rPr>
        <w:t>(Please specify:</w:t>
      </w:r>
      <w:r w:rsidR="00965849">
        <w:rPr>
          <w:szCs w:val="22"/>
          <w:u w:val="single"/>
        </w:rPr>
        <w:tab/>
      </w:r>
      <w:r w:rsidR="00965849">
        <w:rPr>
          <w:szCs w:val="22"/>
          <w:u w:val="single"/>
        </w:rPr>
        <w:tab/>
        <w:t>)</w:t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rPr>
          <w:i/>
          <w:szCs w:val="22"/>
          <w:lang w:eastAsia="ko-KR"/>
        </w:rPr>
      </w:pPr>
      <w:r>
        <w:rPr>
          <w:i/>
          <w:szCs w:val="22"/>
          <w:lang w:eastAsia="ko-KR"/>
        </w:rPr>
        <w:t>[Note * Normalization – correction of “trivial” errors (which leave the possibility of multiple name variants for one applicant)</w:t>
      </w:r>
    </w:p>
    <w:p w:rsidR="00965849" w:rsidRDefault="00965849" w:rsidP="00965849">
      <w:pPr>
        <w:rPr>
          <w:i/>
          <w:szCs w:val="22"/>
          <w:lang w:eastAsia="ko-KR"/>
        </w:rPr>
      </w:pPr>
      <w:r>
        <w:rPr>
          <w:i/>
          <w:szCs w:val="22"/>
          <w:lang w:eastAsia="ko-KR"/>
        </w:rPr>
        <w:t>** Standardization – using one name variant for an applicant (which might not be the ultimate owner, as IP rights can be registered in the name of a subsidiary when the beneficiary is the parent company)]</w:t>
      </w:r>
    </w:p>
    <w:p w:rsidR="00965849" w:rsidRDefault="00965849" w:rsidP="00965849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</w:rPr>
        <w:t>Q11. What is your</w:t>
      </w:r>
      <w:r w:rsidR="00162D50">
        <w:rPr>
          <w:szCs w:val="22"/>
          <w:u w:val="none"/>
        </w:rPr>
        <w:t xml:space="preserve"> Office’s desired outcome from t</w:t>
      </w:r>
      <w:r>
        <w:rPr>
          <w:szCs w:val="22"/>
          <w:u w:val="none"/>
        </w:rPr>
        <w:t>he Name Standardization Task Force (set of recommendations, public database, etc.)? Please explain:</w:t>
      </w:r>
      <w:r>
        <w:rPr>
          <w:szCs w:val="22"/>
          <w:u w:val="none"/>
        </w:rPr>
        <w:br/>
      </w:r>
    </w:p>
    <w:p w:rsidR="00965849" w:rsidRDefault="00965849" w:rsidP="00965849">
      <w:pPr>
        <w:tabs>
          <w:tab w:val="left" w:pos="801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Q12. How should the standardization effort be focused?  For example, on internal systems in IPOs or on externally-held IP databases?</w:t>
      </w:r>
      <w:r>
        <w:rPr>
          <w:szCs w:val="22"/>
          <w:u w:val="none"/>
        </w:rPr>
        <w:br/>
      </w:r>
    </w:p>
    <w:p w:rsidR="00965849" w:rsidRDefault="00965849" w:rsidP="00965849">
      <w:pPr>
        <w:tabs>
          <w:tab w:val="left" w:pos="801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  <w:u w:val="single"/>
        </w:rPr>
        <w:sectPr w:rsidR="00965849">
          <w:pgSz w:w="11907" w:h="16840"/>
          <w:pgMar w:top="1417" w:right="1417" w:bottom="1134" w:left="1417" w:header="510" w:footer="1020" w:gutter="0"/>
          <w:cols w:space="720"/>
        </w:sectPr>
      </w:pPr>
    </w:p>
    <w:p w:rsidR="00965849" w:rsidRDefault="00965849" w:rsidP="00965849">
      <w:pPr>
        <w:pStyle w:val="Heading4"/>
        <w:rPr>
          <w:i w:val="0"/>
          <w:szCs w:val="22"/>
        </w:rPr>
      </w:pPr>
      <w:r>
        <w:rPr>
          <w:i w:val="0"/>
          <w:szCs w:val="22"/>
        </w:rPr>
        <w:lastRenderedPageBreak/>
        <w:t xml:space="preserve">Q12a. Does your Office use (or plan to use) a computer algorithm for the normalization/standardization of applicant name? </w:t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tabs>
          <w:tab w:val="left" w:pos="801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4"/>
        <w:rPr>
          <w:i w:val="0"/>
          <w:szCs w:val="22"/>
        </w:rPr>
      </w:pPr>
      <w:r>
        <w:rPr>
          <w:i w:val="0"/>
          <w:szCs w:val="22"/>
        </w:rPr>
        <w:t>Q12b. If yes, what is the name of the algorithm?</w:t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tabs>
          <w:tab w:val="left" w:pos="8010"/>
        </w:tabs>
        <w:rPr>
          <w:szCs w:val="22"/>
          <w:u w:val="single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Heading3"/>
        <w:rPr>
          <w:szCs w:val="22"/>
          <w:u w:val="none"/>
        </w:rPr>
      </w:pPr>
      <w:r>
        <w:rPr>
          <w:szCs w:val="22"/>
          <w:u w:val="none"/>
        </w:rPr>
        <w:t>Q13. If there are different approaches to managing applicants’ names, should the standardization effort harmonize all the different approaches for the purpose of the international exchange of patent information?</w:t>
      </w:r>
    </w:p>
    <w:p w:rsidR="00965849" w:rsidRDefault="00965849" w:rsidP="00965849">
      <w:pPr>
        <w:rPr>
          <w:szCs w:val="22"/>
          <w:lang w:eastAsia="ko-KR"/>
        </w:rPr>
      </w:pPr>
    </w:p>
    <w:p w:rsidR="00965849" w:rsidRDefault="00965849" w:rsidP="00965849">
      <w:pPr>
        <w:tabs>
          <w:tab w:val="left" w:pos="8010"/>
        </w:tabs>
        <w:rPr>
          <w:szCs w:val="22"/>
          <w:u w:val="single"/>
          <w:lang w:eastAsia="en-US"/>
        </w:rPr>
      </w:pP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965849" w:rsidRDefault="00965849" w:rsidP="00965849">
      <w:pPr>
        <w:rPr>
          <w:szCs w:val="22"/>
        </w:rPr>
      </w:pPr>
    </w:p>
    <w:p w:rsidR="00965849" w:rsidRDefault="00965849" w:rsidP="00965849">
      <w:pPr>
        <w:pStyle w:val="Endofdocument-Annex"/>
        <w:rPr>
          <w:szCs w:val="22"/>
          <w:lang w:val="en-GB"/>
        </w:rPr>
      </w:pPr>
    </w:p>
    <w:p w:rsidR="00965849" w:rsidRDefault="00965849" w:rsidP="00965849">
      <w:pPr>
        <w:pStyle w:val="Endofdocument-Annex"/>
        <w:rPr>
          <w:szCs w:val="22"/>
          <w:lang w:val="en-GB"/>
        </w:rPr>
      </w:pPr>
    </w:p>
    <w:p w:rsidR="00965849" w:rsidRDefault="00965849" w:rsidP="00965849">
      <w:pPr>
        <w:pStyle w:val="Endofdocument-Annex"/>
        <w:rPr>
          <w:szCs w:val="22"/>
          <w:lang w:val="en-GB"/>
        </w:rPr>
      </w:pPr>
      <w:r>
        <w:rPr>
          <w:szCs w:val="22"/>
          <w:lang w:val="en-GB"/>
        </w:rPr>
        <w:t>[End of Annex and of document]</w:t>
      </w:r>
    </w:p>
    <w:p w:rsidR="002928D3" w:rsidRDefault="002928D3" w:rsidP="00176C5F">
      <w:pPr>
        <w:pStyle w:val="Endofdocument-Annex"/>
      </w:pPr>
    </w:p>
    <w:sectPr w:rsidR="002928D3" w:rsidSect="00176C5F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5F" w:rsidRDefault="00176C5F">
      <w:r>
        <w:separator/>
      </w:r>
    </w:p>
  </w:endnote>
  <w:endnote w:type="continuationSeparator" w:id="0">
    <w:p w:rsidR="00176C5F" w:rsidRDefault="00176C5F" w:rsidP="003B38C1">
      <w:r>
        <w:separator/>
      </w:r>
    </w:p>
    <w:p w:rsidR="00176C5F" w:rsidRPr="003B38C1" w:rsidRDefault="00176C5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6C5F" w:rsidRPr="003B38C1" w:rsidRDefault="00176C5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91" w:rsidRDefault="00237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91" w:rsidRDefault="00237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91" w:rsidRDefault="00237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5F" w:rsidRDefault="00176C5F">
      <w:r>
        <w:separator/>
      </w:r>
    </w:p>
  </w:footnote>
  <w:footnote w:type="continuationSeparator" w:id="0">
    <w:p w:rsidR="00176C5F" w:rsidRDefault="00176C5F" w:rsidP="008B60B2">
      <w:r>
        <w:separator/>
      </w:r>
    </w:p>
    <w:p w:rsidR="00176C5F" w:rsidRPr="00ED77FB" w:rsidRDefault="00176C5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6C5F" w:rsidRPr="00ED77FB" w:rsidRDefault="00176C5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91" w:rsidRDefault="00237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4B" w:rsidRDefault="00D0431A" w:rsidP="00477D6B">
    <w:pPr>
      <w:jc w:val="right"/>
      <w:rPr>
        <w:lang w:val="en-GB"/>
      </w:rPr>
    </w:pPr>
    <w:r>
      <w:rPr>
        <w:lang w:val="en-GB"/>
      </w:rPr>
      <w:t>CWS/6/27</w:t>
    </w:r>
  </w:p>
  <w:p w:rsidR="00D0431A" w:rsidRDefault="00D0431A" w:rsidP="00477D6B">
    <w:pPr>
      <w:jc w:val="right"/>
      <w:rPr>
        <w:lang w:val="en-GB"/>
      </w:rPr>
    </w:pPr>
    <w:r>
      <w:rPr>
        <w:lang w:val="en-GB"/>
      </w:rPr>
      <w:t>page 2</w:t>
    </w:r>
  </w:p>
  <w:p w:rsidR="00D0431A" w:rsidRDefault="00D0431A" w:rsidP="00477D6B">
    <w:pPr>
      <w:jc w:val="right"/>
      <w:rPr>
        <w:lang w:val="en-GB"/>
      </w:rPr>
    </w:pPr>
  </w:p>
  <w:p w:rsidR="00D0431A" w:rsidRPr="00D0431A" w:rsidRDefault="00D0431A" w:rsidP="00477D6B">
    <w:pPr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86" w:rsidRPr="00353F86" w:rsidRDefault="00353F86" w:rsidP="00930DAD">
    <w:pPr>
      <w:jc w:val="right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2444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6002" w:rsidRDefault="00B06002">
        <w:pPr>
          <w:pStyle w:val="Header"/>
          <w:jc w:val="right"/>
        </w:pPr>
        <w:r>
          <w:t>CWS/6/27</w:t>
        </w:r>
      </w:p>
      <w:p w:rsidR="00B06002" w:rsidRDefault="00B06002">
        <w:pPr>
          <w:pStyle w:val="Header"/>
          <w:jc w:val="right"/>
        </w:pPr>
        <w:r>
          <w:t>ANNEX</w:t>
        </w:r>
      </w:p>
      <w:p w:rsidR="00B06002" w:rsidRDefault="00FA19BB">
        <w:pPr>
          <w:pStyle w:val="Header"/>
          <w:jc w:val="right"/>
        </w:pPr>
      </w:p>
    </w:sdtContent>
  </w:sdt>
  <w:p w:rsidR="00965849" w:rsidRDefault="00965849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7101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7189" w:rsidRDefault="008A7189">
        <w:pPr>
          <w:pStyle w:val="Header"/>
          <w:jc w:val="right"/>
        </w:pPr>
        <w:r>
          <w:t>CWS/6/27</w:t>
        </w:r>
      </w:p>
      <w:p w:rsidR="008A7189" w:rsidRDefault="008A7189">
        <w:pPr>
          <w:pStyle w:val="Header"/>
          <w:jc w:val="right"/>
        </w:pPr>
        <w:r>
          <w:t xml:space="preserve">Annex,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189" w:rsidRDefault="008A7189" w:rsidP="00477D6B">
    <w:pPr>
      <w:jc w:val="right"/>
    </w:pPr>
  </w:p>
  <w:p w:rsidR="008A7189" w:rsidRDefault="008A7189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86" w:rsidRDefault="00353F86" w:rsidP="00930DAD">
    <w:pPr>
      <w:jc w:val="right"/>
      <w:rPr>
        <w:lang w:val="en-GB"/>
      </w:rPr>
    </w:pPr>
    <w:r>
      <w:rPr>
        <w:lang w:val="en-GB"/>
      </w:rPr>
      <w:t>CWS/6/27</w:t>
    </w:r>
  </w:p>
  <w:p w:rsidR="00353F86" w:rsidRDefault="00353F86" w:rsidP="00930DAD">
    <w:pPr>
      <w:jc w:val="right"/>
      <w:rPr>
        <w:lang w:val="en-GB"/>
      </w:rPr>
    </w:pPr>
    <w:r>
      <w:rPr>
        <w:lang w:val="en-GB"/>
      </w:rPr>
      <w:t>Annex, page 4</w:t>
    </w:r>
  </w:p>
  <w:p w:rsidR="00353F86" w:rsidRDefault="00353F86" w:rsidP="00930DAD">
    <w:pPr>
      <w:jc w:val="right"/>
      <w:rPr>
        <w:lang w:val="en-GB"/>
      </w:rPr>
    </w:pPr>
  </w:p>
  <w:p w:rsidR="00353F86" w:rsidRPr="00353F86" w:rsidRDefault="00353F86" w:rsidP="00930DAD">
    <w:pPr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-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5F"/>
    <w:rsid w:val="00043CAA"/>
    <w:rsid w:val="00061821"/>
    <w:rsid w:val="00075432"/>
    <w:rsid w:val="000968ED"/>
    <w:rsid w:val="000F5E56"/>
    <w:rsid w:val="001362EE"/>
    <w:rsid w:val="00162D50"/>
    <w:rsid w:val="001647D5"/>
    <w:rsid w:val="00176C5F"/>
    <w:rsid w:val="001832A6"/>
    <w:rsid w:val="0021217E"/>
    <w:rsid w:val="00214CF0"/>
    <w:rsid w:val="002150A2"/>
    <w:rsid w:val="00237B91"/>
    <w:rsid w:val="002634C4"/>
    <w:rsid w:val="002928D3"/>
    <w:rsid w:val="002F1FE6"/>
    <w:rsid w:val="002F4E68"/>
    <w:rsid w:val="00312F7F"/>
    <w:rsid w:val="00353F86"/>
    <w:rsid w:val="00361450"/>
    <w:rsid w:val="003673CF"/>
    <w:rsid w:val="00374484"/>
    <w:rsid w:val="003845C1"/>
    <w:rsid w:val="003A6F89"/>
    <w:rsid w:val="003B38C1"/>
    <w:rsid w:val="004123D6"/>
    <w:rsid w:val="00423E3E"/>
    <w:rsid w:val="00427AF4"/>
    <w:rsid w:val="004647DA"/>
    <w:rsid w:val="004724E1"/>
    <w:rsid w:val="00474062"/>
    <w:rsid w:val="00477D6B"/>
    <w:rsid w:val="005019FF"/>
    <w:rsid w:val="00515DB6"/>
    <w:rsid w:val="0053057A"/>
    <w:rsid w:val="00560A29"/>
    <w:rsid w:val="005C6649"/>
    <w:rsid w:val="006008CD"/>
    <w:rsid w:val="00605827"/>
    <w:rsid w:val="00646050"/>
    <w:rsid w:val="00665F35"/>
    <w:rsid w:val="006713CA"/>
    <w:rsid w:val="00676C5C"/>
    <w:rsid w:val="0073261E"/>
    <w:rsid w:val="007715A5"/>
    <w:rsid w:val="007D1613"/>
    <w:rsid w:val="007E4C0E"/>
    <w:rsid w:val="00883BB8"/>
    <w:rsid w:val="008A134B"/>
    <w:rsid w:val="008A7189"/>
    <w:rsid w:val="008B2CC1"/>
    <w:rsid w:val="008B60B2"/>
    <w:rsid w:val="00906A82"/>
    <w:rsid w:val="0090731E"/>
    <w:rsid w:val="00916EE2"/>
    <w:rsid w:val="00930DAD"/>
    <w:rsid w:val="00965849"/>
    <w:rsid w:val="00966A22"/>
    <w:rsid w:val="0096722F"/>
    <w:rsid w:val="00980843"/>
    <w:rsid w:val="009C7DB0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06002"/>
    <w:rsid w:val="00B71594"/>
    <w:rsid w:val="00B9734B"/>
    <w:rsid w:val="00BA30E2"/>
    <w:rsid w:val="00C11BFE"/>
    <w:rsid w:val="00C5068F"/>
    <w:rsid w:val="00C537F0"/>
    <w:rsid w:val="00C86D74"/>
    <w:rsid w:val="00CD04F1"/>
    <w:rsid w:val="00CD59F2"/>
    <w:rsid w:val="00D0431A"/>
    <w:rsid w:val="00D3124F"/>
    <w:rsid w:val="00D32B22"/>
    <w:rsid w:val="00D45252"/>
    <w:rsid w:val="00D71B4D"/>
    <w:rsid w:val="00D93D55"/>
    <w:rsid w:val="00E15015"/>
    <w:rsid w:val="00E335FE"/>
    <w:rsid w:val="00E82D75"/>
    <w:rsid w:val="00EA7D6E"/>
    <w:rsid w:val="00EC4E49"/>
    <w:rsid w:val="00ED77FB"/>
    <w:rsid w:val="00EE45FA"/>
    <w:rsid w:val="00F6615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7B6E242"/>
  <w15:docId w15:val="{5FD8A74A-29E1-4A24-9E71-61FAF214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6584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6584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965849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965849"/>
    <w:pPr>
      <w:ind w:left="720"/>
      <w:contextualSpacing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600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A19B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19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</vt:lpstr>
    </vt:vector>
  </TitlesOfParts>
  <Company>WIPO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</dc:title>
  <dc:subject>Questionnaire on the Use of Identifiers for Applicants by Intellectual Property Offices</dc:subject>
  <dc:creator>WIPO</dc:creator>
  <cp:keywords>CWS (in English)</cp:keywords>
  <cp:lastModifiedBy>DRAKE Sophie</cp:lastModifiedBy>
  <cp:revision>27</cp:revision>
  <cp:lastPrinted>2018-09-03T15:56:00Z</cp:lastPrinted>
  <dcterms:created xsi:type="dcterms:W3CDTF">2018-08-08T08:15:00Z</dcterms:created>
  <dcterms:modified xsi:type="dcterms:W3CDTF">2018-10-04T09:45:00Z</dcterms:modified>
</cp:coreProperties>
</file>