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596EE4" w:rsidRPr="00596EE4" w14:paraId="75EE8B51" w14:textId="77777777" w:rsidTr="00596EE4">
        <w:tc>
          <w:tcPr>
            <w:tcW w:w="4513" w:type="dxa"/>
            <w:tcBorders>
              <w:bottom w:val="single" w:sz="4" w:space="0" w:color="auto"/>
            </w:tcBorders>
            <w:tcMar>
              <w:bottom w:w="170" w:type="dxa"/>
            </w:tcMar>
          </w:tcPr>
          <w:p w14:paraId="7036F8A4" w14:textId="77777777" w:rsidR="00EC4E49" w:rsidRPr="00596EE4" w:rsidRDefault="00EC4E49" w:rsidP="00916EE2"/>
        </w:tc>
        <w:tc>
          <w:tcPr>
            <w:tcW w:w="4337" w:type="dxa"/>
            <w:tcBorders>
              <w:bottom w:val="single" w:sz="4" w:space="0" w:color="auto"/>
            </w:tcBorders>
            <w:tcMar>
              <w:left w:w="0" w:type="dxa"/>
              <w:right w:w="0" w:type="dxa"/>
            </w:tcMar>
          </w:tcPr>
          <w:p w14:paraId="07EDB0CE" w14:textId="77777777" w:rsidR="00EC4E49" w:rsidRPr="00596EE4" w:rsidRDefault="008B66FE" w:rsidP="00916EE2">
            <w:r w:rsidRPr="00596EE4">
              <w:rPr>
                <w:noProof/>
                <w:lang w:eastAsia="en-US"/>
              </w:rPr>
              <w:drawing>
                <wp:inline distT="0" distB="0" distL="0" distR="0" wp14:anchorId="25A388C6" wp14:editId="0DC2E515">
                  <wp:extent cx="1855470" cy="1326515"/>
                  <wp:effectExtent l="0" t="0" r="0" b="698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5470" cy="132651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14:paraId="44A480D0" w14:textId="77777777" w:rsidR="00EC4E49" w:rsidRPr="00596EE4" w:rsidRDefault="00EC4E49" w:rsidP="00916EE2">
            <w:pPr>
              <w:jc w:val="right"/>
            </w:pPr>
            <w:r w:rsidRPr="00596EE4">
              <w:rPr>
                <w:b/>
                <w:sz w:val="40"/>
                <w:szCs w:val="40"/>
              </w:rPr>
              <w:t>E</w:t>
            </w:r>
          </w:p>
        </w:tc>
      </w:tr>
      <w:tr w:rsidR="00596EE4" w:rsidRPr="0084496E" w14:paraId="192C032F" w14:textId="77777777" w:rsidTr="00C5068F">
        <w:trPr>
          <w:trHeight w:hRule="exact" w:val="357"/>
        </w:trPr>
        <w:tc>
          <w:tcPr>
            <w:tcW w:w="9356" w:type="dxa"/>
            <w:gridSpan w:val="3"/>
            <w:tcBorders>
              <w:top w:val="single" w:sz="4" w:space="0" w:color="auto"/>
            </w:tcBorders>
            <w:tcMar>
              <w:top w:w="170" w:type="dxa"/>
              <w:left w:w="0" w:type="dxa"/>
              <w:right w:w="0" w:type="dxa"/>
            </w:tcMar>
            <w:vAlign w:val="bottom"/>
          </w:tcPr>
          <w:p w14:paraId="5B63A7DF" w14:textId="77777777" w:rsidR="008B2CC1" w:rsidRPr="00596EE4" w:rsidRDefault="0084496E" w:rsidP="00DA71C9">
            <w:pPr>
              <w:jc w:val="right"/>
              <w:rPr>
                <w:rFonts w:ascii="Arial Black" w:hAnsi="Arial Black"/>
                <w:caps/>
                <w:sz w:val="15"/>
              </w:rPr>
            </w:pPr>
            <w:r>
              <w:rPr>
                <w:rFonts w:ascii="Arial Black" w:hAnsi="Arial Black"/>
                <w:caps/>
                <w:sz w:val="15"/>
              </w:rPr>
              <w:t>CWS/6/</w:t>
            </w:r>
            <w:bookmarkStart w:id="0" w:name="Code"/>
            <w:bookmarkEnd w:id="0"/>
            <w:r w:rsidR="000532E4">
              <w:rPr>
                <w:rFonts w:ascii="Arial Black" w:hAnsi="Arial Black"/>
                <w:caps/>
                <w:sz w:val="15"/>
              </w:rPr>
              <w:t>1</w:t>
            </w:r>
            <w:r w:rsidR="00DA71C9">
              <w:rPr>
                <w:rFonts w:ascii="Arial Black" w:hAnsi="Arial Black"/>
                <w:caps/>
                <w:sz w:val="15"/>
              </w:rPr>
              <w:t>3</w:t>
            </w:r>
            <w:r>
              <w:rPr>
                <w:rFonts w:ascii="Arial Black" w:hAnsi="Arial Black"/>
                <w:caps/>
                <w:sz w:val="15"/>
              </w:rPr>
              <w:t xml:space="preserve"> </w:t>
            </w:r>
            <w:r w:rsidRPr="0090731E">
              <w:rPr>
                <w:rFonts w:ascii="Arial Black" w:hAnsi="Arial Black"/>
                <w:caps/>
                <w:sz w:val="15"/>
              </w:rPr>
              <w:t xml:space="preserve">   </w:t>
            </w:r>
          </w:p>
        </w:tc>
      </w:tr>
      <w:tr w:rsidR="00596EE4" w:rsidRPr="00596EE4" w14:paraId="620488D4" w14:textId="77777777" w:rsidTr="00F0045D">
        <w:trPr>
          <w:trHeight w:hRule="exact" w:val="170"/>
        </w:trPr>
        <w:tc>
          <w:tcPr>
            <w:tcW w:w="9356" w:type="dxa"/>
            <w:gridSpan w:val="3"/>
            <w:noWrap/>
            <w:tcMar>
              <w:left w:w="0" w:type="dxa"/>
              <w:right w:w="0" w:type="dxa"/>
            </w:tcMar>
            <w:vAlign w:val="bottom"/>
          </w:tcPr>
          <w:p w14:paraId="4882EE80" w14:textId="77777777" w:rsidR="00596EE4" w:rsidRPr="00596EE4" w:rsidRDefault="00596EE4" w:rsidP="0084496E">
            <w:pPr>
              <w:jc w:val="right"/>
              <w:rPr>
                <w:rFonts w:ascii="Arial Black" w:hAnsi="Arial Black"/>
                <w:caps/>
                <w:sz w:val="15"/>
              </w:rPr>
            </w:pPr>
            <w:r w:rsidRPr="00596EE4">
              <w:rPr>
                <w:rFonts w:ascii="Arial Black" w:hAnsi="Arial Black"/>
                <w:caps/>
                <w:sz w:val="15"/>
              </w:rPr>
              <w:t>ORIGINAL:  english</w:t>
            </w:r>
          </w:p>
        </w:tc>
      </w:tr>
      <w:tr w:rsidR="00596EE4" w:rsidRPr="00596EE4" w14:paraId="610CE2E0" w14:textId="77777777" w:rsidTr="00916EE2">
        <w:trPr>
          <w:trHeight w:hRule="exact" w:val="170"/>
        </w:trPr>
        <w:tc>
          <w:tcPr>
            <w:tcW w:w="9356" w:type="dxa"/>
            <w:gridSpan w:val="3"/>
            <w:noWrap/>
            <w:tcMar>
              <w:left w:w="0" w:type="dxa"/>
              <w:right w:w="0" w:type="dxa"/>
            </w:tcMar>
            <w:vAlign w:val="bottom"/>
          </w:tcPr>
          <w:p w14:paraId="63020F2B" w14:textId="42BC1E26" w:rsidR="008B2CC1" w:rsidRPr="00596EE4" w:rsidRDefault="00596EE4" w:rsidP="00D232EC">
            <w:pPr>
              <w:jc w:val="right"/>
              <w:rPr>
                <w:rFonts w:ascii="Arial Black" w:hAnsi="Arial Black"/>
                <w:caps/>
                <w:sz w:val="15"/>
              </w:rPr>
            </w:pPr>
            <w:bookmarkStart w:id="1" w:name="Original"/>
            <w:bookmarkEnd w:id="1"/>
            <w:r w:rsidRPr="00596EE4">
              <w:rPr>
                <w:rFonts w:ascii="Arial Black" w:hAnsi="Arial Black"/>
                <w:caps/>
                <w:sz w:val="15"/>
              </w:rPr>
              <w:t xml:space="preserve">DATE:  </w:t>
            </w:r>
            <w:r w:rsidR="00D36CD6">
              <w:rPr>
                <w:rFonts w:ascii="Arial Black" w:hAnsi="Arial Black"/>
                <w:caps/>
                <w:sz w:val="15"/>
              </w:rPr>
              <w:t>SEPTEMBER</w:t>
            </w:r>
            <w:r w:rsidR="006E692A">
              <w:rPr>
                <w:rFonts w:ascii="Arial Black" w:hAnsi="Arial Black"/>
                <w:caps/>
                <w:sz w:val="15"/>
              </w:rPr>
              <w:t xml:space="preserve"> </w:t>
            </w:r>
            <w:r w:rsidR="00D232EC">
              <w:rPr>
                <w:rFonts w:ascii="Arial Black" w:hAnsi="Arial Black"/>
                <w:caps/>
                <w:sz w:val="15"/>
              </w:rPr>
              <w:t>12</w:t>
            </w:r>
            <w:r w:rsidR="00831F5C">
              <w:rPr>
                <w:rFonts w:ascii="Arial Black" w:hAnsi="Arial Black"/>
                <w:caps/>
                <w:sz w:val="15"/>
              </w:rPr>
              <w:t>,</w:t>
            </w:r>
            <w:r w:rsidRPr="00596EE4">
              <w:rPr>
                <w:rFonts w:ascii="Arial Black" w:hAnsi="Arial Black"/>
                <w:caps/>
                <w:sz w:val="15"/>
              </w:rPr>
              <w:t xml:space="preserve"> 2018</w:t>
            </w:r>
            <w:r w:rsidR="008B2CC1" w:rsidRPr="00596EE4">
              <w:rPr>
                <w:rFonts w:ascii="Arial Black" w:hAnsi="Arial Black"/>
                <w:caps/>
                <w:sz w:val="15"/>
              </w:rPr>
              <w:t xml:space="preserve"> </w:t>
            </w:r>
          </w:p>
        </w:tc>
      </w:tr>
    </w:tbl>
    <w:p w14:paraId="466887B0" w14:textId="77777777" w:rsidR="008B2CC1" w:rsidRPr="00596EE4" w:rsidRDefault="008B2CC1" w:rsidP="008B2CC1"/>
    <w:p w14:paraId="332A3C63" w14:textId="77777777" w:rsidR="008B2CC1" w:rsidRPr="00596EE4" w:rsidRDefault="008B2CC1" w:rsidP="008B2CC1"/>
    <w:p w14:paraId="765B6672" w14:textId="77777777" w:rsidR="008B2CC1" w:rsidRPr="00596EE4" w:rsidRDefault="008B2CC1" w:rsidP="008B2CC1"/>
    <w:p w14:paraId="2B76245E" w14:textId="77777777" w:rsidR="008B2CC1" w:rsidRDefault="008B2CC1" w:rsidP="008B2CC1"/>
    <w:p w14:paraId="6E5DF4D9" w14:textId="77777777" w:rsidR="00FC37D2" w:rsidRPr="00596EE4" w:rsidRDefault="00FC37D2" w:rsidP="008B2CC1"/>
    <w:p w14:paraId="25872CB5" w14:textId="77777777" w:rsidR="008B2CC1" w:rsidRPr="00596EE4" w:rsidRDefault="008B66FE" w:rsidP="008B2CC1">
      <w:pPr>
        <w:rPr>
          <w:b/>
          <w:sz w:val="28"/>
          <w:szCs w:val="28"/>
        </w:rPr>
      </w:pPr>
      <w:r w:rsidRPr="00596EE4">
        <w:rPr>
          <w:b/>
          <w:sz w:val="28"/>
          <w:szCs w:val="28"/>
        </w:rPr>
        <w:t>Committee on WIPO Standards (CWS)</w:t>
      </w:r>
    </w:p>
    <w:p w14:paraId="4DCAE99B" w14:textId="77777777" w:rsidR="003845C1" w:rsidRPr="00596EE4" w:rsidRDefault="003845C1" w:rsidP="003845C1"/>
    <w:p w14:paraId="7C70AE94" w14:textId="77777777" w:rsidR="003845C1" w:rsidRPr="00596EE4" w:rsidRDefault="003845C1" w:rsidP="003845C1"/>
    <w:p w14:paraId="09E66AB7" w14:textId="77777777" w:rsidR="008B66FE" w:rsidRPr="00596EE4" w:rsidRDefault="00C66B38" w:rsidP="008B66FE">
      <w:pPr>
        <w:rPr>
          <w:b/>
          <w:sz w:val="24"/>
          <w:szCs w:val="24"/>
        </w:rPr>
      </w:pPr>
      <w:r w:rsidRPr="00596EE4">
        <w:rPr>
          <w:b/>
          <w:sz w:val="24"/>
          <w:szCs w:val="24"/>
        </w:rPr>
        <w:t>Sixth</w:t>
      </w:r>
      <w:r w:rsidR="008B66FE" w:rsidRPr="00596EE4">
        <w:rPr>
          <w:b/>
          <w:sz w:val="24"/>
          <w:szCs w:val="24"/>
        </w:rPr>
        <w:t xml:space="preserve"> Session</w:t>
      </w:r>
    </w:p>
    <w:p w14:paraId="6798A733" w14:textId="77777777" w:rsidR="008B2CC1" w:rsidRPr="00596EE4" w:rsidRDefault="008B66FE" w:rsidP="008B66FE">
      <w:pPr>
        <w:rPr>
          <w:b/>
          <w:sz w:val="24"/>
          <w:szCs w:val="24"/>
        </w:rPr>
      </w:pPr>
      <w:r w:rsidRPr="00596EE4">
        <w:rPr>
          <w:b/>
          <w:sz w:val="24"/>
          <w:szCs w:val="24"/>
        </w:rPr>
        <w:t xml:space="preserve">Geneva, </w:t>
      </w:r>
      <w:r w:rsidR="002C41B4" w:rsidRPr="00596EE4">
        <w:rPr>
          <w:b/>
          <w:sz w:val="24"/>
          <w:szCs w:val="24"/>
        </w:rPr>
        <w:t>October 15</w:t>
      </w:r>
      <w:r w:rsidRPr="00596EE4">
        <w:rPr>
          <w:b/>
          <w:sz w:val="24"/>
          <w:szCs w:val="24"/>
        </w:rPr>
        <w:t xml:space="preserve"> to </w:t>
      </w:r>
      <w:r w:rsidR="002C41B4" w:rsidRPr="00596EE4">
        <w:rPr>
          <w:b/>
          <w:sz w:val="24"/>
          <w:szCs w:val="24"/>
        </w:rPr>
        <w:t>19</w:t>
      </w:r>
      <w:r w:rsidRPr="00596EE4">
        <w:rPr>
          <w:b/>
          <w:sz w:val="24"/>
          <w:szCs w:val="24"/>
        </w:rPr>
        <w:t>, 201</w:t>
      </w:r>
      <w:r w:rsidR="002C41B4" w:rsidRPr="00596EE4">
        <w:rPr>
          <w:b/>
          <w:sz w:val="24"/>
          <w:szCs w:val="24"/>
        </w:rPr>
        <w:t>8</w:t>
      </w:r>
    </w:p>
    <w:p w14:paraId="66533C9F" w14:textId="77777777" w:rsidR="008B2CC1" w:rsidRPr="00596EE4" w:rsidRDefault="008B2CC1" w:rsidP="008B2CC1"/>
    <w:p w14:paraId="22498B96" w14:textId="77777777" w:rsidR="00596EE4" w:rsidRPr="00596EE4" w:rsidRDefault="00596EE4" w:rsidP="008B2CC1"/>
    <w:p w14:paraId="7A7CBB93" w14:textId="77777777" w:rsidR="00596EE4" w:rsidRPr="00596EE4" w:rsidRDefault="00596EE4" w:rsidP="00596EE4">
      <w:pPr>
        <w:rPr>
          <w:szCs w:val="22"/>
        </w:rPr>
      </w:pPr>
    </w:p>
    <w:p w14:paraId="1E34FE8D" w14:textId="77777777" w:rsidR="00596EE4" w:rsidRDefault="00DA71C9" w:rsidP="00596EE4">
      <w:pPr>
        <w:rPr>
          <w:caps/>
          <w:sz w:val="24"/>
        </w:rPr>
      </w:pPr>
      <w:bookmarkStart w:id="2" w:name="_GoBack"/>
      <w:r w:rsidRPr="00DA71C9">
        <w:rPr>
          <w:caps/>
          <w:sz w:val="24"/>
        </w:rPr>
        <w:t>Implementation plan of WIPO Standard ST.27 by Intellectual Property Offices</w:t>
      </w:r>
    </w:p>
    <w:bookmarkEnd w:id="2"/>
    <w:p w14:paraId="72161C58" w14:textId="77777777" w:rsidR="00596EE4" w:rsidRDefault="00596EE4" w:rsidP="00596EE4">
      <w:pPr>
        <w:rPr>
          <w:caps/>
          <w:sz w:val="24"/>
        </w:rPr>
      </w:pPr>
    </w:p>
    <w:p w14:paraId="554A53DA" w14:textId="17F9B091" w:rsidR="00596EE4" w:rsidRDefault="00596EE4" w:rsidP="00596EE4">
      <w:pPr>
        <w:rPr>
          <w:i/>
          <w:szCs w:val="22"/>
        </w:rPr>
      </w:pPr>
      <w:r w:rsidRPr="00596EE4">
        <w:rPr>
          <w:i/>
          <w:szCs w:val="22"/>
        </w:rPr>
        <w:t xml:space="preserve">Document prepared by the </w:t>
      </w:r>
      <w:r w:rsidR="00D17C05">
        <w:rPr>
          <w:i/>
          <w:szCs w:val="22"/>
        </w:rPr>
        <w:t>International Bureau</w:t>
      </w:r>
    </w:p>
    <w:p w14:paraId="1F7FC404" w14:textId="77777777" w:rsidR="004B0E67" w:rsidRPr="00FC37D2" w:rsidRDefault="004B0E67" w:rsidP="00596EE4">
      <w:pPr>
        <w:rPr>
          <w:szCs w:val="22"/>
        </w:rPr>
      </w:pPr>
    </w:p>
    <w:p w14:paraId="038F7D90" w14:textId="77777777" w:rsidR="00596EE4" w:rsidRDefault="00596EE4" w:rsidP="00596EE4">
      <w:pPr>
        <w:rPr>
          <w:szCs w:val="22"/>
        </w:rPr>
      </w:pPr>
    </w:p>
    <w:p w14:paraId="08E1E0AA" w14:textId="464925A6" w:rsidR="00FC37D2" w:rsidRPr="00D232EC" w:rsidRDefault="00FC37D2" w:rsidP="00596EE4">
      <w:pPr>
        <w:rPr>
          <w:szCs w:val="22"/>
          <w:u w:val="single"/>
        </w:rPr>
      </w:pPr>
    </w:p>
    <w:p w14:paraId="7F36358E" w14:textId="77777777" w:rsidR="00D232EC" w:rsidRDefault="00D232EC" w:rsidP="00596EE4">
      <w:pPr>
        <w:rPr>
          <w:szCs w:val="22"/>
        </w:rPr>
      </w:pPr>
    </w:p>
    <w:p w14:paraId="5C74971F" w14:textId="77777777" w:rsidR="00FC37D2" w:rsidRDefault="00FC37D2" w:rsidP="00596EE4">
      <w:pPr>
        <w:rPr>
          <w:szCs w:val="22"/>
        </w:rPr>
      </w:pPr>
    </w:p>
    <w:p w14:paraId="7FD67765" w14:textId="428A76A6" w:rsidR="000532E4" w:rsidRDefault="00D36CD6" w:rsidP="000C52C1">
      <w:pPr>
        <w:pStyle w:val="Heading2"/>
        <w:rPr>
          <w:lang w:eastAsia="ko-KR"/>
        </w:rPr>
      </w:pPr>
      <w:r>
        <w:rPr>
          <w:caps w:val="0"/>
          <w:lang w:eastAsia="ko-KR"/>
        </w:rPr>
        <w:t>INTRODUCTION</w:t>
      </w:r>
    </w:p>
    <w:p w14:paraId="61AF568D" w14:textId="678CE89B" w:rsidR="000C52C1" w:rsidRDefault="000C52C1" w:rsidP="000C52C1">
      <w:pPr>
        <w:pStyle w:val="ONUME"/>
        <w:numPr>
          <w:ilvl w:val="0"/>
          <w:numId w:val="7"/>
        </w:numPr>
      </w:pPr>
      <w:r>
        <w:t>At its fifth session</w:t>
      </w:r>
      <w:r w:rsidRPr="002C5198">
        <w:t xml:space="preserve"> </w:t>
      </w:r>
      <w:r>
        <w:t xml:space="preserve">held from </w:t>
      </w:r>
      <w:r w:rsidRPr="00B660F0">
        <w:t>May 29 to June 2, 2017</w:t>
      </w:r>
      <w:r>
        <w:t xml:space="preserve">, the </w:t>
      </w:r>
      <w:r w:rsidRPr="002C5198">
        <w:t>Committee on WIPO Standards (CWS)</w:t>
      </w:r>
      <w:r>
        <w:t xml:space="preserve"> adopted WIPO Standard ST.27 </w:t>
      </w:r>
      <w:r w:rsidRPr="003767DE">
        <w:t>“Recommendation for the exchange of patent legal status data”</w:t>
      </w:r>
      <w:r w:rsidR="00D17C05">
        <w:t xml:space="preserve"> </w:t>
      </w:r>
      <w:r w:rsidR="002A06CB">
        <w:t xml:space="preserve">(see paragraph 50 </w:t>
      </w:r>
      <w:r>
        <w:t>of document CWS/5/22)</w:t>
      </w:r>
      <w:r w:rsidR="002A06CB">
        <w:t>.</w:t>
      </w:r>
    </w:p>
    <w:p w14:paraId="1E98389D" w14:textId="4B2473D3" w:rsidR="000C52C1" w:rsidRDefault="000C52C1" w:rsidP="000C52C1">
      <w:pPr>
        <w:pStyle w:val="ONUME"/>
        <w:numPr>
          <w:ilvl w:val="0"/>
          <w:numId w:val="7"/>
        </w:numPr>
      </w:pPr>
      <w:r w:rsidRPr="00EA2D45">
        <w:t xml:space="preserve">The CWS requested the Secretariat to issue a circular to invite </w:t>
      </w:r>
      <w:r w:rsidR="00D257F6">
        <w:t>intellectual property offices (</w:t>
      </w:r>
      <w:r w:rsidRPr="00EA2D45">
        <w:t>IPOs</w:t>
      </w:r>
      <w:r w:rsidR="00D257F6">
        <w:t>)</w:t>
      </w:r>
      <w:r w:rsidRPr="00EA2D45">
        <w:t xml:space="preserve"> to assess their business practices and IT systems and review the provisional detailed events which were included in the new WIPO Standard ST.27</w:t>
      </w:r>
      <w:r>
        <w:t xml:space="preserve"> (see paragraph 52 of document CWS/5/22).</w:t>
      </w:r>
    </w:p>
    <w:p w14:paraId="21CD9090" w14:textId="77777777" w:rsidR="002A06CB" w:rsidRDefault="000C52C1" w:rsidP="000C52C1">
      <w:pPr>
        <w:pStyle w:val="ONUME"/>
        <w:numPr>
          <w:ilvl w:val="0"/>
          <w:numId w:val="7"/>
        </w:numPr>
      </w:pPr>
      <w:r>
        <w:t>T</w:t>
      </w:r>
      <w:r w:rsidRPr="00EA2D45">
        <w:t xml:space="preserve">he Secretariat </w:t>
      </w:r>
      <w:r>
        <w:t xml:space="preserve">issued </w:t>
      </w:r>
      <w:r w:rsidRPr="00484C40">
        <w:t xml:space="preserve">Circular C. CWS 92 </w:t>
      </w:r>
      <w:r>
        <w:t xml:space="preserve">on </w:t>
      </w:r>
      <w:r w:rsidRPr="00484C40">
        <w:t>January 25, 2018</w:t>
      </w:r>
      <w:r>
        <w:t>, inviting IPOs to provide the results of</w:t>
      </w:r>
      <w:r w:rsidR="002A06CB">
        <w:t>:</w:t>
      </w:r>
    </w:p>
    <w:p w14:paraId="4E76D42C" w14:textId="17CE701E" w:rsidR="002A06CB" w:rsidRPr="00D36CD6" w:rsidRDefault="000C52C1" w:rsidP="00D36CD6">
      <w:pPr>
        <w:pStyle w:val="ONUME"/>
        <w:tabs>
          <w:tab w:val="num" w:pos="1134"/>
        </w:tabs>
        <w:ind w:left="567"/>
        <w:rPr>
          <w:szCs w:val="22"/>
        </w:rPr>
      </w:pPr>
      <w:r w:rsidRPr="00D36CD6">
        <w:rPr>
          <w:szCs w:val="22"/>
        </w:rPr>
        <w:t xml:space="preserve">(a) the assessment on their business practices and IT systems, including their tentative schedule for the implementation of WIPO Standard ST.27; and </w:t>
      </w:r>
    </w:p>
    <w:p w14:paraId="50C0AD42" w14:textId="213D8C7E" w:rsidR="00D36CD6" w:rsidRDefault="000C52C1" w:rsidP="00D36CD6">
      <w:pPr>
        <w:pStyle w:val="ONUME"/>
        <w:tabs>
          <w:tab w:val="num" w:pos="1134"/>
        </w:tabs>
        <w:ind w:left="567"/>
        <w:rPr>
          <w:szCs w:val="22"/>
        </w:rPr>
      </w:pPr>
      <w:r w:rsidRPr="00D36CD6">
        <w:rPr>
          <w:szCs w:val="22"/>
        </w:rPr>
        <w:t>(b) the review of the provisional detailed events in accordance with their respective laws and practices.</w:t>
      </w:r>
      <w:r w:rsidR="00D36CD6">
        <w:rPr>
          <w:szCs w:val="22"/>
        </w:rPr>
        <w:br w:type="page"/>
      </w:r>
    </w:p>
    <w:p w14:paraId="33D068DC" w14:textId="66AA0AD0" w:rsidR="00016319" w:rsidRDefault="00016319" w:rsidP="00016319">
      <w:pPr>
        <w:pStyle w:val="ONUME"/>
        <w:numPr>
          <w:ilvl w:val="0"/>
          <w:numId w:val="7"/>
        </w:numPr>
      </w:pPr>
      <w:r>
        <w:lastRenderedPageBreak/>
        <w:t>WIPO Standards ST.27 recommends that when implementing this Standard, an announcement be made and the International Bureau of WIPO be informed by providing a mapping table of national/regional events to the events in this Standard on the basis of the model template available in Annex IV</w:t>
      </w:r>
      <w:r w:rsidR="00F21ACB">
        <w:t xml:space="preserve"> of ST.27</w:t>
      </w:r>
      <w:r>
        <w:t>.  Standard ST.27 suggests that the frequency of exchange of legal status data should occur at one month intervals at a minimum, ideally at weekly intervals. (See paragraphs 51 and 53 of Standard ST.27.)</w:t>
      </w:r>
    </w:p>
    <w:p w14:paraId="0AC3AF19" w14:textId="5840DB09" w:rsidR="000C52C1" w:rsidRDefault="0068293A" w:rsidP="000C52C1">
      <w:pPr>
        <w:pStyle w:val="Heading2"/>
      </w:pPr>
      <w:r>
        <w:rPr>
          <w:caps w:val="0"/>
        </w:rPr>
        <w:t>IPOS’ IMPLEMENATION PLAN OF WIPO STANDARD ST.27</w:t>
      </w:r>
    </w:p>
    <w:p w14:paraId="3EDE5796" w14:textId="7E77E539" w:rsidR="00B42CA0" w:rsidRPr="001879B8" w:rsidRDefault="000C52C1" w:rsidP="000C52C1">
      <w:pPr>
        <w:pStyle w:val="ONUME"/>
        <w:numPr>
          <w:ilvl w:val="0"/>
          <w:numId w:val="7"/>
        </w:numPr>
      </w:pPr>
      <w:r w:rsidRPr="001879B8">
        <w:t xml:space="preserve">In response to </w:t>
      </w:r>
      <w:r w:rsidRPr="00484C40">
        <w:t>Circular C. CWS 92</w:t>
      </w:r>
      <w:r>
        <w:t xml:space="preserve">, the following </w:t>
      </w:r>
      <w:r w:rsidR="00124341">
        <w:t xml:space="preserve">11 </w:t>
      </w:r>
      <w:r>
        <w:t>IPOs provided their plan on implementing WIPO Standard ST.27</w:t>
      </w:r>
      <w:r w:rsidR="00B42CA0">
        <w:t>:</w:t>
      </w:r>
    </w:p>
    <w:p w14:paraId="79AE73A4" w14:textId="06C399B5" w:rsidR="00B42CA0" w:rsidRDefault="00B42CA0" w:rsidP="00F02DDF">
      <w:pPr>
        <w:pStyle w:val="ONUME"/>
        <w:numPr>
          <w:ilvl w:val="0"/>
          <w:numId w:val="11"/>
        </w:numPr>
      </w:pPr>
      <w:r>
        <w:t>Australia</w:t>
      </w:r>
      <w:r w:rsidR="00F02DDF">
        <w:t xml:space="preserve"> (AU)</w:t>
      </w:r>
    </w:p>
    <w:p w14:paraId="3A4E8C26" w14:textId="442523DE" w:rsidR="00B42CA0" w:rsidRDefault="00B42CA0" w:rsidP="00F02DDF">
      <w:pPr>
        <w:pStyle w:val="ONUME"/>
        <w:numPr>
          <w:ilvl w:val="0"/>
          <w:numId w:val="11"/>
        </w:numPr>
      </w:pPr>
      <w:r w:rsidRPr="00B42CA0">
        <w:t>China</w:t>
      </w:r>
      <w:r w:rsidR="00F02DDF">
        <w:t xml:space="preserve"> (CN)</w:t>
      </w:r>
    </w:p>
    <w:p w14:paraId="4D7058FD" w14:textId="59EA549F" w:rsidR="00944215" w:rsidRDefault="00944215" w:rsidP="00F02DDF">
      <w:pPr>
        <w:pStyle w:val="ONUME"/>
        <w:numPr>
          <w:ilvl w:val="0"/>
          <w:numId w:val="11"/>
        </w:numPr>
      </w:pPr>
      <w:r>
        <w:t>Colombia</w:t>
      </w:r>
      <w:r w:rsidR="00F02DDF">
        <w:t xml:space="preserve"> (CO)</w:t>
      </w:r>
    </w:p>
    <w:p w14:paraId="2DBBF9D1" w14:textId="4817ED46" w:rsidR="00B42CA0" w:rsidRPr="00B42CA0" w:rsidRDefault="00B42CA0" w:rsidP="00F02DDF">
      <w:pPr>
        <w:pStyle w:val="ONUME"/>
        <w:numPr>
          <w:ilvl w:val="0"/>
          <w:numId w:val="11"/>
        </w:numPr>
      </w:pPr>
      <w:r>
        <w:t>Czechia</w:t>
      </w:r>
      <w:r w:rsidR="00F02DDF">
        <w:t xml:space="preserve"> (CZ)</w:t>
      </w:r>
    </w:p>
    <w:p w14:paraId="726359EE" w14:textId="17A3A866" w:rsidR="00B42CA0" w:rsidRPr="00B42CA0" w:rsidRDefault="00B42CA0" w:rsidP="00F02DDF">
      <w:pPr>
        <w:pStyle w:val="ONUME"/>
        <w:numPr>
          <w:ilvl w:val="0"/>
          <w:numId w:val="11"/>
        </w:numPr>
      </w:pPr>
      <w:r w:rsidRPr="00B42CA0">
        <w:t>Germany</w:t>
      </w:r>
      <w:r w:rsidR="00F02DDF">
        <w:t xml:space="preserve"> (DE</w:t>
      </w:r>
    </w:p>
    <w:p w14:paraId="687DEE47" w14:textId="6FC49C5B" w:rsidR="00B42CA0" w:rsidRPr="00944215" w:rsidRDefault="00B42CA0" w:rsidP="00F02DDF">
      <w:pPr>
        <w:pStyle w:val="ONUME"/>
        <w:numPr>
          <w:ilvl w:val="0"/>
          <w:numId w:val="11"/>
        </w:numPr>
      </w:pPr>
      <w:r w:rsidRPr="00944215">
        <w:t>Eurasian Patent Organization</w:t>
      </w:r>
      <w:r w:rsidR="00F02DDF">
        <w:t xml:space="preserve"> (EA)</w:t>
      </w:r>
    </w:p>
    <w:p w14:paraId="729BC4C4" w14:textId="01691771" w:rsidR="00B42CA0" w:rsidRPr="001367D4" w:rsidRDefault="00B42CA0" w:rsidP="00F02DDF">
      <w:pPr>
        <w:pStyle w:val="ONUME"/>
        <w:numPr>
          <w:ilvl w:val="0"/>
          <w:numId w:val="11"/>
        </w:numPr>
      </w:pPr>
      <w:r w:rsidRPr="001367D4">
        <w:t>Republic of Korea</w:t>
      </w:r>
      <w:r w:rsidR="00F02DDF">
        <w:t xml:space="preserve"> (KR)</w:t>
      </w:r>
    </w:p>
    <w:p w14:paraId="5CD89115" w14:textId="64BD00D9" w:rsidR="00B42CA0" w:rsidRPr="00B42CA0" w:rsidRDefault="00B42CA0" w:rsidP="00F02DDF">
      <w:pPr>
        <w:pStyle w:val="ONUME"/>
        <w:numPr>
          <w:ilvl w:val="0"/>
          <w:numId w:val="11"/>
        </w:numPr>
      </w:pPr>
      <w:r w:rsidRPr="00B42CA0">
        <w:t>Russian Federation</w:t>
      </w:r>
      <w:r w:rsidR="00F02DDF">
        <w:t xml:space="preserve"> (RU)</w:t>
      </w:r>
    </w:p>
    <w:p w14:paraId="7B42B275" w14:textId="1DB290F0" w:rsidR="00B42CA0" w:rsidRDefault="00B42CA0" w:rsidP="00F02DDF">
      <w:pPr>
        <w:pStyle w:val="ONUME"/>
        <w:numPr>
          <w:ilvl w:val="0"/>
          <w:numId w:val="11"/>
        </w:numPr>
      </w:pPr>
      <w:r w:rsidRPr="00B42CA0">
        <w:t>Ukraine</w:t>
      </w:r>
      <w:r w:rsidR="00F02DDF">
        <w:t xml:space="preserve"> (UA)</w:t>
      </w:r>
    </w:p>
    <w:p w14:paraId="170736B2" w14:textId="1573C6AF" w:rsidR="001367D4" w:rsidRPr="00944215" w:rsidRDefault="001367D4" w:rsidP="00F02DDF">
      <w:pPr>
        <w:pStyle w:val="ONUME"/>
        <w:numPr>
          <w:ilvl w:val="0"/>
          <w:numId w:val="11"/>
        </w:numPr>
      </w:pPr>
      <w:r>
        <w:t>United Kingdom</w:t>
      </w:r>
      <w:r w:rsidR="00F02DDF">
        <w:t xml:space="preserve"> (GB)</w:t>
      </w:r>
    </w:p>
    <w:p w14:paraId="69D97C04" w14:textId="4974BD87" w:rsidR="00944215" w:rsidRDefault="00944215" w:rsidP="00F02DDF">
      <w:pPr>
        <w:pStyle w:val="ONUME"/>
        <w:numPr>
          <w:ilvl w:val="0"/>
          <w:numId w:val="11"/>
        </w:numPr>
      </w:pPr>
      <w:r>
        <w:t>United States of America</w:t>
      </w:r>
      <w:r w:rsidR="00F02DDF">
        <w:t xml:space="preserve"> (US)</w:t>
      </w:r>
    </w:p>
    <w:p w14:paraId="68D7EBB1" w14:textId="5590453F" w:rsidR="00F45CC2" w:rsidRPr="00F45CC2" w:rsidRDefault="001367D4" w:rsidP="00F0045D">
      <w:pPr>
        <w:pStyle w:val="ONUME"/>
        <w:numPr>
          <w:ilvl w:val="0"/>
          <w:numId w:val="7"/>
        </w:numPr>
        <w:rPr>
          <w:rFonts w:eastAsia="Batang"/>
          <w:lang w:eastAsia="ko-KR"/>
        </w:rPr>
      </w:pPr>
      <w:r w:rsidRPr="00F45CC2">
        <w:rPr>
          <w:rFonts w:eastAsia="Batang"/>
          <w:lang w:eastAsia="ko-KR"/>
        </w:rPr>
        <w:t xml:space="preserve">With respect to the </w:t>
      </w:r>
      <w:r w:rsidR="00D17DE1" w:rsidRPr="00F45CC2">
        <w:rPr>
          <w:rFonts w:eastAsia="Batang"/>
          <w:lang w:eastAsia="ko-KR"/>
        </w:rPr>
        <w:t xml:space="preserve">assessment of </w:t>
      </w:r>
      <w:r w:rsidR="00F02DDF" w:rsidRPr="00F45CC2">
        <w:rPr>
          <w:rFonts w:eastAsia="Batang"/>
          <w:lang w:eastAsia="ko-KR"/>
        </w:rPr>
        <w:t xml:space="preserve">IPOs’ </w:t>
      </w:r>
      <w:r w:rsidR="00D17DE1" w:rsidRPr="00F45CC2">
        <w:rPr>
          <w:rFonts w:eastAsia="Batang"/>
          <w:lang w:eastAsia="ko-KR"/>
        </w:rPr>
        <w:t>business practices and IT systems, and the</w:t>
      </w:r>
      <w:r w:rsidRPr="00F45CC2">
        <w:rPr>
          <w:rFonts w:eastAsia="Batang"/>
          <w:lang w:eastAsia="ko-KR"/>
        </w:rPr>
        <w:t>ir</w:t>
      </w:r>
      <w:r w:rsidR="00D17DE1" w:rsidRPr="00F45CC2">
        <w:rPr>
          <w:rFonts w:eastAsia="Batang"/>
          <w:lang w:eastAsia="ko-KR"/>
        </w:rPr>
        <w:t xml:space="preserve"> tentative schedule for implementation of </w:t>
      </w:r>
      <w:r w:rsidRPr="00F45CC2">
        <w:rPr>
          <w:rFonts w:eastAsia="Batang"/>
          <w:lang w:eastAsia="ko-KR"/>
        </w:rPr>
        <w:t xml:space="preserve">Standard ST.27, </w:t>
      </w:r>
      <w:r w:rsidR="00F02DDF" w:rsidRPr="00F45CC2">
        <w:rPr>
          <w:rFonts w:eastAsia="Batang"/>
          <w:lang w:eastAsia="ko-KR"/>
        </w:rPr>
        <w:t xml:space="preserve">the </w:t>
      </w:r>
      <w:r w:rsidRPr="00F45CC2">
        <w:rPr>
          <w:rFonts w:eastAsia="Batang"/>
          <w:lang w:eastAsia="ko-KR"/>
        </w:rPr>
        <w:t>responses from most IPOs indicate</w:t>
      </w:r>
      <w:r w:rsidR="007C121E" w:rsidRPr="00F45CC2">
        <w:rPr>
          <w:rFonts w:eastAsia="Batang"/>
          <w:lang w:eastAsia="ko-KR"/>
        </w:rPr>
        <w:t>d</w:t>
      </w:r>
      <w:r w:rsidRPr="00F45CC2">
        <w:rPr>
          <w:rFonts w:eastAsia="Batang"/>
          <w:lang w:eastAsia="ko-KR"/>
        </w:rPr>
        <w:t xml:space="preserve"> that they need to conduct further internal analysis before a timeline for implementation </w:t>
      </w:r>
      <w:r w:rsidR="007C121E" w:rsidRPr="00F45CC2">
        <w:rPr>
          <w:rFonts w:eastAsia="Batang"/>
          <w:lang w:eastAsia="ko-KR"/>
        </w:rPr>
        <w:t>could</w:t>
      </w:r>
      <w:r w:rsidRPr="00F45CC2">
        <w:rPr>
          <w:rFonts w:eastAsia="Batang"/>
          <w:lang w:eastAsia="ko-KR"/>
        </w:rPr>
        <w:t xml:space="preserve"> be communicated.  </w:t>
      </w:r>
      <w:r w:rsidR="004141DF" w:rsidRPr="00F45CC2">
        <w:rPr>
          <w:rFonts w:eastAsia="Batang"/>
          <w:lang w:eastAsia="ko-KR"/>
        </w:rPr>
        <w:t xml:space="preserve">The following IPOs have indicated that further </w:t>
      </w:r>
      <w:r w:rsidR="001C2D1B">
        <w:rPr>
          <w:rFonts w:eastAsia="Batang"/>
          <w:lang w:eastAsia="ko-KR"/>
        </w:rPr>
        <w:t xml:space="preserve">internal </w:t>
      </w:r>
      <w:r w:rsidR="004141DF" w:rsidRPr="00F45CC2">
        <w:rPr>
          <w:rFonts w:eastAsia="Batang"/>
          <w:lang w:eastAsia="ko-KR"/>
        </w:rPr>
        <w:t xml:space="preserve">analysis is required before implementation timelines can be finalized: </w:t>
      </w:r>
      <w:r w:rsidR="00E96CD1" w:rsidRPr="00F45CC2">
        <w:rPr>
          <w:rFonts w:eastAsia="Batang"/>
          <w:lang w:eastAsia="ko-KR"/>
        </w:rPr>
        <w:t>AU, CN, CZ, DE, RU, UA and US</w:t>
      </w:r>
      <w:r w:rsidR="005A7CBF">
        <w:rPr>
          <w:rFonts w:eastAsia="Batang"/>
          <w:lang w:eastAsia="ko-KR"/>
        </w:rPr>
        <w:t>.</w:t>
      </w:r>
    </w:p>
    <w:p w14:paraId="46CAF0E4" w14:textId="15190C44" w:rsidR="00E96CD1" w:rsidRDefault="00F45CC2" w:rsidP="0079469E">
      <w:pPr>
        <w:pStyle w:val="ONUME"/>
        <w:numPr>
          <w:ilvl w:val="0"/>
          <w:numId w:val="7"/>
        </w:numPr>
        <w:rPr>
          <w:rFonts w:eastAsia="Batang"/>
          <w:lang w:eastAsia="ko-KR"/>
        </w:rPr>
      </w:pPr>
      <w:r>
        <w:rPr>
          <w:rFonts w:eastAsia="Batang"/>
          <w:lang w:eastAsia="ko-KR"/>
        </w:rPr>
        <w:t xml:space="preserve">Although they need more time to analyze the impact of implementation </w:t>
      </w:r>
      <w:r w:rsidR="001C2D1B">
        <w:rPr>
          <w:rFonts w:eastAsia="Batang"/>
          <w:lang w:eastAsia="ko-KR"/>
        </w:rPr>
        <w:t xml:space="preserve">of Standard ST.27 </w:t>
      </w:r>
      <w:r>
        <w:rPr>
          <w:rFonts w:eastAsia="Batang"/>
          <w:lang w:eastAsia="ko-KR"/>
        </w:rPr>
        <w:t xml:space="preserve">on their business and IT systems, several </w:t>
      </w:r>
      <w:r w:rsidR="00141F21">
        <w:rPr>
          <w:rFonts w:eastAsia="Batang"/>
          <w:lang w:eastAsia="ko-KR"/>
        </w:rPr>
        <w:t>IPOs provided preliminary estimate</w:t>
      </w:r>
      <w:r w:rsidR="007C121E">
        <w:rPr>
          <w:rFonts w:eastAsia="Batang"/>
          <w:lang w:eastAsia="ko-KR"/>
        </w:rPr>
        <w:t>s of implementation timeframes</w:t>
      </w:r>
      <w:r>
        <w:rPr>
          <w:rFonts w:eastAsia="Batang"/>
          <w:lang w:eastAsia="ko-KR"/>
        </w:rPr>
        <w:t xml:space="preserve"> which range from one to five years</w:t>
      </w:r>
      <w:r w:rsidR="007C121E">
        <w:rPr>
          <w:rFonts w:eastAsia="Batang"/>
          <w:lang w:eastAsia="ko-KR"/>
        </w:rPr>
        <w:t xml:space="preserve">: </w:t>
      </w:r>
    </w:p>
    <w:p w14:paraId="14BABF36" w14:textId="193D4D11" w:rsidR="00F45CC2" w:rsidRDefault="00F45CC2" w:rsidP="00DE01CA">
      <w:pPr>
        <w:pStyle w:val="ONUME"/>
        <w:numPr>
          <w:ilvl w:val="0"/>
          <w:numId w:val="13"/>
        </w:numPr>
        <w:rPr>
          <w:rFonts w:eastAsia="Batang"/>
          <w:lang w:eastAsia="ko-KR"/>
        </w:rPr>
      </w:pPr>
      <w:r>
        <w:rPr>
          <w:rFonts w:eastAsia="Batang"/>
          <w:lang w:eastAsia="ko-KR"/>
        </w:rPr>
        <w:t>C</w:t>
      </w:r>
      <w:r w:rsidR="00DE01CA">
        <w:rPr>
          <w:rFonts w:eastAsia="Batang"/>
          <w:lang w:eastAsia="ko-KR"/>
        </w:rPr>
        <w:t>O -</w:t>
      </w:r>
      <w:r>
        <w:rPr>
          <w:rFonts w:eastAsia="Batang"/>
          <w:lang w:eastAsia="ko-KR"/>
        </w:rPr>
        <w:t xml:space="preserve"> intends to implement Standard ST.</w:t>
      </w:r>
      <w:r w:rsidR="00DE01CA">
        <w:rPr>
          <w:rFonts w:eastAsia="Batang"/>
          <w:lang w:eastAsia="ko-KR"/>
        </w:rPr>
        <w:t>27 in 2018;</w:t>
      </w:r>
      <w:r>
        <w:rPr>
          <w:rFonts w:eastAsia="Batang"/>
          <w:lang w:eastAsia="ko-KR"/>
        </w:rPr>
        <w:t xml:space="preserve"> </w:t>
      </w:r>
    </w:p>
    <w:p w14:paraId="0FC33866" w14:textId="66823008" w:rsidR="00DE01CA" w:rsidRDefault="00DE01CA" w:rsidP="00DE01CA">
      <w:pPr>
        <w:pStyle w:val="ONUME"/>
        <w:numPr>
          <w:ilvl w:val="0"/>
          <w:numId w:val="13"/>
        </w:numPr>
        <w:rPr>
          <w:rFonts w:eastAsia="Batang"/>
          <w:lang w:eastAsia="ko-KR"/>
        </w:rPr>
      </w:pPr>
      <w:r>
        <w:rPr>
          <w:rFonts w:eastAsia="Batang"/>
          <w:lang w:eastAsia="ko-KR"/>
        </w:rPr>
        <w:t xml:space="preserve">EA - intends to start implementing ST.27 in 2019 and enter production in 2020;  </w:t>
      </w:r>
    </w:p>
    <w:p w14:paraId="3206AD0E" w14:textId="2890E4D5" w:rsidR="00DE01CA" w:rsidRDefault="00DE01CA" w:rsidP="00DE01CA">
      <w:pPr>
        <w:pStyle w:val="ONUME"/>
        <w:numPr>
          <w:ilvl w:val="0"/>
          <w:numId w:val="13"/>
        </w:numPr>
        <w:rPr>
          <w:rFonts w:eastAsia="Batang"/>
          <w:lang w:eastAsia="ko-KR"/>
        </w:rPr>
      </w:pPr>
      <w:r>
        <w:rPr>
          <w:rFonts w:eastAsia="Batang"/>
          <w:lang w:eastAsia="ko-KR"/>
        </w:rPr>
        <w:t xml:space="preserve">GB </w:t>
      </w:r>
      <w:r w:rsidR="005A7CBF">
        <w:rPr>
          <w:rFonts w:eastAsia="Batang"/>
          <w:lang w:eastAsia="ko-KR"/>
        </w:rPr>
        <w:t>-</w:t>
      </w:r>
      <w:r>
        <w:rPr>
          <w:rFonts w:eastAsia="Batang"/>
          <w:lang w:eastAsia="ko-KR"/>
        </w:rPr>
        <w:t xml:space="preserve"> plans to embed the legal status events included in ST.27 as part of a broader business transformation scheduled over the next 3 to 5 years; and </w:t>
      </w:r>
    </w:p>
    <w:p w14:paraId="169044B8" w14:textId="44342897" w:rsidR="00F0045D" w:rsidRPr="00FC6E2F" w:rsidRDefault="00DE01CA" w:rsidP="00FC6E2F">
      <w:pPr>
        <w:pStyle w:val="ONUME"/>
        <w:numPr>
          <w:ilvl w:val="0"/>
          <w:numId w:val="13"/>
        </w:numPr>
        <w:rPr>
          <w:rFonts w:eastAsia="Batang"/>
          <w:lang w:eastAsia="ko-KR"/>
        </w:rPr>
      </w:pPr>
      <w:r>
        <w:rPr>
          <w:rFonts w:eastAsia="Batang"/>
          <w:lang w:eastAsia="ko-KR"/>
        </w:rPr>
        <w:t xml:space="preserve">KR - </w:t>
      </w:r>
      <w:r w:rsidR="00141F21">
        <w:rPr>
          <w:rFonts w:eastAsia="Batang"/>
          <w:lang w:eastAsia="ko-KR"/>
        </w:rPr>
        <w:t>do</w:t>
      </w:r>
      <w:r w:rsidR="00E96CD1">
        <w:rPr>
          <w:rFonts w:eastAsia="Batang"/>
          <w:lang w:eastAsia="ko-KR"/>
        </w:rPr>
        <w:t>es</w:t>
      </w:r>
      <w:r w:rsidR="00141F21">
        <w:rPr>
          <w:rFonts w:eastAsia="Batang"/>
          <w:lang w:eastAsia="ko-KR"/>
        </w:rPr>
        <w:t xml:space="preserve"> not expect to be able to provide legal status data in conformity with ST.27</w:t>
      </w:r>
      <w:r w:rsidR="007C121E">
        <w:rPr>
          <w:rFonts w:eastAsia="Batang"/>
          <w:lang w:eastAsia="ko-KR"/>
        </w:rPr>
        <w:t xml:space="preserve"> until at least the end of 2019</w:t>
      </w:r>
      <w:r>
        <w:rPr>
          <w:rFonts w:eastAsia="Batang"/>
          <w:lang w:eastAsia="ko-KR"/>
        </w:rPr>
        <w:t>.</w:t>
      </w:r>
    </w:p>
    <w:p w14:paraId="6E9FC759" w14:textId="4F2860BA" w:rsidR="00F45CC2" w:rsidRDefault="00771B48" w:rsidP="00F45CC2">
      <w:pPr>
        <w:pStyle w:val="ONUME"/>
        <w:numPr>
          <w:ilvl w:val="0"/>
          <w:numId w:val="7"/>
        </w:numPr>
        <w:rPr>
          <w:rFonts w:eastAsia="Batang"/>
          <w:lang w:eastAsia="ko-KR"/>
        </w:rPr>
      </w:pPr>
      <w:r>
        <w:rPr>
          <w:rFonts w:eastAsia="Batang"/>
          <w:lang w:eastAsia="ko-KR"/>
        </w:rPr>
        <w:t>Furthermore, s</w:t>
      </w:r>
      <w:r w:rsidR="00F45CC2">
        <w:rPr>
          <w:rFonts w:eastAsia="Batang"/>
          <w:lang w:eastAsia="ko-KR"/>
        </w:rPr>
        <w:t>ome IPOs indicated that implementation is dependent on finalizing the XML schema components for patent legal status bas</w:t>
      </w:r>
      <w:r w:rsidR="005678F1">
        <w:rPr>
          <w:rFonts w:eastAsia="Batang"/>
          <w:lang w:eastAsia="ko-KR"/>
        </w:rPr>
        <w:t xml:space="preserve">ed on WIPO Standards ST.27 and </w:t>
      </w:r>
      <w:r w:rsidR="00F45CC2">
        <w:rPr>
          <w:rFonts w:eastAsia="Batang"/>
          <w:lang w:eastAsia="ko-KR"/>
        </w:rPr>
        <w:t>ST.96 before implementation can be pursued.  Another obstacle to implementation identified by some of the IPOs was competing internal priorities and/or upc</w:t>
      </w:r>
      <w:r w:rsidR="005678F1">
        <w:rPr>
          <w:rFonts w:eastAsia="Batang"/>
          <w:lang w:eastAsia="ko-KR"/>
        </w:rPr>
        <w:t>oming business and IT changes.</w:t>
      </w:r>
    </w:p>
    <w:p w14:paraId="52A9452F" w14:textId="23A0D984" w:rsidR="00124341" w:rsidRDefault="0068293A" w:rsidP="00FC6E2F">
      <w:pPr>
        <w:pStyle w:val="Heading2"/>
        <w:rPr>
          <w:lang w:eastAsia="ko-KR"/>
        </w:rPr>
      </w:pPr>
      <w:r>
        <w:rPr>
          <w:caps w:val="0"/>
          <w:lang w:eastAsia="ko-KR"/>
        </w:rPr>
        <w:lastRenderedPageBreak/>
        <w:t>MAPPING NATIONAL/REGIONAL EVENTS TO STANDARD ST.27</w:t>
      </w:r>
    </w:p>
    <w:p w14:paraId="3D4A1AB8" w14:textId="066B6D61" w:rsidR="00F21ACB" w:rsidRPr="005678F1" w:rsidRDefault="00F21ACB" w:rsidP="005678F1">
      <w:pPr>
        <w:pStyle w:val="ONUME"/>
        <w:numPr>
          <w:ilvl w:val="0"/>
          <w:numId w:val="7"/>
        </w:numPr>
        <w:rPr>
          <w:rFonts w:eastAsia="Batang"/>
          <w:lang w:eastAsia="ko-KR"/>
        </w:rPr>
      </w:pPr>
      <w:r w:rsidRPr="005678F1">
        <w:rPr>
          <w:rFonts w:eastAsia="Batang"/>
          <w:lang w:eastAsia="ko-KR"/>
        </w:rPr>
        <w:t xml:space="preserve">As recommended in </w:t>
      </w:r>
      <w:r w:rsidR="005678F1" w:rsidRPr="005678F1">
        <w:rPr>
          <w:rFonts w:eastAsia="Batang"/>
          <w:lang w:eastAsia="ko-KR"/>
        </w:rPr>
        <w:t xml:space="preserve">WIPO </w:t>
      </w:r>
      <w:r w:rsidRPr="005678F1">
        <w:rPr>
          <w:rFonts w:eastAsia="Batang"/>
          <w:lang w:eastAsia="ko-KR"/>
        </w:rPr>
        <w:t xml:space="preserve">Standard ST.27, the implementation of WIPO Standard ST.27 requires IPOs to map their national/regional events to the Standard Events or at the very least to the Standard Categories.  Annex IV of WIPO Standard ST.27 provides a model template for the mapping.  When completing their mapping table, IPOs are encouraged to provide a title and description of their national/regional events in their original language and in English so that users can obtain more information about the specific national/regional event. </w:t>
      </w:r>
    </w:p>
    <w:p w14:paraId="1EFF32EC" w14:textId="166C5E64" w:rsidR="00F21ACB" w:rsidRPr="005678F1" w:rsidRDefault="00F21ACB" w:rsidP="005678F1">
      <w:pPr>
        <w:pStyle w:val="ONUME"/>
        <w:numPr>
          <w:ilvl w:val="0"/>
          <w:numId w:val="7"/>
        </w:numPr>
        <w:rPr>
          <w:rFonts w:eastAsia="Batang"/>
          <w:lang w:eastAsia="ko-KR"/>
        </w:rPr>
      </w:pPr>
      <w:r w:rsidRPr="005678F1">
        <w:rPr>
          <w:rFonts w:eastAsia="Batang"/>
          <w:lang w:eastAsia="ko-KR"/>
        </w:rPr>
        <w:t>In response to the Circular</w:t>
      </w:r>
      <w:r w:rsidR="00737ABE" w:rsidRPr="005678F1">
        <w:rPr>
          <w:rFonts w:eastAsia="Batang"/>
          <w:lang w:eastAsia="ko-KR"/>
        </w:rPr>
        <w:t xml:space="preserve"> </w:t>
      </w:r>
      <w:r w:rsidRPr="005678F1">
        <w:rPr>
          <w:rFonts w:eastAsia="Batang"/>
          <w:lang w:eastAsia="ko-KR"/>
        </w:rPr>
        <w:t xml:space="preserve">mentioned above, as a participation in </w:t>
      </w:r>
      <w:r w:rsidR="005678F1" w:rsidRPr="005678F1">
        <w:rPr>
          <w:rFonts w:eastAsia="Batang"/>
          <w:lang w:eastAsia="ko-KR"/>
        </w:rPr>
        <w:t xml:space="preserve">the Legal Status activity, and </w:t>
      </w:r>
      <w:r w:rsidRPr="005678F1">
        <w:rPr>
          <w:rFonts w:eastAsia="Batang"/>
          <w:lang w:eastAsia="ko-KR"/>
        </w:rPr>
        <w:t>as the outcome of collaborati</w:t>
      </w:r>
      <w:r w:rsidR="001C2D1B">
        <w:rPr>
          <w:rFonts w:eastAsia="Batang"/>
          <w:lang w:eastAsia="ko-KR"/>
        </w:rPr>
        <w:t>on with regard to mapping of t</w:t>
      </w:r>
      <w:r w:rsidR="001C2D1B" w:rsidRPr="003B6F34">
        <w:t xml:space="preserve">he national or regional </w:t>
      </w:r>
      <w:r w:rsidR="001C2D1B">
        <w:t xml:space="preserve">patent legal status </w:t>
      </w:r>
      <w:r w:rsidR="001C2D1B" w:rsidRPr="003B6F34">
        <w:t>events included in the International Patent Documentation (INPADOC) data</w:t>
      </w:r>
      <w:r w:rsidR="001C2D1B">
        <w:t>base</w:t>
      </w:r>
      <w:r w:rsidR="001C2D1B">
        <w:rPr>
          <w:rFonts w:eastAsia="Batang"/>
          <w:lang w:eastAsia="ko-KR"/>
        </w:rPr>
        <w:t>,</w:t>
      </w:r>
      <w:r w:rsidRPr="005678F1">
        <w:rPr>
          <w:rFonts w:eastAsia="Batang"/>
          <w:lang w:eastAsia="ko-KR"/>
        </w:rPr>
        <w:t xml:space="preserve"> mapping tables from the following 12 IPOs were </w:t>
      </w:r>
      <w:r w:rsidR="001C2D1B">
        <w:rPr>
          <w:rFonts w:eastAsia="Batang"/>
          <w:lang w:eastAsia="ko-KR"/>
        </w:rPr>
        <w:t>gathered</w:t>
      </w:r>
      <w:r w:rsidRPr="005678F1">
        <w:rPr>
          <w:rFonts w:eastAsia="Batang"/>
          <w:lang w:eastAsia="ko-KR"/>
        </w:rPr>
        <w:t>: CA, CN, DE, EA, EP, FR, GB, JP, KR, RU, UA and US</w:t>
      </w:r>
      <w:r w:rsidR="00347C04">
        <w:rPr>
          <w:rFonts w:eastAsia="Batang"/>
          <w:lang w:eastAsia="ko-KR"/>
        </w:rPr>
        <w:t xml:space="preserve"> (see paragraph 9 of document CWS/6/11).</w:t>
      </w:r>
    </w:p>
    <w:p w14:paraId="3F515D14" w14:textId="24647E16" w:rsidR="00F21ACB" w:rsidRPr="005678F1" w:rsidRDefault="00F21ACB" w:rsidP="005678F1">
      <w:pPr>
        <w:pStyle w:val="ONUME"/>
        <w:numPr>
          <w:ilvl w:val="0"/>
          <w:numId w:val="7"/>
        </w:numPr>
        <w:rPr>
          <w:rFonts w:eastAsia="Batang"/>
          <w:lang w:eastAsia="ko-KR"/>
        </w:rPr>
      </w:pPr>
      <w:r w:rsidRPr="005678F1">
        <w:rPr>
          <w:rFonts w:eastAsia="Batang"/>
          <w:lang w:eastAsia="ko-KR"/>
        </w:rPr>
        <w:t>The International Bureau prepared a draft consolidated mapping table, which include</w:t>
      </w:r>
      <w:r w:rsidR="005A7CBF">
        <w:rPr>
          <w:rFonts w:eastAsia="Batang"/>
          <w:lang w:eastAsia="ko-KR"/>
        </w:rPr>
        <w:t>s</w:t>
      </w:r>
      <w:r w:rsidR="002F2B7E" w:rsidRPr="005678F1">
        <w:rPr>
          <w:rFonts w:eastAsia="Batang"/>
          <w:lang w:eastAsia="ko-KR"/>
        </w:rPr>
        <w:t xml:space="preserve"> the information</w:t>
      </w:r>
      <w:r w:rsidRPr="005678F1">
        <w:rPr>
          <w:rFonts w:eastAsia="Batang"/>
          <w:lang w:eastAsia="ko-KR"/>
        </w:rPr>
        <w:t xml:space="preserve"> received from the aforementioned IPOs</w:t>
      </w:r>
      <w:r w:rsidR="002F2B7E" w:rsidRPr="005678F1">
        <w:rPr>
          <w:rFonts w:eastAsia="Batang"/>
          <w:lang w:eastAsia="ko-KR"/>
        </w:rPr>
        <w:t xml:space="preserve">.  </w:t>
      </w:r>
      <w:r w:rsidRPr="005678F1">
        <w:rPr>
          <w:rFonts w:eastAsia="Batang"/>
          <w:lang w:eastAsia="ko-KR"/>
        </w:rPr>
        <w:t>Mapping tables may be refine</w:t>
      </w:r>
      <w:r w:rsidR="002F2B7E" w:rsidRPr="005678F1">
        <w:rPr>
          <w:rFonts w:eastAsia="Batang"/>
          <w:lang w:eastAsia="ko-KR"/>
        </w:rPr>
        <w:t xml:space="preserve">d as </w:t>
      </w:r>
      <w:r w:rsidR="005A7CBF">
        <w:rPr>
          <w:rFonts w:eastAsia="Batang"/>
          <w:lang w:eastAsia="ko-KR"/>
        </w:rPr>
        <w:t xml:space="preserve">WIPO </w:t>
      </w:r>
      <w:r w:rsidR="002F2B7E" w:rsidRPr="005678F1">
        <w:rPr>
          <w:rFonts w:eastAsia="Batang"/>
          <w:lang w:eastAsia="ko-KR"/>
        </w:rPr>
        <w:t>Standard ST.27 is revised and IPOs further review their mapping according to the Guidance Document or any other reasons in due course</w:t>
      </w:r>
      <w:r w:rsidRPr="005678F1">
        <w:rPr>
          <w:rFonts w:eastAsia="Batang"/>
          <w:lang w:eastAsia="ko-KR"/>
        </w:rPr>
        <w:t xml:space="preserve">. </w:t>
      </w:r>
      <w:r w:rsidR="002F2B7E" w:rsidRPr="005678F1">
        <w:rPr>
          <w:rFonts w:eastAsia="Batang"/>
          <w:lang w:eastAsia="ko-KR"/>
        </w:rPr>
        <w:t xml:space="preserve"> The draft mapping tables are reproduced as the Annex to this document</w:t>
      </w:r>
      <w:r w:rsidR="005678F1">
        <w:rPr>
          <w:rFonts w:eastAsia="Batang"/>
          <w:lang w:eastAsia="ko-KR"/>
        </w:rPr>
        <w:t xml:space="preserve"> for consideration by the CWS.</w:t>
      </w:r>
    </w:p>
    <w:p w14:paraId="2EA641BA" w14:textId="76F230F8" w:rsidR="00737ABE" w:rsidRPr="005678F1" w:rsidRDefault="00737ABE" w:rsidP="005678F1">
      <w:pPr>
        <w:pStyle w:val="ONUME"/>
        <w:numPr>
          <w:ilvl w:val="0"/>
          <w:numId w:val="7"/>
        </w:numPr>
        <w:rPr>
          <w:rFonts w:eastAsia="Batang"/>
          <w:lang w:eastAsia="ko-KR"/>
        </w:rPr>
      </w:pPr>
      <w:r w:rsidRPr="005678F1">
        <w:rPr>
          <w:rFonts w:eastAsia="Batang"/>
          <w:lang w:eastAsia="ko-KR"/>
        </w:rPr>
        <w:t>The International Bureau plans to publish</w:t>
      </w:r>
      <w:r w:rsidR="00C87D82">
        <w:rPr>
          <w:rFonts w:eastAsia="Batang"/>
          <w:lang w:eastAsia="ko-KR"/>
        </w:rPr>
        <w:t xml:space="preserve"> </w:t>
      </w:r>
      <w:r w:rsidRPr="005678F1">
        <w:rPr>
          <w:rFonts w:eastAsia="Batang"/>
          <w:lang w:eastAsia="ko-KR"/>
        </w:rPr>
        <w:t xml:space="preserve">the </w:t>
      </w:r>
      <w:r w:rsidR="002F2B7E" w:rsidRPr="005678F1">
        <w:rPr>
          <w:rFonts w:eastAsia="Batang"/>
          <w:lang w:eastAsia="ko-KR"/>
        </w:rPr>
        <w:t xml:space="preserve">consolidated </w:t>
      </w:r>
      <w:r w:rsidRPr="005678F1">
        <w:rPr>
          <w:rFonts w:eastAsia="Batang"/>
          <w:lang w:eastAsia="ko-KR"/>
        </w:rPr>
        <w:t>mapping tables of IPOs</w:t>
      </w:r>
      <w:r w:rsidR="005A7CBF" w:rsidRPr="005678F1">
        <w:rPr>
          <w:rFonts w:eastAsia="Batang"/>
          <w:lang w:eastAsia="ko-KR"/>
        </w:rPr>
        <w:t xml:space="preserve"> on the </w:t>
      </w:r>
      <w:r w:rsidR="005A7CBF">
        <w:rPr>
          <w:rFonts w:eastAsia="Batang"/>
          <w:lang w:eastAsia="ko-KR"/>
        </w:rPr>
        <w:t xml:space="preserve">WIPO </w:t>
      </w:r>
      <w:r w:rsidR="005A7CBF" w:rsidRPr="005678F1">
        <w:rPr>
          <w:rFonts w:eastAsia="Batang"/>
          <w:lang w:eastAsia="ko-KR"/>
        </w:rPr>
        <w:t xml:space="preserve">website </w:t>
      </w:r>
      <w:r w:rsidR="001C2D1B">
        <w:rPr>
          <w:rFonts w:eastAsia="Batang"/>
          <w:lang w:eastAsia="ko-KR"/>
        </w:rPr>
        <w:t>once the CWS approves it</w:t>
      </w:r>
      <w:r w:rsidRPr="005678F1">
        <w:rPr>
          <w:rFonts w:eastAsia="Batang"/>
          <w:lang w:eastAsia="ko-KR"/>
        </w:rPr>
        <w:t>.</w:t>
      </w:r>
    </w:p>
    <w:p w14:paraId="4D88CC5D" w14:textId="059BDD03" w:rsidR="000C52C1" w:rsidRDefault="0068293A" w:rsidP="000C52C1">
      <w:pPr>
        <w:pStyle w:val="Heading2"/>
        <w:rPr>
          <w:lang w:eastAsia="ko-KR"/>
        </w:rPr>
      </w:pPr>
      <w:r>
        <w:rPr>
          <w:caps w:val="0"/>
          <w:lang w:eastAsia="ko-KR"/>
        </w:rPr>
        <w:t>FURTHER COLLABORATION FOR IMPLEMENTATION</w:t>
      </w:r>
    </w:p>
    <w:p w14:paraId="0CEC2164" w14:textId="07FCD1CE" w:rsidR="00C44B9B" w:rsidRPr="005678F1" w:rsidRDefault="00CD02C6" w:rsidP="00AC2159">
      <w:pPr>
        <w:pStyle w:val="ONUME"/>
        <w:numPr>
          <w:ilvl w:val="0"/>
          <w:numId w:val="7"/>
        </w:numPr>
        <w:rPr>
          <w:rFonts w:eastAsia="Batang"/>
          <w:lang w:eastAsia="ko-KR"/>
        </w:rPr>
      </w:pPr>
      <w:r w:rsidRPr="005678F1">
        <w:rPr>
          <w:rFonts w:eastAsia="Batang"/>
          <w:lang w:eastAsia="ko-KR"/>
        </w:rPr>
        <w:t xml:space="preserve">For the harmonized implementation of </w:t>
      </w:r>
      <w:r w:rsidR="005A7CBF">
        <w:rPr>
          <w:rFonts w:eastAsia="Batang"/>
          <w:lang w:eastAsia="ko-KR"/>
        </w:rPr>
        <w:t xml:space="preserve">WIPO </w:t>
      </w:r>
      <w:r w:rsidRPr="005678F1">
        <w:rPr>
          <w:rFonts w:eastAsia="Batang"/>
          <w:lang w:eastAsia="ko-KR"/>
        </w:rPr>
        <w:t>Standard ST.27 by IPOs</w:t>
      </w:r>
      <w:r w:rsidR="00387DEE">
        <w:rPr>
          <w:rFonts w:eastAsia="Batang"/>
          <w:lang w:eastAsia="ko-KR"/>
        </w:rPr>
        <w:t>, it</w:t>
      </w:r>
      <w:r w:rsidRPr="005678F1">
        <w:rPr>
          <w:rFonts w:eastAsia="Batang"/>
          <w:lang w:eastAsia="ko-KR"/>
        </w:rPr>
        <w:t xml:space="preserve"> is crucial for </w:t>
      </w:r>
      <w:r w:rsidR="00387DEE">
        <w:rPr>
          <w:rFonts w:eastAsia="Batang"/>
          <w:lang w:eastAsia="ko-KR"/>
        </w:rPr>
        <w:t xml:space="preserve">the </w:t>
      </w:r>
      <w:r w:rsidRPr="005678F1">
        <w:rPr>
          <w:rFonts w:eastAsia="Batang"/>
          <w:lang w:eastAsia="ko-KR"/>
        </w:rPr>
        <w:t xml:space="preserve">IP information community to collect valuable information on the application or patent concerned.  Due to various practices according to different applicable laws, the mapping between national or regional status events and the standard events may not always </w:t>
      </w:r>
      <w:r w:rsidR="00387DEE">
        <w:rPr>
          <w:rFonts w:eastAsia="Batang"/>
          <w:lang w:eastAsia="ko-KR"/>
        </w:rPr>
        <w:t xml:space="preserve">be </w:t>
      </w:r>
      <w:r w:rsidRPr="005678F1">
        <w:rPr>
          <w:rFonts w:eastAsia="Batang"/>
          <w:lang w:eastAsia="ko-KR"/>
        </w:rPr>
        <w:t>straightforward.  Therefore</w:t>
      </w:r>
      <w:r w:rsidR="00387DEE">
        <w:rPr>
          <w:rFonts w:eastAsia="Batang"/>
          <w:lang w:eastAsia="ko-KR"/>
        </w:rPr>
        <w:t>,</w:t>
      </w:r>
      <w:r w:rsidRPr="005678F1">
        <w:rPr>
          <w:rFonts w:eastAsia="Batang"/>
          <w:lang w:eastAsia="ko-KR"/>
        </w:rPr>
        <w:t xml:space="preserve"> the CWS requested the Legal Status Task Force to prepare the Guidance Document to assist IPOs to map their events to the standard events in harmonized manner.  </w:t>
      </w:r>
      <w:r w:rsidR="00C44B9B" w:rsidRPr="005678F1">
        <w:rPr>
          <w:rFonts w:eastAsia="Batang"/>
          <w:lang w:eastAsia="ko-KR"/>
        </w:rPr>
        <w:t>The provisional draft of Annex V of ST.27 is submitted for consideration at the six</w:t>
      </w:r>
      <w:r w:rsidR="00387DEE">
        <w:rPr>
          <w:rFonts w:eastAsia="Batang"/>
          <w:lang w:eastAsia="ko-KR"/>
        </w:rPr>
        <w:t>th</w:t>
      </w:r>
      <w:r w:rsidR="00C44B9B" w:rsidRPr="005678F1">
        <w:rPr>
          <w:rFonts w:eastAsia="Batang"/>
          <w:lang w:eastAsia="ko-KR"/>
        </w:rPr>
        <w:t xml:space="preserve"> session of the Committee and it will be finalized in due course with more examples from IPOs.  Therefore, it is requested that the CWS encourage IPOs to participate in the discussion on the Guidance Document, and share their experience in implementing ST.27 with the Legal Status Task Force.</w:t>
      </w:r>
    </w:p>
    <w:p w14:paraId="1FD249B7" w14:textId="6572488C" w:rsidR="00AC2159" w:rsidRDefault="00C44B9B" w:rsidP="00AC2159">
      <w:pPr>
        <w:pStyle w:val="ONUME"/>
        <w:numPr>
          <w:ilvl w:val="0"/>
          <w:numId w:val="7"/>
        </w:numPr>
        <w:rPr>
          <w:rFonts w:eastAsia="Batang"/>
          <w:lang w:eastAsia="ko-KR"/>
        </w:rPr>
      </w:pPr>
      <w:r w:rsidRPr="005678F1">
        <w:rPr>
          <w:rFonts w:eastAsia="Batang"/>
          <w:lang w:eastAsia="ko-KR"/>
        </w:rPr>
        <w:t>Taking into account the volume of patent legal status data, the recommended frequency of data exchange and the wide use of Webservices by IPOs, the International Bureau is exploring the feasibility of developing a common Web API for the exchange of patent legal status</w:t>
      </w:r>
      <w:r w:rsidR="00C70AB2" w:rsidRPr="005678F1">
        <w:rPr>
          <w:rFonts w:eastAsia="Batang"/>
          <w:lang w:eastAsia="ko-KR"/>
        </w:rPr>
        <w:t xml:space="preserve"> in collaboration with IPOs</w:t>
      </w:r>
      <w:r w:rsidRPr="005678F1">
        <w:rPr>
          <w:rFonts w:eastAsia="Batang"/>
          <w:lang w:eastAsia="ko-KR"/>
        </w:rPr>
        <w:t>.</w:t>
      </w:r>
      <w:r w:rsidR="00C70AB2" w:rsidRPr="005678F1">
        <w:rPr>
          <w:rFonts w:eastAsia="Batang"/>
          <w:lang w:eastAsia="ko-KR"/>
        </w:rPr>
        <w:t xml:space="preserve">  The CWS is invited to comment on whether or not the common API </w:t>
      </w:r>
      <w:r w:rsidR="00466CD2" w:rsidRPr="005678F1">
        <w:rPr>
          <w:rFonts w:eastAsia="Batang"/>
          <w:lang w:eastAsia="ko-KR"/>
        </w:rPr>
        <w:t xml:space="preserve">would </w:t>
      </w:r>
      <w:r w:rsidR="00C70AB2" w:rsidRPr="005678F1">
        <w:rPr>
          <w:rFonts w:eastAsia="Batang"/>
          <w:lang w:eastAsia="ko-KR"/>
        </w:rPr>
        <w:t>be useful to assist the exchange and disseminate patent legal status information.</w:t>
      </w:r>
      <w:r w:rsidR="00AC2159">
        <w:rPr>
          <w:rFonts w:eastAsia="Batang"/>
          <w:lang w:eastAsia="ko-KR"/>
        </w:rPr>
        <w:br w:type="page"/>
      </w:r>
    </w:p>
    <w:p w14:paraId="1414DAD6" w14:textId="77777777" w:rsidR="00596EE4" w:rsidRPr="00F97563" w:rsidRDefault="00596EE4" w:rsidP="00596EE4">
      <w:pPr>
        <w:pStyle w:val="ONUME"/>
        <w:numPr>
          <w:ilvl w:val="0"/>
          <w:numId w:val="7"/>
        </w:numPr>
        <w:tabs>
          <w:tab w:val="num" w:pos="6101"/>
        </w:tabs>
        <w:ind w:left="5534"/>
        <w:rPr>
          <w:rStyle w:val="H3-DecisionChar"/>
          <w:sz w:val="22"/>
          <w:szCs w:val="22"/>
        </w:rPr>
      </w:pPr>
      <w:r w:rsidRPr="00F97563">
        <w:rPr>
          <w:rStyle w:val="H3-DecisionChar"/>
          <w:sz w:val="22"/>
          <w:szCs w:val="22"/>
        </w:rPr>
        <w:lastRenderedPageBreak/>
        <w:t>The CWS is invited to:</w:t>
      </w:r>
    </w:p>
    <w:p w14:paraId="01AE289F" w14:textId="6CF48FCF" w:rsidR="00C70AB2" w:rsidRPr="00AC2159" w:rsidRDefault="00AC2159" w:rsidP="00AC2159">
      <w:pPr>
        <w:pStyle w:val="BodyText"/>
        <w:tabs>
          <w:tab w:val="left" w:pos="6050"/>
          <w:tab w:val="left" w:pos="6600"/>
        </w:tabs>
        <w:ind w:left="5534"/>
        <w:rPr>
          <w:i/>
          <w:szCs w:val="22"/>
        </w:rPr>
      </w:pPr>
      <w:r w:rsidRPr="00AC2159">
        <w:rPr>
          <w:i/>
          <w:szCs w:val="22"/>
        </w:rPr>
        <w:tab/>
      </w:r>
      <w:r w:rsidR="00C70AB2" w:rsidRPr="00AC2159">
        <w:rPr>
          <w:i/>
          <w:szCs w:val="22"/>
        </w:rPr>
        <w:t>(a)</w:t>
      </w:r>
      <w:r w:rsidRPr="00AC2159">
        <w:rPr>
          <w:i/>
          <w:szCs w:val="22"/>
        </w:rPr>
        <w:tab/>
      </w:r>
      <w:r w:rsidR="00C70AB2" w:rsidRPr="00AC2159">
        <w:rPr>
          <w:i/>
          <w:szCs w:val="22"/>
        </w:rPr>
        <w:t>note the content of the present document and the Annex of the document;</w:t>
      </w:r>
    </w:p>
    <w:p w14:paraId="176D9C76" w14:textId="25D6A5DE" w:rsidR="00466CD2" w:rsidRPr="00AC2159" w:rsidRDefault="00AC2159" w:rsidP="00AC2159">
      <w:pPr>
        <w:pStyle w:val="BodyText"/>
        <w:tabs>
          <w:tab w:val="left" w:pos="6050"/>
          <w:tab w:val="left" w:pos="6600"/>
        </w:tabs>
        <w:ind w:left="5534"/>
        <w:rPr>
          <w:i/>
          <w:szCs w:val="22"/>
        </w:rPr>
      </w:pPr>
      <w:r w:rsidRPr="00AC2159">
        <w:rPr>
          <w:i/>
          <w:szCs w:val="22"/>
        </w:rPr>
        <w:tab/>
      </w:r>
      <w:r w:rsidR="00466CD2" w:rsidRPr="00AC2159">
        <w:rPr>
          <w:i/>
          <w:szCs w:val="22"/>
        </w:rPr>
        <w:t>(b)</w:t>
      </w:r>
      <w:r w:rsidRPr="00AC2159">
        <w:rPr>
          <w:i/>
          <w:szCs w:val="22"/>
        </w:rPr>
        <w:tab/>
      </w:r>
      <w:r w:rsidR="00466CD2" w:rsidRPr="00AC2159">
        <w:rPr>
          <w:i/>
          <w:szCs w:val="22"/>
        </w:rPr>
        <w:t xml:space="preserve">consider and approve the provisional consolidated mapping table, and request the Secretariat to publish it </w:t>
      </w:r>
      <w:r w:rsidR="00387DEE">
        <w:rPr>
          <w:i/>
          <w:szCs w:val="22"/>
        </w:rPr>
        <w:t>on</w:t>
      </w:r>
      <w:r w:rsidR="00466CD2" w:rsidRPr="00AC2159">
        <w:rPr>
          <w:i/>
          <w:szCs w:val="22"/>
        </w:rPr>
        <w:t xml:space="preserve"> the WIPO website as provisional, as reproduced in the Annex to the present document;</w:t>
      </w:r>
    </w:p>
    <w:p w14:paraId="1158FFA8" w14:textId="4159CE0E" w:rsidR="00C70AB2" w:rsidRPr="00AC2159" w:rsidRDefault="00AC2159" w:rsidP="00AC2159">
      <w:pPr>
        <w:pStyle w:val="BodyText"/>
        <w:tabs>
          <w:tab w:val="left" w:pos="6050"/>
          <w:tab w:val="left" w:pos="6600"/>
        </w:tabs>
        <w:ind w:left="5534"/>
        <w:rPr>
          <w:i/>
          <w:szCs w:val="22"/>
        </w:rPr>
      </w:pPr>
      <w:r>
        <w:rPr>
          <w:i/>
          <w:szCs w:val="22"/>
        </w:rPr>
        <w:tab/>
      </w:r>
      <w:r w:rsidR="00C70AB2" w:rsidRPr="00AC2159">
        <w:rPr>
          <w:i/>
          <w:szCs w:val="22"/>
        </w:rPr>
        <w:t>(c)</w:t>
      </w:r>
      <w:r>
        <w:rPr>
          <w:i/>
          <w:szCs w:val="22"/>
        </w:rPr>
        <w:tab/>
      </w:r>
      <w:r w:rsidR="00C70AB2" w:rsidRPr="00AC2159">
        <w:rPr>
          <w:i/>
          <w:szCs w:val="22"/>
        </w:rPr>
        <w:t>request IPOs</w:t>
      </w:r>
      <w:r w:rsidR="00C87D82">
        <w:rPr>
          <w:i/>
          <w:szCs w:val="22"/>
        </w:rPr>
        <w:t xml:space="preserve"> </w:t>
      </w:r>
      <w:r w:rsidR="00387DEE">
        <w:rPr>
          <w:i/>
          <w:szCs w:val="22"/>
        </w:rPr>
        <w:t>that</w:t>
      </w:r>
      <w:r w:rsidR="00C70AB2" w:rsidRPr="00AC2159">
        <w:rPr>
          <w:i/>
          <w:szCs w:val="22"/>
        </w:rPr>
        <w:t xml:space="preserve"> have not responded to the Circular to share their implementation plan of </w:t>
      </w:r>
      <w:r w:rsidR="00387DEE">
        <w:rPr>
          <w:i/>
          <w:szCs w:val="22"/>
        </w:rPr>
        <w:t xml:space="preserve">WIPO </w:t>
      </w:r>
      <w:r w:rsidR="00C70AB2" w:rsidRPr="00AC2159">
        <w:rPr>
          <w:i/>
          <w:szCs w:val="22"/>
        </w:rPr>
        <w:t>Standard ST.27 at this session or after the session;</w:t>
      </w:r>
      <w:r w:rsidR="00466CD2" w:rsidRPr="00AC2159">
        <w:rPr>
          <w:i/>
          <w:szCs w:val="22"/>
        </w:rPr>
        <w:t xml:space="preserve"> and</w:t>
      </w:r>
    </w:p>
    <w:p w14:paraId="018A7DEB" w14:textId="76708C8F" w:rsidR="00C70AB2" w:rsidRPr="00AC2159" w:rsidRDefault="00AC2159" w:rsidP="00AC2159">
      <w:pPr>
        <w:pStyle w:val="BodyText"/>
        <w:tabs>
          <w:tab w:val="left" w:pos="6050"/>
          <w:tab w:val="left" w:pos="6600"/>
        </w:tabs>
        <w:spacing w:after="0"/>
        <w:ind w:left="5534"/>
        <w:rPr>
          <w:i/>
          <w:szCs w:val="22"/>
        </w:rPr>
      </w:pPr>
      <w:r>
        <w:rPr>
          <w:i/>
          <w:szCs w:val="22"/>
        </w:rPr>
        <w:tab/>
      </w:r>
      <w:r w:rsidR="00C70AB2" w:rsidRPr="00AC2159">
        <w:rPr>
          <w:i/>
          <w:szCs w:val="22"/>
        </w:rPr>
        <w:t>(d)</w:t>
      </w:r>
      <w:r>
        <w:rPr>
          <w:i/>
          <w:szCs w:val="22"/>
        </w:rPr>
        <w:tab/>
      </w:r>
      <w:r w:rsidR="00466CD2" w:rsidRPr="00AC2159">
        <w:rPr>
          <w:i/>
          <w:szCs w:val="22"/>
        </w:rPr>
        <w:t xml:space="preserve">comment on the development of a common Web API to facilitate the exchange of patent legal status data based on </w:t>
      </w:r>
      <w:r w:rsidR="00C70AB2" w:rsidRPr="00AC2159">
        <w:rPr>
          <w:i/>
          <w:szCs w:val="22"/>
        </w:rPr>
        <w:t xml:space="preserve">Standard ST.27, as referred to in paragraph </w:t>
      </w:r>
      <w:r w:rsidR="00387DEE">
        <w:rPr>
          <w:i/>
          <w:szCs w:val="22"/>
        </w:rPr>
        <w:t>14</w:t>
      </w:r>
      <w:r w:rsidR="00C70AB2" w:rsidRPr="00AC2159">
        <w:rPr>
          <w:i/>
          <w:szCs w:val="22"/>
        </w:rPr>
        <w:t>;</w:t>
      </w:r>
    </w:p>
    <w:p w14:paraId="7288673E" w14:textId="5048C41D" w:rsidR="00A16D02" w:rsidRDefault="00A16D02" w:rsidP="00532EBD">
      <w:pPr>
        <w:pStyle w:val="BodyText"/>
        <w:tabs>
          <w:tab w:val="left" w:pos="6050"/>
          <w:tab w:val="left" w:pos="6600"/>
        </w:tabs>
        <w:spacing w:after="0"/>
        <w:ind w:left="5954"/>
      </w:pPr>
    </w:p>
    <w:p w14:paraId="12986062" w14:textId="77777777" w:rsidR="00DD7E4E" w:rsidRPr="00A16D02" w:rsidRDefault="00DD7E4E" w:rsidP="00532EBD">
      <w:pPr>
        <w:pStyle w:val="BodyText"/>
        <w:tabs>
          <w:tab w:val="left" w:pos="6050"/>
          <w:tab w:val="left" w:pos="6600"/>
        </w:tabs>
        <w:spacing w:after="0"/>
        <w:ind w:left="5954"/>
      </w:pPr>
    </w:p>
    <w:p w14:paraId="59D44354" w14:textId="77777777" w:rsidR="00C87D82" w:rsidRDefault="00EA137E" w:rsidP="00EA137E">
      <w:pPr>
        <w:pStyle w:val="Endofdocument-Annex"/>
        <w:rPr>
          <w:lang w:val="en-GB"/>
        </w:rPr>
        <w:sectPr w:rsidR="00C87D82" w:rsidSect="00AC2159">
          <w:headerReference w:type="default" r:id="rId9"/>
          <w:endnotePr>
            <w:numFmt w:val="decimal"/>
          </w:endnotePr>
          <w:type w:val="continuous"/>
          <w:pgSz w:w="11907" w:h="16840" w:code="9"/>
          <w:pgMar w:top="567" w:right="1134" w:bottom="1276" w:left="1418" w:header="510" w:footer="1021" w:gutter="0"/>
          <w:cols w:space="720"/>
          <w:titlePg/>
          <w:docGrid w:linePitch="299"/>
        </w:sectPr>
      </w:pPr>
      <w:r w:rsidRPr="00440C7D">
        <w:rPr>
          <w:lang w:val="en-GB"/>
        </w:rPr>
        <w:t>[</w:t>
      </w:r>
      <w:r w:rsidR="00466CD2">
        <w:rPr>
          <w:lang w:val="en-GB"/>
        </w:rPr>
        <w:t>Annex follows</w:t>
      </w:r>
      <w:r w:rsidRPr="00440C7D">
        <w:rPr>
          <w:lang w:val="en-GB"/>
        </w:rPr>
        <w:t>]</w:t>
      </w:r>
    </w:p>
    <w:p w14:paraId="2ACD7E30" w14:textId="31B15C20" w:rsidR="00AA5355" w:rsidRDefault="00AA5355" w:rsidP="00AA5355">
      <w:pPr>
        <w:pStyle w:val="Heading2"/>
      </w:pPr>
      <w:r>
        <w:lastRenderedPageBreak/>
        <w:t>ANNEX</w:t>
      </w:r>
    </w:p>
    <w:p w14:paraId="286EB10F" w14:textId="77777777" w:rsidR="00AA5355" w:rsidRDefault="00AA5355" w:rsidP="00AA5355"/>
    <w:p w14:paraId="398B5A13" w14:textId="1D8489D7" w:rsidR="00AA5355" w:rsidRDefault="00281763" w:rsidP="00AA5355">
      <w:r>
        <w:t>Consolidated IPOs Mapping Tables</w:t>
      </w:r>
      <w:r w:rsidR="00AA5355">
        <w:t xml:space="preserve"> to ST.27: </w:t>
      </w:r>
      <w:hyperlink r:id="rId10" w:history="1">
        <w:r w:rsidR="00AA5355" w:rsidRPr="00281763">
          <w:rPr>
            <w:rStyle w:val="Hyperlink"/>
          </w:rPr>
          <w:t>(</w:t>
        </w:r>
        <w:r w:rsidRPr="00281763">
          <w:rPr>
            <w:rStyle w:val="Hyperlink"/>
          </w:rPr>
          <w:t>annex_mappingtable</w:t>
        </w:r>
        <w:r w:rsidR="004263E5">
          <w:rPr>
            <w:rStyle w:val="Hyperlink"/>
          </w:rPr>
          <w:t>s</w:t>
        </w:r>
        <w:r w:rsidRPr="00281763">
          <w:rPr>
            <w:rStyle w:val="Hyperlink"/>
          </w:rPr>
          <w:t xml:space="preserve"> to ST.27</w:t>
        </w:r>
        <w:r w:rsidR="00AA5355" w:rsidRPr="00281763">
          <w:rPr>
            <w:rStyle w:val="Hyperlink"/>
          </w:rPr>
          <w:t>)</w:t>
        </w:r>
      </w:hyperlink>
    </w:p>
    <w:p w14:paraId="7E232731" w14:textId="33B5A052" w:rsidR="00EA137E" w:rsidRPr="00AA5355" w:rsidRDefault="00EA137E" w:rsidP="00EA137E">
      <w:pPr>
        <w:pStyle w:val="Endofdocument-Annex"/>
      </w:pPr>
    </w:p>
    <w:sectPr w:rsidR="00EA137E" w:rsidRPr="00AA5355" w:rsidSect="00C87D82">
      <w:headerReference w:type="first" r:id="rId11"/>
      <w:endnotePr>
        <w:numFmt w:val="decimal"/>
      </w:endnotePr>
      <w:pgSz w:w="11907" w:h="16840" w:code="9"/>
      <w:pgMar w:top="567" w:right="1134" w:bottom="1276"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E59442" w14:textId="77777777" w:rsidR="00F0045D" w:rsidRDefault="00F0045D">
      <w:r>
        <w:separator/>
      </w:r>
    </w:p>
  </w:endnote>
  <w:endnote w:type="continuationSeparator" w:id="0">
    <w:p w14:paraId="18946E92" w14:textId="77777777" w:rsidR="00F0045D" w:rsidRDefault="00F0045D" w:rsidP="003B38C1">
      <w:r>
        <w:separator/>
      </w:r>
    </w:p>
    <w:p w14:paraId="11628F8A" w14:textId="77777777" w:rsidR="00F0045D" w:rsidRPr="003B38C1" w:rsidRDefault="00F0045D" w:rsidP="003B38C1">
      <w:pPr>
        <w:spacing w:after="60"/>
        <w:rPr>
          <w:sz w:val="17"/>
        </w:rPr>
      </w:pPr>
      <w:r>
        <w:rPr>
          <w:sz w:val="17"/>
        </w:rPr>
        <w:t>[Endnote continued from previous page]</w:t>
      </w:r>
    </w:p>
  </w:endnote>
  <w:endnote w:type="continuationNotice" w:id="1">
    <w:p w14:paraId="05607931" w14:textId="77777777" w:rsidR="00F0045D" w:rsidRPr="003B38C1" w:rsidRDefault="00F0045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B7FD0E" w14:textId="77777777" w:rsidR="00F0045D" w:rsidRDefault="00F0045D">
      <w:r>
        <w:separator/>
      </w:r>
    </w:p>
  </w:footnote>
  <w:footnote w:type="continuationSeparator" w:id="0">
    <w:p w14:paraId="7C0878F1" w14:textId="77777777" w:rsidR="00F0045D" w:rsidRDefault="00F0045D" w:rsidP="008B60B2">
      <w:r>
        <w:separator/>
      </w:r>
    </w:p>
    <w:p w14:paraId="6C14AC03" w14:textId="77777777" w:rsidR="00F0045D" w:rsidRPr="00ED77FB" w:rsidRDefault="00F0045D" w:rsidP="008B60B2">
      <w:pPr>
        <w:spacing w:after="60"/>
        <w:rPr>
          <w:sz w:val="17"/>
          <w:szCs w:val="17"/>
        </w:rPr>
      </w:pPr>
      <w:r w:rsidRPr="00ED77FB">
        <w:rPr>
          <w:sz w:val="17"/>
          <w:szCs w:val="17"/>
        </w:rPr>
        <w:t>[Footnote continued from previous page]</w:t>
      </w:r>
    </w:p>
  </w:footnote>
  <w:footnote w:type="continuationNotice" w:id="1">
    <w:p w14:paraId="5C86D891" w14:textId="77777777" w:rsidR="00F0045D" w:rsidRPr="00ED77FB" w:rsidRDefault="00F0045D"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C24C3" w14:textId="77777777" w:rsidR="00AC2159" w:rsidRDefault="00AC2159">
    <w:pPr>
      <w:pStyle w:val="Header"/>
      <w:jc w:val="right"/>
    </w:pPr>
    <w:r>
      <w:t>CWS/6/13</w:t>
    </w:r>
  </w:p>
  <w:p w14:paraId="571535A9" w14:textId="2F4B823E" w:rsidR="00AC2159" w:rsidRDefault="00AC2159">
    <w:pPr>
      <w:pStyle w:val="Header"/>
      <w:jc w:val="right"/>
      <w:rPr>
        <w:noProof/>
      </w:rPr>
    </w:pPr>
    <w:r>
      <w:t xml:space="preserve">page </w:t>
    </w:r>
    <w:sdt>
      <w:sdtPr>
        <w:id w:val="2095279074"/>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CC1AC6">
          <w:rPr>
            <w:noProof/>
          </w:rPr>
          <w:t>4</w:t>
        </w:r>
        <w:r>
          <w:rPr>
            <w:noProof/>
          </w:rPr>
          <w:fldChar w:fldCharType="end"/>
        </w:r>
      </w:sdtContent>
    </w:sdt>
  </w:p>
  <w:p w14:paraId="59168037" w14:textId="77777777" w:rsidR="00AC2159" w:rsidRDefault="00AC2159">
    <w:pPr>
      <w:pStyle w:val="Header"/>
      <w:jc w:val="right"/>
    </w:pPr>
  </w:p>
  <w:p w14:paraId="6503358C" w14:textId="77777777" w:rsidR="00F0045D" w:rsidRDefault="00F0045D" w:rsidP="004A476F">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B903DF" w14:textId="64CF04DA" w:rsidR="00C87D82" w:rsidRDefault="00C87D82" w:rsidP="00C87D82">
    <w:pPr>
      <w:pStyle w:val="Header"/>
      <w:jc w:val="right"/>
      <w:rPr>
        <w:lang w:val="en-GB"/>
      </w:rPr>
    </w:pPr>
    <w:r>
      <w:rPr>
        <w:lang w:val="en-GB"/>
      </w:rPr>
      <w:t>CWS/6/13</w:t>
    </w:r>
  </w:p>
  <w:p w14:paraId="74FA0146" w14:textId="00E4F686" w:rsidR="00C87D82" w:rsidRDefault="00C87D82" w:rsidP="00C87D82">
    <w:pPr>
      <w:pStyle w:val="Header"/>
      <w:jc w:val="right"/>
      <w:rPr>
        <w:lang w:val="en-GB"/>
      </w:rPr>
    </w:pPr>
    <w:r>
      <w:rPr>
        <w:lang w:val="en-GB"/>
      </w:rPr>
      <w:t>ANNEX</w:t>
    </w:r>
  </w:p>
  <w:p w14:paraId="54B72C35" w14:textId="28C5E5C6" w:rsidR="00C87D82" w:rsidRDefault="00C87D82" w:rsidP="00C87D82">
    <w:pPr>
      <w:pStyle w:val="Header"/>
      <w:jc w:val="right"/>
      <w:rPr>
        <w:lang w:val="en-GB"/>
      </w:rPr>
    </w:pPr>
  </w:p>
  <w:p w14:paraId="4B0CB50C" w14:textId="77777777" w:rsidR="00C87D82" w:rsidRPr="00C87D82" w:rsidRDefault="00C87D82" w:rsidP="00C87D82">
    <w:pPr>
      <w:pStyle w:val="Header"/>
      <w:jc w:val="right"/>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A17527B"/>
    <w:multiLevelType w:val="multilevel"/>
    <w:tmpl w:val="D92E6562"/>
    <w:lvl w:ilvl="0">
      <w:start w:val="1"/>
      <w:numFmt w:val="bullet"/>
      <w:lvlText w:val=""/>
      <w:lvlJc w:val="left"/>
      <w:pPr>
        <w:tabs>
          <w:tab w:val="num" w:pos="1134"/>
        </w:tabs>
        <w:ind w:left="567" w:firstLine="0"/>
      </w:pPr>
      <w:rPr>
        <w:rFonts w:ascii="Symbol" w:hAnsi="Symbol" w:hint="default"/>
      </w:rPr>
    </w:lvl>
    <w:lvl w:ilvl="1">
      <w:start w:val="1"/>
      <w:numFmt w:val="bullet"/>
      <w:lvlText w:val=""/>
      <w:lvlJc w:val="left"/>
      <w:pPr>
        <w:tabs>
          <w:tab w:val="num" w:pos="7230"/>
        </w:tabs>
        <w:ind w:left="6663" w:firstLine="0"/>
      </w:pPr>
      <w:rPr>
        <w:rFonts w:ascii="Symbol" w:hAnsi="Symbol" w:hint="default"/>
        <w:i w:val="0"/>
      </w:rPr>
    </w:lvl>
    <w:lvl w:ilvl="2">
      <w:start w:val="1"/>
      <w:numFmt w:val="lowerRoman"/>
      <w:lvlText w:val="(%3)"/>
      <w:lvlJc w:val="left"/>
      <w:pPr>
        <w:tabs>
          <w:tab w:val="num" w:pos="2268"/>
        </w:tabs>
        <w:ind w:left="1701" w:firstLine="0"/>
      </w:pPr>
    </w:lvl>
    <w:lvl w:ilvl="3">
      <w:start w:val="1"/>
      <w:numFmt w:val="bullet"/>
      <w:lvlText w:val=""/>
      <w:lvlJc w:val="left"/>
      <w:pPr>
        <w:tabs>
          <w:tab w:val="num" w:pos="2835"/>
        </w:tabs>
        <w:ind w:left="2268" w:firstLine="0"/>
      </w:pPr>
    </w:lvl>
    <w:lvl w:ilvl="4">
      <w:start w:val="1"/>
      <w:numFmt w:val="bullet"/>
      <w:lvlText w:val=""/>
      <w:lvlJc w:val="left"/>
      <w:pPr>
        <w:tabs>
          <w:tab w:val="num" w:pos="3402"/>
        </w:tabs>
        <w:ind w:left="2835" w:firstLine="0"/>
      </w:pPr>
    </w:lvl>
    <w:lvl w:ilvl="5">
      <w:start w:val="1"/>
      <w:numFmt w:val="bullet"/>
      <w:lvlText w:val=""/>
      <w:lvlJc w:val="left"/>
      <w:pPr>
        <w:tabs>
          <w:tab w:val="num" w:pos="3969"/>
        </w:tabs>
        <w:ind w:left="3402" w:firstLine="0"/>
      </w:pPr>
    </w:lvl>
    <w:lvl w:ilvl="6">
      <w:start w:val="1"/>
      <w:numFmt w:val="bullet"/>
      <w:lvlText w:val=""/>
      <w:lvlJc w:val="left"/>
      <w:pPr>
        <w:tabs>
          <w:tab w:val="num" w:pos="4536"/>
        </w:tabs>
        <w:ind w:left="3969" w:firstLine="0"/>
      </w:pPr>
    </w:lvl>
    <w:lvl w:ilvl="7">
      <w:start w:val="1"/>
      <w:numFmt w:val="bullet"/>
      <w:lvlText w:val=""/>
      <w:lvlJc w:val="left"/>
      <w:pPr>
        <w:tabs>
          <w:tab w:val="num" w:pos="5102"/>
        </w:tabs>
        <w:ind w:left="4536" w:firstLine="0"/>
      </w:pPr>
    </w:lvl>
    <w:lvl w:ilvl="8">
      <w:start w:val="1"/>
      <w:numFmt w:val="bullet"/>
      <w:lvlText w:val=""/>
      <w:lvlJc w:val="left"/>
      <w:pPr>
        <w:tabs>
          <w:tab w:val="num" w:pos="5669"/>
        </w:tabs>
        <w:ind w:left="5102" w:firstLine="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3874D28"/>
    <w:multiLevelType w:val="multilevel"/>
    <w:tmpl w:val="716CAFEC"/>
    <w:lvl w:ilvl="0">
      <w:start w:val="1"/>
      <w:numFmt w:val="bullet"/>
      <w:lvlText w:val=""/>
      <w:lvlJc w:val="left"/>
      <w:pPr>
        <w:tabs>
          <w:tab w:val="num" w:pos="1134"/>
        </w:tabs>
        <w:ind w:left="567" w:firstLine="0"/>
      </w:pPr>
      <w:rPr>
        <w:rFonts w:ascii="Symbol" w:hAnsi="Symbol" w:hint="default"/>
      </w:rPr>
    </w:lvl>
    <w:lvl w:ilvl="1">
      <w:start w:val="1"/>
      <w:numFmt w:val="bullet"/>
      <w:lvlText w:val=""/>
      <w:lvlJc w:val="left"/>
      <w:pPr>
        <w:tabs>
          <w:tab w:val="num" w:pos="7230"/>
        </w:tabs>
        <w:ind w:left="6663" w:firstLine="0"/>
      </w:pPr>
      <w:rPr>
        <w:rFonts w:ascii="Symbol" w:hAnsi="Symbol" w:hint="default"/>
        <w:i/>
      </w:rPr>
    </w:lvl>
    <w:lvl w:ilvl="2">
      <w:start w:val="1"/>
      <w:numFmt w:val="lowerRoman"/>
      <w:lvlText w:val="(%3)"/>
      <w:lvlJc w:val="left"/>
      <w:pPr>
        <w:tabs>
          <w:tab w:val="num" w:pos="2268"/>
        </w:tabs>
        <w:ind w:left="1701" w:firstLine="0"/>
      </w:pPr>
    </w:lvl>
    <w:lvl w:ilvl="3">
      <w:start w:val="1"/>
      <w:numFmt w:val="bullet"/>
      <w:lvlText w:val=""/>
      <w:lvlJc w:val="left"/>
      <w:pPr>
        <w:tabs>
          <w:tab w:val="num" w:pos="2835"/>
        </w:tabs>
        <w:ind w:left="2268" w:firstLine="0"/>
      </w:pPr>
    </w:lvl>
    <w:lvl w:ilvl="4">
      <w:start w:val="1"/>
      <w:numFmt w:val="bullet"/>
      <w:lvlText w:val=""/>
      <w:lvlJc w:val="left"/>
      <w:pPr>
        <w:tabs>
          <w:tab w:val="num" w:pos="3402"/>
        </w:tabs>
        <w:ind w:left="2835" w:firstLine="0"/>
      </w:pPr>
    </w:lvl>
    <w:lvl w:ilvl="5">
      <w:start w:val="1"/>
      <w:numFmt w:val="bullet"/>
      <w:lvlText w:val=""/>
      <w:lvlJc w:val="left"/>
      <w:pPr>
        <w:tabs>
          <w:tab w:val="num" w:pos="3969"/>
        </w:tabs>
        <w:ind w:left="3402" w:firstLine="0"/>
      </w:pPr>
    </w:lvl>
    <w:lvl w:ilvl="6">
      <w:start w:val="1"/>
      <w:numFmt w:val="bullet"/>
      <w:lvlText w:val=""/>
      <w:lvlJc w:val="left"/>
      <w:pPr>
        <w:tabs>
          <w:tab w:val="num" w:pos="4536"/>
        </w:tabs>
        <w:ind w:left="3969" w:firstLine="0"/>
      </w:pPr>
    </w:lvl>
    <w:lvl w:ilvl="7">
      <w:start w:val="1"/>
      <w:numFmt w:val="bullet"/>
      <w:lvlText w:val=""/>
      <w:lvlJc w:val="left"/>
      <w:pPr>
        <w:tabs>
          <w:tab w:val="num" w:pos="5102"/>
        </w:tabs>
        <w:ind w:left="4536" w:firstLine="0"/>
      </w:pPr>
    </w:lvl>
    <w:lvl w:ilvl="8">
      <w:start w:val="1"/>
      <w:numFmt w:val="bullet"/>
      <w:lvlText w:val=""/>
      <w:lvlJc w:val="left"/>
      <w:pPr>
        <w:tabs>
          <w:tab w:val="num" w:pos="5669"/>
        </w:tabs>
        <w:ind w:left="5102" w:firstLine="0"/>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1271367"/>
    <w:multiLevelType w:val="multilevel"/>
    <w:tmpl w:val="1226785C"/>
    <w:lvl w:ilvl="0">
      <w:start w:val="1"/>
      <w:numFmt w:val="lowerLetter"/>
      <w:lvlText w:val="(%1)"/>
      <w:lvlJc w:val="left"/>
      <w:pPr>
        <w:tabs>
          <w:tab w:val="num" w:pos="1134"/>
        </w:tabs>
        <w:ind w:left="567" w:firstLine="0"/>
      </w:pPr>
      <w:rPr>
        <w:rFonts w:hint="default"/>
      </w:rPr>
    </w:lvl>
    <w:lvl w:ilvl="1">
      <w:start w:val="1"/>
      <w:numFmt w:val="bullet"/>
      <w:lvlText w:val=""/>
      <w:lvlJc w:val="left"/>
      <w:pPr>
        <w:tabs>
          <w:tab w:val="num" w:pos="7230"/>
        </w:tabs>
        <w:ind w:left="6663" w:firstLine="0"/>
      </w:pPr>
      <w:rPr>
        <w:rFonts w:ascii="Symbol" w:hAnsi="Symbol" w:hint="default"/>
        <w:i/>
      </w:rPr>
    </w:lvl>
    <w:lvl w:ilvl="2">
      <w:start w:val="1"/>
      <w:numFmt w:val="lowerRoman"/>
      <w:lvlText w:val="(%3)"/>
      <w:lvlJc w:val="left"/>
      <w:pPr>
        <w:tabs>
          <w:tab w:val="num" w:pos="2268"/>
        </w:tabs>
        <w:ind w:left="1701" w:firstLine="0"/>
      </w:pPr>
    </w:lvl>
    <w:lvl w:ilvl="3">
      <w:start w:val="1"/>
      <w:numFmt w:val="bullet"/>
      <w:lvlText w:val=""/>
      <w:lvlJc w:val="left"/>
      <w:pPr>
        <w:tabs>
          <w:tab w:val="num" w:pos="2835"/>
        </w:tabs>
        <w:ind w:left="2268" w:firstLine="0"/>
      </w:pPr>
    </w:lvl>
    <w:lvl w:ilvl="4">
      <w:start w:val="1"/>
      <w:numFmt w:val="bullet"/>
      <w:lvlText w:val=""/>
      <w:lvlJc w:val="left"/>
      <w:pPr>
        <w:tabs>
          <w:tab w:val="num" w:pos="3402"/>
        </w:tabs>
        <w:ind w:left="2835" w:firstLine="0"/>
      </w:pPr>
    </w:lvl>
    <w:lvl w:ilvl="5">
      <w:start w:val="1"/>
      <w:numFmt w:val="bullet"/>
      <w:lvlText w:val=""/>
      <w:lvlJc w:val="left"/>
      <w:pPr>
        <w:tabs>
          <w:tab w:val="num" w:pos="3969"/>
        </w:tabs>
        <w:ind w:left="3402" w:firstLine="0"/>
      </w:pPr>
    </w:lvl>
    <w:lvl w:ilvl="6">
      <w:start w:val="1"/>
      <w:numFmt w:val="bullet"/>
      <w:lvlText w:val=""/>
      <w:lvlJc w:val="left"/>
      <w:pPr>
        <w:tabs>
          <w:tab w:val="num" w:pos="4536"/>
        </w:tabs>
        <w:ind w:left="3969" w:firstLine="0"/>
      </w:pPr>
    </w:lvl>
    <w:lvl w:ilvl="7">
      <w:start w:val="1"/>
      <w:numFmt w:val="bullet"/>
      <w:lvlText w:val=""/>
      <w:lvlJc w:val="left"/>
      <w:pPr>
        <w:tabs>
          <w:tab w:val="num" w:pos="5102"/>
        </w:tabs>
        <w:ind w:left="4536" w:firstLine="0"/>
      </w:pPr>
    </w:lvl>
    <w:lvl w:ilvl="8">
      <w:start w:val="1"/>
      <w:numFmt w:val="bullet"/>
      <w:lvlText w:val=""/>
      <w:lvlJc w:val="left"/>
      <w:pPr>
        <w:tabs>
          <w:tab w:val="num" w:pos="5669"/>
        </w:tabs>
        <w:ind w:left="5102" w:firstLine="0"/>
      </w:pPr>
    </w:lvl>
  </w:abstractNum>
  <w:abstractNum w:abstractNumId="9" w15:restartNumberingAfterBreak="0">
    <w:nsid w:val="526E7DF2"/>
    <w:multiLevelType w:val="multilevel"/>
    <w:tmpl w:val="E250A83E"/>
    <w:lvl w:ilvl="0">
      <w:start w:val="1"/>
      <w:numFmt w:val="decimal"/>
      <w:lvlRestart w:val="0"/>
      <w:lvlText w:val="%1."/>
      <w:lvlJc w:val="left"/>
      <w:pPr>
        <w:tabs>
          <w:tab w:val="num" w:pos="1134"/>
        </w:tabs>
        <w:ind w:left="567" w:firstLine="0"/>
      </w:pPr>
    </w:lvl>
    <w:lvl w:ilvl="1">
      <w:start w:val="1"/>
      <w:numFmt w:val="bullet"/>
      <w:lvlText w:val=""/>
      <w:lvlJc w:val="left"/>
      <w:pPr>
        <w:tabs>
          <w:tab w:val="num" w:pos="7230"/>
        </w:tabs>
        <w:ind w:left="6663" w:firstLine="0"/>
      </w:pPr>
      <w:rPr>
        <w:rFonts w:ascii="Symbol" w:hAnsi="Symbol" w:hint="default"/>
        <w:i w:val="0"/>
      </w:rPr>
    </w:lvl>
    <w:lvl w:ilvl="2">
      <w:start w:val="1"/>
      <w:numFmt w:val="lowerRoman"/>
      <w:lvlText w:val="(%3)"/>
      <w:lvlJc w:val="left"/>
      <w:pPr>
        <w:tabs>
          <w:tab w:val="num" w:pos="2268"/>
        </w:tabs>
        <w:ind w:left="1701" w:firstLine="0"/>
      </w:pPr>
    </w:lvl>
    <w:lvl w:ilvl="3">
      <w:start w:val="1"/>
      <w:numFmt w:val="bullet"/>
      <w:lvlText w:val=""/>
      <w:lvlJc w:val="left"/>
      <w:pPr>
        <w:tabs>
          <w:tab w:val="num" w:pos="2835"/>
        </w:tabs>
        <w:ind w:left="2268" w:firstLine="0"/>
      </w:pPr>
    </w:lvl>
    <w:lvl w:ilvl="4">
      <w:start w:val="1"/>
      <w:numFmt w:val="bullet"/>
      <w:lvlText w:val=""/>
      <w:lvlJc w:val="left"/>
      <w:pPr>
        <w:tabs>
          <w:tab w:val="num" w:pos="3402"/>
        </w:tabs>
        <w:ind w:left="2835" w:firstLine="0"/>
      </w:pPr>
    </w:lvl>
    <w:lvl w:ilvl="5">
      <w:start w:val="1"/>
      <w:numFmt w:val="bullet"/>
      <w:lvlText w:val=""/>
      <w:lvlJc w:val="left"/>
      <w:pPr>
        <w:tabs>
          <w:tab w:val="num" w:pos="3969"/>
        </w:tabs>
        <w:ind w:left="3402" w:firstLine="0"/>
      </w:pPr>
    </w:lvl>
    <w:lvl w:ilvl="6">
      <w:start w:val="1"/>
      <w:numFmt w:val="bullet"/>
      <w:lvlText w:val=""/>
      <w:lvlJc w:val="left"/>
      <w:pPr>
        <w:tabs>
          <w:tab w:val="num" w:pos="4536"/>
        </w:tabs>
        <w:ind w:left="3969" w:firstLine="0"/>
      </w:pPr>
    </w:lvl>
    <w:lvl w:ilvl="7">
      <w:start w:val="1"/>
      <w:numFmt w:val="bullet"/>
      <w:lvlText w:val=""/>
      <w:lvlJc w:val="left"/>
      <w:pPr>
        <w:tabs>
          <w:tab w:val="num" w:pos="5102"/>
        </w:tabs>
        <w:ind w:left="4536" w:firstLine="0"/>
      </w:pPr>
    </w:lvl>
    <w:lvl w:ilvl="8">
      <w:start w:val="1"/>
      <w:numFmt w:val="bullet"/>
      <w:lvlText w:val=""/>
      <w:lvlJc w:val="left"/>
      <w:pPr>
        <w:tabs>
          <w:tab w:val="num" w:pos="5669"/>
        </w:tabs>
        <w:ind w:left="5102" w:firstLine="0"/>
      </w:pPr>
    </w:lvl>
  </w:abstractNum>
  <w:abstractNum w:abstractNumId="10" w15:restartNumberingAfterBreak="0">
    <w:nsid w:val="54D542E3"/>
    <w:multiLevelType w:val="multilevel"/>
    <w:tmpl w:val="3B2A457A"/>
    <w:lvl w:ilvl="0">
      <w:start w:val="1"/>
      <w:numFmt w:val="decimal"/>
      <w:lvlRestart w:val="0"/>
      <w:lvlText w:val="%1."/>
      <w:lvlJc w:val="left"/>
      <w:pPr>
        <w:tabs>
          <w:tab w:val="num" w:pos="567"/>
        </w:tabs>
        <w:ind w:left="0" w:firstLine="0"/>
      </w:pPr>
    </w:lvl>
    <w:lvl w:ilvl="1">
      <w:start w:val="1"/>
      <w:numFmt w:val="bullet"/>
      <w:lvlText w:val=""/>
      <w:lvlJc w:val="left"/>
      <w:pPr>
        <w:tabs>
          <w:tab w:val="num" w:pos="6663"/>
        </w:tabs>
        <w:ind w:left="6096" w:firstLine="0"/>
      </w:pPr>
      <w:rPr>
        <w:rFonts w:ascii="Symbol" w:hAnsi="Symbol" w:hint="default"/>
        <w:i/>
      </w:r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1" w15:restartNumberingAfterBreak="0">
    <w:nsid w:val="7A876625"/>
    <w:multiLevelType w:val="multilevel"/>
    <w:tmpl w:val="BB4E2396"/>
    <w:lvl w:ilvl="0">
      <w:start w:val="1"/>
      <w:numFmt w:val="decimal"/>
      <w:lvlRestart w:val="0"/>
      <w:lvlText w:val="%1."/>
      <w:lvlJc w:val="left"/>
      <w:pPr>
        <w:tabs>
          <w:tab w:val="num" w:pos="567"/>
        </w:tabs>
        <w:ind w:left="0" w:firstLine="0"/>
      </w:pPr>
    </w:lvl>
    <w:lvl w:ilvl="1">
      <w:start w:val="1"/>
      <w:numFmt w:val="lowerLetter"/>
      <w:lvlText w:val="(%2)"/>
      <w:lvlJc w:val="left"/>
      <w:pPr>
        <w:tabs>
          <w:tab w:val="num" w:pos="6663"/>
        </w:tabs>
        <w:ind w:left="6096" w:firstLine="0"/>
      </w:pPr>
      <w:rPr>
        <w:rFonts w:hint="default"/>
        <w:i w:val="0"/>
      </w:r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3"/>
  </w:num>
  <w:num w:numId="2">
    <w:abstractNumId w:val="6"/>
  </w:num>
  <w:num w:numId="3">
    <w:abstractNumId w:val="0"/>
  </w:num>
  <w:num w:numId="4">
    <w:abstractNumId w:val="7"/>
  </w:num>
  <w:num w:numId="5">
    <w:abstractNumId w:val="1"/>
  </w:num>
  <w:num w:numId="6">
    <w:abstractNumId w:val="4"/>
  </w:num>
  <w:num w:numId="7">
    <w:abstractNumId w:val="10"/>
  </w:num>
  <w:num w:numId="8">
    <w:abstractNumId w:val="1"/>
  </w:num>
  <w:num w:numId="9">
    <w:abstractNumId w:val="11"/>
  </w:num>
  <w:num w:numId="10">
    <w:abstractNumId w:val="9"/>
  </w:num>
  <w:num w:numId="11">
    <w:abstractNumId w:val="2"/>
  </w:num>
  <w:num w:numId="12">
    <w:abstractNumId w:val="5"/>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1B4"/>
    <w:rsid w:val="000062AC"/>
    <w:rsid w:val="00016319"/>
    <w:rsid w:val="00030198"/>
    <w:rsid w:val="00043CAA"/>
    <w:rsid w:val="000532E4"/>
    <w:rsid w:val="00056248"/>
    <w:rsid w:val="00061ACE"/>
    <w:rsid w:val="00075432"/>
    <w:rsid w:val="000852CC"/>
    <w:rsid w:val="0008638A"/>
    <w:rsid w:val="000968ED"/>
    <w:rsid w:val="000C52C1"/>
    <w:rsid w:val="000D7006"/>
    <w:rsid w:val="000E39FE"/>
    <w:rsid w:val="000F5E56"/>
    <w:rsid w:val="00124341"/>
    <w:rsid w:val="001362EE"/>
    <w:rsid w:val="001367D4"/>
    <w:rsid w:val="00141F21"/>
    <w:rsid w:val="00152C98"/>
    <w:rsid w:val="001647D5"/>
    <w:rsid w:val="001753D4"/>
    <w:rsid w:val="001832A6"/>
    <w:rsid w:val="001879B8"/>
    <w:rsid w:val="001971BB"/>
    <w:rsid w:val="001B3A19"/>
    <w:rsid w:val="001C2D1B"/>
    <w:rsid w:val="001C7FF7"/>
    <w:rsid w:val="001F7A6B"/>
    <w:rsid w:val="0021217E"/>
    <w:rsid w:val="002531D4"/>
    <w:rsid w:val="002634C4"/>
    <w:rsid w:val="00281763"/>
    <w:rsid w:val="002928D3"/>
    <w:rsid w:val="002A06CB"/>
    <w:rsid w:val="002C41B4"/>
    <w:rsid w:val="002D6521"/>
    <w:rsid w:val="002E249E"/>
    <w:rsid w:val="002F0DE4"/>
    <w:rsid w:val="002F1FE6"/>
    <w:rsid w:val="002F2B7E"/>
    <w:rsid w:val="002F4E68"/>
    <w:rsid w:val="00312F7F"/>
    <w:rsid w:val="003266D2"/>
    <w:rsid w:val="00347C04"/>
    <w:rsid w:val="00361450"/>
    <w:rsid w:val="003673CF"/>
    <w:rsid w:val="003824EA"/>
    <w:rsid w:val="003845C1"/>
    <w:rsid w:val="00387DEE"/>
    <w:rsid w:val="003A33DB"/>
    <w:rsid w:val="003A6F89"/>
    <w:rsid w:val="003B38C1"/>
    <w:rsid w:val="004141DF"/>
    <w:rsid w:val="00423E3E"/>
    <w:rsid w:val="004263E5"/>
    <w:rsid w:val="00427AF4"/>
    <w:rsid w:val="0043788E"/>
    <w:rsid w:val="004647DA"/>
    <w:rsid w:val="00466CD2"/>
    <w:rsid w:val="00474062"/>
    <w:rsid w:val="00477D6B"/>
    <w:rsid w:val="004937CF"/>
    <w:rsid w:val="004976F3"/>
    <w:rsid w:val="004A0B4E"/>
    <w:rsid w:val="004A476F"/>
    <w:rsid w:val="004B0E67"/>
    <w:rsid w:val="005019FF"/>
    <w:rsid w:val="00515E24"/>
    <w:rsid w:val="0053057A"/>
    <w:rsid w:val="00532EBD"/>
    <w:rsid w:val="00560A29"/>
    <w:rsid w:val="0056254B"/>
    <w:rsid w:val="005678F1"/>
    <w:rsid w:val="00590E83"/>
    <w:rsid w:val="00596EE4"/>
    <w:rsid w:val="005A7CBF"/>
    <w:rsid w:val="005B2F3A"/>
    <w:rsid w:val="005C113E"/>
    <w:rsid w:val="005C6649"/>
    <w:rsid w:val="00605827"/>
    <w:rsid w:val="00640D93"/>
    <w:rsid w:val="00642D44"/>
    <w:rsid w:val="00646050"/>
    <w:rsid w:val="006466A5"/>
    <w:rsid w:val="006713CA"/>
    <w:rsid w:val="00676C5C"/>
    <w:rsid w:val="0068293A"/>
    <w:rsid w:val="006A4B4F"/>
    <w:rsid w:val="006B768F"/>
    <w:rsid w:val="006D6DF6"/>
    <w:rsid w:val="006E692A"/>
    <w:rsid w:val="006F2EF8"/>
    <w:rsid w:val="006F3FD6"/>
    <w:rsid w:val="00737ABE"/>
    <w:rsid w:val="00762E57"/>
    <w:rsid w:val="00771B48"/>
    <w:rsid w:val="0079469E"/>
    <w:rsid w:val="007B0D23"/>
    <w:rsid w:val="007B3BE7"/>
    <w:rsid w:val="007C121E"/>
    <w:rsid w:val="007D1613"/>
    <w:rsid w:val="007E017B"/>
    <w:rsid w:val="007E15F6"/>
    <w:rsid w:val="007E4C0E"/>
    <w:rsid w:val="00831F5C"/>
    <w:rsid w:val="00843781"/>
    <w:rsid w:val="0084453C"/>
    <w:rsid w:val="0084496E"/>
    <w:rsid w:val="00864F25"/>
    <w:rsid w:val="008B2CC1"/>
    <w:rsid w:val="008B60B2"/>
    <w:rsid w:val="008B66FE"/>
    <w:rsid w:val="008C5201"/>
    <w:rsid w:val="008D4E62"/>
    <w:rsid w:val="0090731E"/>
    <w:rsid w:val="00916EE2"/>
    <w:rsid w:val="00944215"/>
    <w:rsid w:val="00963082"/>
    <w:rsid w:val="00966A22"/>
    <w:rsid w:val="0096722F"/>
    <w:rsid w:val="00971882"/>
    <w:rsid w:val="00980843"/>
    <w:rsid w:val="009A045E"/>
    <w:rsid w:val="009E2791"/>
    <w:rsid w:val="009E3F6F"/>
    <w:rsid w:val="009F499F"/>
    <w:rsid w:val="00A16D02"/>
    <w:rsid w:val="00A42DAF"/>
    <w:rsid w:val="00A45BD8"/>
    <w:rsid w:val="00A53FAD"/>
    <w:rsid w:val="00A869B7"/>
    <w:rsid w:val="00AA5355"/>
    <w:rsid w:val="00AC205C"/>
    <w:rsid w:val="00AC2159"/>
    <w:rsid w:val="00AE0E7A"/>
    <w:rsid w:val="00AF0A6B"/>
    <w:rsid w:val="00B05A69"/>
    <w:rsid w:val="00B14099"/>
    <w:rsid w:val="00B42CA0"/>
    <w:rsid w:val="00B45495"/>
    <w:rsid w:val="00B6308A"/>
    <w:rsid w:val="00B8422D"/>
    <w:rsid w:val="00B9734B"/>
    <w:rsid w:val="00B97350"/>
    <w:rsid w:val="00BA30E2"/>
    <w:rsid w:val="00BB6482"/>
    <w:rsid w:val="00BF1AEE"/>
    <w:rsid w:val="00C018D6"/>
    <w:rsid w:val="00C11BFE"/>
    <w:rsid w:val="00C17C4C"/>
    <w:rsid w:val="00C32249"/>
    <w:rsid w:val="00C44B9B"/>
    <w:rsid w:val="00C5068F"/>
    <w:rsid w:val="00C66B38"/>
    <w:rsid w:val="00C70119"/>
    <w:rsid w:val="00C70AB2"/>
    <w:rsid w:val="00C71271"/>
    <w:rsid w:val="00C8405E"/>
    <w:rsid w:val="00C86D74"/>
    <w:rsid w:val="00C87D82"/>
    <w:rsid w:val="00C91AF8"/>
    <w:rsid w:val="00C97369"/>
    <w:rsid w:val="00CA26C5"/>
    <w:rsid w:val="00CC1AC6"/>
    <w:rsid w:val="00CC2F5B"/>
    <w:rsid w:val="00CD02C6"/>
    <w:rsid w:val="00CD04F1"/>
    <w:rsid w:val="00D04957"/>
    <w:rsid w:val="00D17C05"/>
    <w:rsid w:val="00D17DE1"/>
    <w:rsid w:val="00D232EC"/>
    <w:rsid w:val="00D257F6"/>
    <w:rsid w:val="00D33424"/>
    <w:rsid w:val="00D36CD6"/>
    <w:rsid w:val="00D45252"/>
    <w:rsid w:val="00D70F1C"/>
    <w:rsid w:val="00D71B4D"/>
    <w:rsid w:val="00D830F1"/>
    <w:rsid w:val="00D87274"/>
    <w:rsid w:val="00D93D55"/>
    <w:rsid w:val="00DA71C9"/>
    <w:rsid w:val="00DB0850"/>
    <w:rsid w:val="00DB4901"/>
    <w:rsid w:val="00DC1C42"/>
    <w:rsid w:val="00DC7314"/>
    <w:rsid w:val="00DD7E4E"/>
    <w:rsid w:val="00DE01CA"/>
    <w:rsid w:val="00DE7F0A"/>
    <w:rsid w:val="00E1308E"/>
    <w:rsid w:val="00E15015"/>
    <w:rsid w:val="00E335FE"/>
    <w:rsid w:val="00E5578A"/>
    <w:rsid w:val="00E62C4F"/>
    <w:rsid w:val="00E96CD1"/>
    <w:rsid w:val="00EA137E"/>
    <w:rsid w:val="00EC4E49"/>
    <w:rsid w:val="00ED77FB"/>
    <w:rsid w:val="00EE45FA"/>
    <w:rsid w:val="00EE5463"/>
    <w:rsid w:val="00EE6491"/>
    <w:rsid w:val="00F0045D"/>
    <w:rsid w:val="00F02DDF"/>
    <w:rsid w:val="00F21683"/>
    <w:rsid w:val="00F21ACB"/>
    <w:rsid w:val="00F22038"/>
    <w:rsid w:val="00F23626"/>
    <w:rsid w:val="00F2735A"/>
    <w:rsid w:val="00F36A0C"/>
    <w:rsid w:val="00F42153"/>
    <w:rsid w:val="00F45CC2"/>
    <w:rsid w:val="00F47B4D"/>
    <w:rsid w:val="00F6364C"/>
    <w:rsid w:val="00F66152"/>
    <w:rsid w:val="00F97563"/>
    <w:rsid w:val="00FB422E"/>
    <w:rsid w:val="00FB5124"/>
    <w:rsid w:val="00FC37D2"/>
    <w:rsid w:val="00FC5538"/>
    <w:rsid w:val="00FC6E2F"/>
    <w:rsid w:val="00FD2015"/>
    <w:rsid w:val="00FF288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3AB0579D"/>
  <w15:docId w15:val="{B17DBF72-3A32-43EE-A1DE-3EFE12E89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2C41B4"/>
    <w:rPr>
      <w:rFonts w:ascii="Tahoma" w:hAnsi="Tahoma" w:cs="Tahoma"/>
      <w:sz w:val="16"/>
      <w:szCs w:val="16"/>
    </w:rPr>
  </w:style>
  <w:style w:type="character" w:customStyle="1" w:styleId="BalloonTextChar">
    <w:name w:val="Balloon Text Char"/>
    <w:basedOn w:val="DefaultParagraphFont"/>
    <w:link w:val="BalloonText"/>
    <w:rsid w:val="002C41B4"/>
    <w:rPr>
      <w:rFonts w:ascii="Tahoma" w:eastAsia="SimSun" w:hAnsi="Tahoma" w:cs="Tahoma"/>
      <w:sz w:val="16"/>
      <w:szCs w:val="16"/>
      <w:lang w:eastAsia="zh-CN"/>
    </w:rPr>
  </w:style>
  <w:style w:type="paragraph" w:customStyle="1" w:styleId="OHIMTEXT">
    <w:name w:val="OHIM TEXT"/>
    <w:basedOn w:val="Normal"/>
    <w:link w:val="OHIMTEXTChar"/>
    <w:qFormat/>
    <w:rsid w:val="00596EE4"/>
    <w:pPr>
      <w:jc w:val="both"/>
    </w:pPr>
    <w:rPr>
      <w:rFonts w:eastAsia="Times New Roman"/>
      <w:color w:val="404040" w:themeColor="text1" w:themeTint="BF"/>
      <w:szCs w:val="26"/>
      <w:lang w:val="en-GB" w:eastAsia="en-IE"/>
    </w:rPr>
  </w:style>
  <w:style w:type="character" w:customStyle="1" w:styleId="OHIMTEXTChar">
    <w:name w:val="OHIM TEXT Char"/>
    <w:basedOn w:val="DefaultParagraphFont"/>
    <w:link w:val="OHIMTEXT"/>
    <w:rsid w:val="00596EE4"/>
    <w:rPr>
      <w:rFonts w:ascii="Arial" w:hAnsi="Arial" w:cs="Arial"/>
      <w:color w:val="404040" w:themeColor="text1" w:themeTint="BF"/>
      <w:sz w:val="22"/>
      <w:szCs w:val="26"/>
      <w:lang w:val="en-GB" w:eastAsia="en-IE"/>
    </w:rPr>
  </w:style>
  <w:style w:type="character" w:styleId="Hyperlink">
    <w:name w:val="Hyperlink"/>
    <w:uiPriority w:val="99"/>
    <w:unhideWhenUsed/>
    <w:rsid w:val="00596EE4"/>
    <w:rPr>
      <w:color w:val="0000FF"/>
      <w:u w:val="single"/>
    </w:rPr>
  </w:style>
  <w:style w:type="character" w:customStyle="1" w:styleId="FootnoteTextChar">
    <w:name w:val="Footnote Text Char"/>
    <w:basedOn w:val="DefaultParagraphFont"/>
    <w:link w:val="FootnoteText"/>
    <w:uiPriority w:val="99"/>
    <w:semiHidden/>
    <w:rsid w:val="00596EE4"/>
    <w:rPr>
      <w:rFonts w:ascii="Arial" w:eastAsia="SimSun" w:hAnsi="Arial" w:cs="Arial"/>
      <w:sz w:val="18"/>
      <w:lang w:eastAsia="zh-CN"/>
    </w:rPr>
  </w:style>
  <w:style w:type="character" w:styleId="FootnoteReference">
    <w:name w:val="footnote reference"/>
    <w:basedOn w:val="DefaultParagraphFont"/>
    <w:uiPriority w:val="99"/>
    <w:unhideWhenUsed/>
    <w:rsid w:val="00596EE4"/>
    <w:rPr>
      <w:vertAlign w:val="superscript"/>
    </w:rPr>
  </w:style>
  <w:style w:type="paragraph" w:customStyle="1" w:styleId="TownDate">
    <w:name w:val="Town Date"/>
    <w:basedOn w:val="Normal"/>
    <w:link w:val="TownDateChar"/>
    <w:qFormat/>
    <w:rsid w:val="00596EE4"/>
    <w:pPr>
      <w:widowControl w:val="0"/>
      <w:spacing w:line="240" w:lineRule="atLeast"/>
      <w:ind w:right="95"/>
      <w:jc w:val="right"/>
    </w:pPr>
    <w:rPr>
      <w:rFonts w:eastAsia="Times New Roman"/>
      <w:color w:val="595959" w:themeColor="text1" w:themeTint="A6"/>
      <w:szCs w:val="22"/>
      <w:lang w:val="en-IE" w:eastAsia="en-US"/>
    </w:rPr>
  </w:style>
  <w:style w:type="character" w:customStyle="1" w:styleId="TownDateChar">
    <w:name w:val="Town Date Char"/>
    <w:basedOn w:val="DefaultParagraphFont"/>
    <w:link w:val="TownDate"/>
    <w:rsid w:val="00596EE4"/>
    <w:rPr>
      <w:rFonts w:ascii="Arial" w:hAnsi="Arial" w:cs="Arial"/>
      <w:color w:val="595959" w:themeColor="text1" w:themeTint="A6"/>
      <w:sz w:val="22"/>
      <w:szCs w:val="22"/>
      <w:lang w:val="en-IE"/>
    </w:rPr>
  </w:style>
  <w:style w:type="paragraph" w:customStyle="1" w:styleId="Refnumber">
    <w:name w:val="Ref number"/>
    <w:basedOn w:val="Normal"/>
    <w:link w:val="RefnumberChar"/>
    <w:qFormat/>
    <w:rsid w:val="00596EE4"/>
    <w:pPr>
      <w:widowControl w:val="0"/>
      <w:spacing w:line="240" w:lineRule="atLeast"/>
      <w:ind w:right="95"/>
      <w:jc w:val="right"/>
    </w:pPr>
    <w:rPr>
      <w:rFonts w:eastAsia="Times New Roman"/>
      <w:color w:val="595959" w:themeColor="text1" w:themeTint="A6"/>
      <w:sz w:val="18"/>
      <w:szCs w:val="18"/>
      <w:lang w:val="en-GB" w:eastAsia="en-US"/>
    </w:rPr>
  </w:style>
  <w:style w:type="character" w:customStyle="1" w:styleId="RefnumberChar">
    <w:name w:val="Ref number Char"/>
    <w:basedOn w:val="DefaultParagraphFont"/>
    <w:link w:val="Refnumber"/>
    <w:rsid w:val="00596EE4"/>
    <w:rPr>
      <w:rFonts w:ascii="Arial" w:hAnsi="Arial" w:cs="Arial"/>
      <w:color w:val="595959" w:themeColor="text1" w:themeTint="A6"/>
      <w:sz w:val="18"/>
      <w:szCs w:val="18"/>
      <w:lang w:val="en-GB"/>
    </w:rPr>
  </w:style>
  <w:style w:type="character" w:customStyle="1" w:styleId="ONUMEChar">
    <w:name w:val="ONUM E Char"/>
    <w:link w:val="ONUME"/>
    <w:rsid w:val="00596EE4"/>
    <w:rPr>
      <w:rFonts w:ascii="Arial" w:eastAsia="SimSun" w:hAnsi="Arial" w:cs="Arial"/>
      <w:sz w:val="22"/>
      <w:lang w:eastAsia="zh-CN"/>
    </w:rPr>
  </w:style>
  <w:style w:type="paragraph" w:customStyle="1" w:styleId="H3-Decision">
    <w:name w:val="H3-Decision"/>
    <w:basedOn w:val="Heading3"/>
    <w:link w:val="H3-DecisionChar"/>
    <w:rsid w:val="00596EE4"/>
    <w:pPr>
      <w:spacing w:before="0" w:after="240"/>
      <w:ind w:left="4536"/>
    </w:pPr>
    <w:rPr>
      <w:rFonts w:ascii="Times New Roman" w:eastAsia="Times New Roman" w:hAnsi="Times New Roman" w:cs="Times New Roman"/>
      <w:bCs w:val="0"/>
      <w:i/>
      <w:sz w:val="24"/>
      <w:szCs w:val="24"/>
      <w:u w:val="none"/>
    </w:rPr>
  </w:style>
  <w:style w:type="character" w:customStyle="1" w:styleId="H3-DecisionChar">
    <w:name w:val="H3-Decision Char"/>
    <w:link w:val="H3-Decision"/>
    <w:rsid w:val="00596EE4"/>
    <w:rPr>
      <w:i/>
      <w:sz w:val="24"/>
      <w:szCs w:val="24"/>
      <w:lang w:eastAsia="zh-CN"/>
    </w:rPr>
  </w:style>
  <w:style w:type="paragraph" w:customStyle="1" w:styleId="Indent1">
    <w:name w:val="Indent 1"/>
    <w:basedOn w:val="Normal"/>
    <w:rsid w:val="00596EE4"/>
    <w:pPr>
      <w:spacing w:after="120" w:line="260" w:lineRule="atLeast"/>
      <w:ind w:left="2268" w:hanging="567"/>
    </w:pPr>
    <w:rPr>
      <w:rFonts w:eastAsia="Times New Roman" w:cs="Times New Roman"/>
      <w:sz w:val="20"/>
      <w:lang w:eastAsia="en-US"/>
    </w:rPr>
  </w:style>
  <w:style w:type="character" w:customStyle="1" w:styleId="HeaderChar">
    <w:name w:val="Header Char"/>
    <w:basedOn w:val="DefaultParagraphFont"/>
    <w:link w:val="Header"/>
    <w:uiPriority w:val="99"/>
    <w:rsid w:val="00EA137E"/>
    <w:rPr>
      <w:rFonts w:ascii="Arial" w:eastAsia="SimSun" w:hAnsi="Arial" w:cs="Arial"/>
      <w:sz w:val="22"/>
      <w:lang w:eastAsia="zh-CN"/>
    </w:rPr>
  </w:style>
  <w:style w:type="paragraph" w:styleId="ListParagraph">
    <w:name w:val="List Paragraph"/>
    <w:basedOn w:val="Normal"/>
    <w:uiPriority w:val="34"/>
    <w:qFormat/>
    <w:rsid w:val="000852CC"/>
    <w:pPr>
      <w:ind w:left="720"/>
      <w:contextualSpacing/>
    </w:pPr>
  </w:style>
  <w:style w:type="character" w:styleId="CommentReference">
    <w:name w:val="annotation reference"/>
    <w:basedOn w:val="DefaultParagraphFont"/>
    <w:rsid w:val="00DC7314"/>
    <w:rPr>
      <w:sz w:val="16"/>
      <w:szCs w:val="16"/>
    </w:rPr>
  </w:style>
  <w:style w:type="paragraph" w:styleId="CommentSubject">
    <w:name w:val="annotation subject"/>
    <w:basedOn w:val="CommentText"/>
    <w:next w:val="CommentText"/>
    <w:link w:val="CommentSubjectChar"/>
    <w:rsid w:val="00DC7314"/>
    <w:rPr>
      <w:b/>
      <w:bCs/>
      <w:sz w:val="20"/>
    </w:rPr>
  </w:style>
  <w:style w:type="character" w:customStyle="1" w:styleId="CommentTextChar">
    <w:name w:val="Comment Text Char"/>
    <w:basedOn w:val="DefaultParagraphFont"/>
    <w:link w:val="CommentText"/>
    <w:semiHidden/>
    <w:rsid w:val="00DC7314"/>
    <w:rPr>
      <w:rFonts w:ascii="Arial" w:eastAsia="SimSun" w:hAnsi="Arial" w:cs="Arial"/>
      <w:sz w:val="18"/>
      <w:lang w:eastAsia="zh-CN"/>
    </w:rPr>
  </w:style>
  <w:style w:type="character" w:customStyle="1" w:styleId="CommentSubjectChar">
    <w:name w:val="Comment Subject Char"/>
    <w:basedOn w:val="CommentTextChar"/>
    <w:link w:val="CommentSubject"/>
    <w:rsid w:val="00DC7314"/>
    <w:rPr>
      <w:rFonts w:ascii="Arial" w:eastAsia="SimSun" w:hAnsi="Arial" w:cs="Arial"/>
      <w:b/>
      <w:bCs/>
      <w:sz w:val="18"/>
      <w:lang w:eastAsia="zh-CN"/>
    </w:rPr>
  </w:style>
  <w:style w:type="character" w:customStyle="1" w:styleId="BodyTextChar">
    <w:name w:val="Body Text Char"/>
    <w:basedOn w:val="DefaultParagraphFont"/>
    <w:link w:val="BodyText"/>
    <w:rsid w:val="001F7A6B"/>
    <w:rPr>
      <w:rFonts w:ascii="Arial" w:eastAsia="SimSun" w:hAnsi="Arial" w:cs="Arial"/>
      <w:sz w:val="22"/>
      <w:lang w:eastAsia="zh-CN"/>
    </w:rPr>
  </w:style>
  <w:style w:type="character" w:styleId="FollowedHyperlink">
    <w:name w:val="FollowedHyperlink"/>
    <w:basedOn w:val="DefaultParagraphFont"/>
    <w:semiHidden/>
    <w:unhideWhenUsed/>
    <w:rsid w:val="00D17DE1"/>
    <w:rPr>
      <w:color w:val="800080" w:themeColor="followedHyperlink"/>
      <w:u w:val="single"/>
    </w:rPr>
  </w:style>
  <w:style w:type="character" w:customStyle="1" w:styleId="Heading2Char">
    <w:name w:val="Heading 2 Char"/>
    <w:basedOn w:val="DefaultParagraphFont"/>
    <w:link w:val="Heading2"/>
    <w:rsid w:val="00AA5355"/>
    <w:rPr>
      <w:rFonts w:ascii="Arial" w:eastAsia="SimSun" w:hAnsi="Arial" w:cs="Arial"/>
      <w:bCs/>
      <w:iCs/>
      <w:caps/>
      <w:sz w:val="22"/>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374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http://www.wipo.int/edocs/mdocs/classifications/en/cws_6/cws_6_13-annex1.xlsx" TargetMode="Externa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2BB29C-25A3-476E-86EF-66C3E025C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5</Pages>
  <Words>1155</Words>
  <Characters>6096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CWS/6/13 (in English)</vt:lpstr>
    </vt:vector>
  </TitlesOfParts>
  <Company>WIPO</Company>
  <LinksUpToDate>false</LinksUpToDate>
  <CharactersWithSpaces>7237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CWS/6/13 (in English)</dc:title>
  <dc:subject>IMPLEMENTATION PLAN OF WIPO STANDARD ST.27 BY INTELLECTUAL PROPERTY OFFICES</dc:subject>
  <dc:creator>WIPO</dc:creator>
  <cp:keywords>CWS (in English)</cp:keywords>
  <cp:lastModifiedBy>DRAKE Sophie</cp:lastModifiedBy>
  <cp:revision>11</cp:revision>
  <cp:lastPrinted>2018-09-12T12:43:00Z</cp:lastPrinted>
  <dcterms:created xsi:type="dcterms:W3CDTF">2018-09-10T15:06:00Z</dcterms:created>
  <dcterms:modified xsi:type="dcterms:W3CDTF">2018-09-12T12:43:00Z</dcterms:modified>
  <cp:category>CWS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1254281593</vt:i4>
  </property>
</Properties>
</file>