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903948">
        <w:trPr>
          <w:trHeight w:val="2336"/>
        </w:trPr>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7B336B" w:rsidP="00916EE2">
            <w:r>
              <w:rPr>
                <w:noProof/>
                <w:lang w:eastAsia="en-US"/>
              </w:rPr>
              <w:drawing>
                <wp:inline distT="0" distB="0" distL="0" distR="0">
                  <wp:extent cx="1859280" cy="1325880"/>
                  <wp:effectExtent l="0" t="0" r="7620" b="762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9280" cy="132588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42DAF" w:rsidP="00321CB7">
            <w:pPr>
              <w:jc w:val="right"/>
              <w:rPr>
                <w:rFonts w:ascii="Arial Black" w:hAnsi="Arial Black"/>
                <w:caps/>
                <w:sz w:val="15"/>
              </w:rPr>
            </w:pPr>
            <w:r>
              <w:rPr>
                <w:rFonts w:ascii="Arial Black" w:hAnsi="Arial Black"/>
                <w:caps/>
                <w:sz w:val="15"/>
              </w:rPr>
              <w:t xml:space="preserve"> </w:t>
            </w:r>
            <w:r w:rsidR="008B2CC1" w:rsidRPr="0090731E">
              <w:rPr>
                <w:rFonts w:ascii="Arial Black" w:hAnsi="Arial Black"/>
                <w:caps/>
                <w:sz w:val="15"/>
              </w:rPr>
              <w:t xml:space="preserve"> </w:t>
            </w:r>
            <w:bookmarkStart w:id="0" w:name="Code"/>
            <w:bookmarkEnd w:id="0"/>
            <w:r w:rsidR="00903948">
              <w:rPr>
                <w:rFonts w:ascii="Arial Black" w:hAnsi="Arial Black"/>
                <w:caps/>
                <w:sz w:val="15"/>
              </w:rPr>
              <w:t>CLIM/CE/2</w:t>
            </w:r>
            <w:r w:rsidR="00E159B4">
              <w:rPr>
                <w:rFonts w:ascii="Arial Black" w:hAnsi="Arial Black"/>
                <w:caps/>
                <w:sz w:val="15"/>
              </w:rPr>
              <w:t>5</w:t>
            </w:r>
            <w:r w:rsidR="00903948">
              <w:rPr>
                <w:rFonts w:ascii="Arial Black" w:hAnsi="Arial Black"/>
                <w:caps/>
                <w:sz w:val="15"/>
              </w:rPr>
              <w:t>/2</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903948">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321CB7">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321CB7">
              <w:rPr>
                <w:rFonts w:ascii="Arial Black" w:hAnsi="Arial Black"/>
                <w:caps/>
                <w:sz w:val="15"/>
              </w:rPr>
              <w:t>June</w:t>
            </w:r>
            <w:r w:rsidR="00616F1F">
              <w:rPr>
                <w:rFonts w:ascii="Arial Black" w:hAnsi="Arial Black"/>
                <w:caps/>
                <w:sz w:val="15"/>
              </w:rPr>
              <w:t xml:space="preserve"> </w:t>
            </w:r>
            <w:r w:rsidR="00E159B4">
              <w:rPr>
                <w:rFonts w:ascii="Arial Black" w:hAnsi="Arial Black"/>
                <w:caps/>
                <w:sz w:val="15"/>
              </w:rPr>
              <w:t>1</w:t>
            </w:r>
            <w:r w:rsidR="00A3199B">
              <w:rPr>
                <w:rFonts w:ascii="Arial Black" w:hAnsi="Arial Black"/>
                <w:caps/>
                <w:sz w:val="15"/>
              </w:rPr>
              <w:t>0</w:t>
            </w:r>
            <w:r w:rsidR="00903948">
              <w:rPr>
                <w:rFonts w:ascii="Arial Black" w:hAnsi="Arial Black"/>
                <w:caps/>
                <w:sz w:val="15"/>
              </w:rPr>
              <w:t>, 201</w:t>
            </w:r>
            <w:r w:rsidR="00E159B4">
              <w:rPr>
                <w:rFonts w:ascii="Arial Black" w:hAnsi="Arial Black"/>
                <w:caps/>
                <w:sz w:val="15"/>
              </w:rPr>
              <w:t>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Default="00903948" w:rsidP="008B2CC1">
      <w:pPr>
        <w:rPr>
          <w:b/>
          <w:sz w:val="28"/>
          <w:szCs w:val="28"/>
        </w:rPr>
      </w:pPr>
      <w:r>
        <w:rPr>
          <w:b/>
          <w:sz w:val="28"/>
          <w:szCs w:val="28"/>
        </w:rPr>
        <w:t>Special Union for the International Classification of Goods and Services for the Purposes of the Registration of Marks (Nice Union)</w:t>
      </w:r>
    </w:p>
    <w:p w:rsidR="00903948" w:rsidRDefault="00903948" w:rsidP="008B2CC1">
      <w:pPr>
        <w:rPr>
          <w:b/>
          <w:sz w:val="28"/>
          <w:szCs w:val="28"/>
        </w:rPr>
      </w:pPr>
    </w:p>
    <w:p w:rsidR="00903948" w:rsidRPr="003845C1" w:rsidRDefault="00903948" w:rsidP="008B2CC1">
      <w:pPr>
        <w:rPr>
          <w:b/>
          <w:sz w:val="28"/>
          <w:szCs w:val="28"/>
        </w:rPr>
      </w:pPr>
      <w:r>
        <w:rPr>
          <w:b/>
          <w:sz w:val="28"/>
          <w:szCs w:val="28"/>
        </w:rPr>
        <w:t>Committee of Experts</w:t>
      </w:r>
    </w:p>
    <w:p w:rsidR="003845C1" w:rsidRDefault="003845C1" w:rsidP="003845C1"/>
    <w:p w:rsidR="003845C1" w:rsidRDefault="003845C1" w:rsidP="003845C1"/>
    <w:p w:rsidR="008B2CC1" w:rsidRPr="003845C1" w:rsidRDefault="00903948" w:rsidP="008B2CC1">
      <w:pPr>
        <w:rPr>
          <w:b/>
          <w:sz w:val="24"/>
          <w:szCs w:val="24"/>
        </w:rPr>
      </w:pPr>
      <w:r>
        <w:rPr>
          <w:b/>
          <w:sz w:val="24"/>
          <w:szCs w:val="24"/>
        </w:rPr>
        <w:t>Twenty-</w:t>
      </w:r>
      <w:r w:rsidR="00616F1F">
        <w:rPr>
          <w:b/>
          <w:sz w:val="24"/>
          <w:szCs w:val="24"/>
        </w:rPr>
        <w:t>F</w:t>
      </w:r>
      <w:r w:rsidR="00E159B4">
        <w:rPr>
          <w:b/>
          <w:sz w:val="24"/>
          <w:szCs w:val="24"/>
        </w:rPr>
        <w:t>if</w:t>
      </w:r>
      <w:r w:rsidR="00616F1F">
        <w:rPr>
          <w:b/>
          <w:sz w:val="24"/>
          <w:szCs w:val="24"/>
        </w:rPr>
        <w:t xml:space="preserve">th </w:t>
      </w:r>
      <w:proofErr w:type="gramStart"/>
      <w:r w:rsidR="003845C1" w:rsidRPr="003845C1">
        <w:rPr>
          <w:b/>
          <w:sz w:val="24"/>
          <w:szCs w:val="24"/>
        </w:rPr>
        <w:t>Session</w:t>
      </w:r>
      <w:proofErr w:type="gramEnd"/>
    </w:p>
    <w:p w:rsidR="008B2CC1" w:rsidRPr="003845C1" w:rsidRDefault="00903948" w:rsidP="008B2CC1">
      <w:pPr>
        <w:rPr>
          <w:b/>
          <w:sz w:val="24"/>
          <w:szCs w:val="24"/>
        </w:rPr>
      </w:pPr>
      <w:r>
        <w:rPr>
          <w:b/>
          <w:sz w:val="24"/>
          <w:szCs w:val="24"/>
        </w:rPr>
        <w:t>Geneva, April 2</w:t>
      </w:r>
      <w:r w:rsidR="00E159B4">
        <w:rPr>
          <w:b/>
          <w:sz w:val="24"/>
          <w:szCs w:val="24"/>
        </w:rPr>
        <w:t>7</w:t>
      </w:r>
      <w:r>
        <w:rPr>
          <w:b/>
          <w:sz w:val="24"/>
          <w:szCs w:val="24"/>
        </w:rPr>
        <w:t xml:space="preserve"> to </w:t>
      </w:r>
      <w:r w:rsidR="00616F1F">
        <w:rPr>
          <w:b/>
          <w:sz w:val="24"/>
          <w:szCs w:val="24"/>
        </w:rPr>
        <w:t xml:space="preserve">May </w:t>
      </w:r>
      <w:r w:rsidR="00E159B4">
        <w:rPr>
          <w:b/>
          <w:sz w:val="24"/>
          <w:szCs w:val="24"/>
        </w:rPr>
        <w:t>1</w:t>
      </w:r>
      <w:r>
        <w:rPr>
          <w:b/>
          <w:sz w:val="24"/>
          <w:szCs w:val="24"/>
        </w:rPr>
        <w:t>, 201</w:t>
      </w:r>
      <w:r w:rsidR="00E159B4">
        <w:rPr>
          <w:b/>
          <w:sz w:val="24"/>
          <w:szCs w:val="24"/>
        </w:rPr>
        <w:t>5</w:t>
      </w:r>
    </w:p>
    <w:p w:rsidR="008B2CC1" w:rsidRPr="008B2CC1" w:rsidRDefault="008B2CC1" w:rsidP="008B2CC1"/>
    <w:p w:rsidR="008B2CC1" w:rsidRPr="008B2CC1" w:rsidRDefault="008B2CC1" w:rsidP="008B2CC1"/>
    <w:p w:rsidR="008B2CC1" w:rsidRPr="008B2CC1" w:rsidRDefault="008B2CC1" w:rsidP="008B2CC1"/>
    <w:p w:rsidR="008B2CC1" w:rsidRPr="003845C1" w:rsidRDefault="00903948" w:rsidP="008B2CC1">
      <w:pPr>
        <w:rPr>
          <w:caps/>
          <w:sz w:val="24"/>
        </w:rPr>
      </w:pPr>
      <w:bookmarkStart w:id="3" w:name="TitleOfDoc"/>
      <w:bookmarkEnd w:id="3"/>
      <w:r>
        <w:rPr>
          <w:caps/>
          <w:sz w:val="24"/>
        </w:rPr>
        <w:t>REPORT</w:t>
      </w:r>
    </w:p>
    <w:p w:rsidR="008B2CC1" w:rsidRPr="008B2CC1" w:rsidRDefault="008B2CC1" w:rsidP="008B2CC1"/>
    <w:p w:rsidR="008B2CC1" w:rsidRPr="008B2CC1" w:rsidRDefault="00321CB7" w:rsidP="008B2CC1">
      <w:pPr>
        <w:rPr>
          <w:i/>
        </w:rPr>
      </w:pPr>
      <w:bookmarkStart w:id="4" w:name="Prepared"/>
      <w:bookmarkEnd w:id="4"/>
      <w:proofErr w:type="gramStart"/>
      <w:r w:rsidRPr="00321CB7">
        <w:rPr>
          <w:i/>
        </w:rPr>
        <w:t>adopted</w:t>
      </w:r>
      <w:proofErr w:type="gramEnd"/>
      <w:r w:rsidRPr="00321CB7">
        <w:rPr>
          <w:i/>
        </w:rPr>
        <w:t xml:space="preserve"> by the Committee of Experts</w:t>
      </w:r>
    </w:p>
    <w:p w:rsidR="00AC205C" w:rsidRDefault="00AC205C"/>
    <w:p w:rsidR="000F5E56" w:rsidRDefault="000F5E56"/>
    <w:p w:rsidR="002928D3" w:rsidRDefault="002928D3"/>
    <w:p w:rsidR="002928D3" w:rsidRDefault="002928D3" w:rsidP="0053057A"/>
    <w:p w:rsidR="00903948" w:rsidRPr="00A713CD" w:rsidRDefault="00903948" w:rsidP="00A713CD">
      <w:pPr>
        <w:spacing w:line="260" w:lineRule="exact"/>
        <w:rPr>
          <w:b/>
        </w:rPr>
      </w:pPr>
      <w:r w:rsidRPr="00A713CD">
        <w:rPr>
          <w:b/>
        </w:rPr>
        <w:t>INTRODUCTION</w:t>
      </w:r>
    </w:p>
    <w:p w:rsidR="00A713CD" w:rsidRPr="00A713CD" w:rsidRDefault="00A713CD" w:rsidP="00A713CD"/>
    <w:p w:rsidR="00A713CD" w:rsidRDefault="00903948" w:rsidP="00A713CD">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The Committee of Experts of the Nice Union (hereinafter referred to as “the Committee”) held its twenty-</w:t>
      </w:r>
      <w:r w:rsidR="00616F1F">
        <w:rPr>
          <w:szCs w:val="22"/>
        </w:rPr>
        <w:t>f</w:t>
      </w:r>
      <w:r w:rsidR="00E159B4">
        <w:rPr>
          <w:szCs w:val="22"/>
        </w:rPr>
        <w:t>if</w:t>
      </w:r>
      <w:r w:rsidR="00616F1F">
        <w:rPr>
          <w:szCs w:val="22"/>
        </w:rPr>
        <w:t>th</w:t>
      </w:r>
      <w:r w:rsidRPr="003A58E4">
        <w:rPr>
          <w:szCs w:val="22"/>
        </w:rPr>
        <w:t xml:space="preserve"> session in Geneva from April 2</w:t>
      </w:r>
      <w:r w:rsidR="00E159B4">
        <w:rPr>
          <w:szCs w:val="22"/>
        </w:rPr>
        <w:t>7</w:t>
      </w:r>
      <w:r w:rsidRPr="003A58E4">
        <w:rPr>
          <w:szCs w:val="22"/>
        </w:rPr>
        <w:t xml:space="preserve"> to </w:t>
      </w:r>
      <w:r w:rsidR="00616F1F">
        <w:rPr>
          <w:szCs w:val="22"/>
        </w:rPr>
        <w:t xml:space="preserve">May </w:t>
      </w:r>
      <w:r w:rsidR="00E159B4">
        <w:rPr>
          <w:szCs w:val="22"/>
        </w:rPr>
        <w:t>1</w:t>
      </w:r>
      <w:r w:rsidRPr="003A58E4">
        <w:rPr>
          <w:szCs w:val="22"/>
        </w:rPr>
        <w:t>, 201</w:t>
      </w:r>
      <w:r w:rsidR="00E159B4">
        <w:rPr>
          <w:szCs w:val="22"/>
        </w:rPr>
        <w:t>5</w:t>
      </w:r>
      <w:r w:rsidRPr="003A58E4">
        <w:rPr>
          <w:szCs w:val="22"/>
        </w:rPr>
        <w:t xml:space="preserve">.  The following members of the Committee were represented at the session:  </w:t>
      </w:r>
      <w:r w:rsidR="00A914CE">
        <w:rPr>
          <w:szCs w:val="22"/>
        </w:rPr>
        <w:t xml:space="preserve">Argentina, Australia, </w:t>
      </w:r>
      <w:r w:rsidRPr="003A58E4">
        <w:rPr>
          <w:szCs w:val="22"/>
        </w:rPr>
        <w:t xml:space="preserve">Austria, </w:t>
      </w:r>
      <w:r w:rsidR="00A914CE">
        <w:rPr>
          <w:szCs w:val="22"/>
        </w:rPr>
        <w:t xml:space="preserve">Belarus, </w:t>
      </w:r>
      <w:r w:rsidRPr="003A58E4">
        <w:rPr>
          <w:szCs w:val="22"/>
        </w:rPr>
        <w:t xml:space="preserve">China, </w:t>
      </w:r>
      <w:r w:rsidR="00A914CE">
        <w:rPr>
          <w:szCs w:val="22"/>
        </w:rPr>
        <w:t xml:space="preserve">Czech Republic, </w:t>
      </w:r>
      <w:r w:rsidRPr="003A58E4">
        <w:rPr>
          <w:szCs w:val="22"/>
        </w:rPr>
        <w:t xml:space="preserve">Denmark, Estonia, </w:t>
      </w:r>
      <w:r w:rsidR="00A914CE">
        <w:rPr>
          <w:szCs w:val="22"/>
        </w:rPr>
        <w:t xml:space="preserve">Finland, </w:t>
      </w:r>
      <w:r w:rsidRPr="003A58E4">
        <w:rPr>
          <w:szCs w:val="22"/>
        </w:rPr>
        <w:t xml:space="preserve">Germany, </w:t>
      </w:r>
      <w:r>
        <w:rPr>
          <w:szCs w:val="22"/>
        </w:rPr>
        <w:t xml:space="preserve">Israel, </w:t>
      </w:r>
      <w:r w:rsidRPr="003A58E4">
        <w:rPr>
          <w:szCs w:val="22"/>
        </w:rPr>
        <w:t xml:space="preserve">Italy, Japan, </w:t>
      </w:r>
      <w:r>
        <w:rPr>
          <w:szCs w:val="22"/>
        </w:rPr>
        <w:t xml:space="preserve">Latvia, </w:t>
      </w:r>
      <w:r w:rsidRPr="003A58E4">
        <w:rPr>
          <w:szCs w:val="22"/>
        </w:rPr>
        <w:t xml:space="preserve">Lithuania, </w:t>
      </w:r>
      <w:r w:rsidR="00211569">
        <w:rPr>
          <w:szCs w:val="22"/>
        </w:rPr>
        <w:t xml:space="preserve">Luxembourg, </w:t>
      </w:r>
      <w:r w:rsidRPr="003A58E4">
        <w:rPr>
          <w:szCs w:val="22"/>
        </w:rPr>
        <w:t xml:space="preserve">Mexico, Netherlands, Norway, </w:t>
      </w:r>
      <w:r w:rsidR="00A914CE">
        <w:rPr>
          <w:szCs w:val="22"/>
        </w:rPr>
        <w:t xml:space="preserve">Poland, Portugal, </w:t>
      </w:r>
      <w:r w:rsidR="003216E2">
        <w:rPr>
          <w:szCs w:val="22"/>
        </w:rPr>
        <w:t xml:space="preserve">Republic of Korea, </w:t>
      </w:r>
      <w:r w:rsidRPr="003A58E4">
        <w:rPr>
          <w:szCs w:val="22"/>
        </w:rPr>
        <w:t xml:space="preserve">Romania, Russian Federation, </w:t>
      </w:r>
      <w:r w:rsidR="00A914CE">
        <w:rPr>
          <w:szCs w:val="22"/>
        </w:rPr>
        <w:t xml:space="preserve">Serbia, Slovakia, </w:t>
      </w:r>
      <w:r w:rsidRPr="003A58E4">
        <w:rPr>
          <w:szCs w:val="22"/>
        </w:rPr>
        <w:t xml:space="preserve">Spain, Sweden, Switzerland, Turkey, </w:t>
      </w:r>
      <w:r w:rsidR="003216E2">
        <w:rPr>
          <w:szCs w:val="22"/>
        </w:rPr>
        <w:t xml:space="preserve">Ukraine, </w:t>
      </w:r>
      <w:r w:rsidRPr="003A58E4">
        <w:rPr>
          <w:szCs w:val="22"/>
        </w:rPr>
        <w:t>United Kingdom and United States of America</w:t>
      </w:r>
      <w:r w:rsidRPr="003A58E4">
        <w:rPr>
          <w:i/>
          <w:szCs w:val="22"/>
        </w:rPr>
        <w:t xml:space="preserve"> </w:t>
      </w:r>
      <w:r w:rsidRPr="003A58E4">
        <w:rPr>
          <w:szCs w:val="22"/>
        </w:rPr>
        <w:t>(</w:t>
      </w:r>
      <w:r w:rsidR="00A914CE">
        <w:rPr>
          <w:szCs w:val="22"/>
        </w:rPr>
        <w:t>33</w:t>
      </w:r>
      <w:r w:rsidRPr="003A58E4">
        <w:rPr>
          <w:szCs w:val="22"/>
        </w:rPr>
        <w:t xml:space="preserve">).  The following States were represented by observers:  </w:t>
      </w:r>
      <w:r w:rsidR="004161CE">
        <w:rPr>
          <w:szCs w:val="22"/>
        </w:rPr>
        <w:t xml:space="preserve">Canada, </w:t>
      </w:r>
      <w:r w:rsidR="00A914CE">
        <w:rPr>
          <w:szCs w:val="22"/>
        </w:rPr>
        <w:t>Thailand</w:t>
      </w:r>
      <w:r w:rsidR="004161CE">
        <w:rPr>
          <w:szCs w:val="22"/>
        </w:rPr>
        <w:t xml:space="preserve"> and </w:t>
      </w:r>
      <w:r w:rsidR="00A914CE">
        <w:rPr>
          <w:szCs w:val="22"/>
        </w:rPr>
        <w:t>Yemen</w:t>
      </w:r>
      <w:r>
        <w:rPr>
          <w:szCs w:val="22"/>
        </w:rPr>
        <w:t> </w:t>
      </w:r>
      <w:r w:rsidRPr="003A58E4">
        <w:rPr>
          <w:szCs w:val="22"/>
        </w:rPr>
        <w:t>(</w:t>
      </w:r>
      <w:r w:rsidR="004161CE">
        <w:rPr>
          <w:szCs w:val="22"/>
        </w:rPr>
        <w:t>3</w:t>
      </w:r>
      <w:r w:rsidRPr="003A58E4">
        <w:rPr>
          <w:szCs w:val="22"/>
        </w:rPr>
        <w:t>).  Representatives of the following international intergovernmental organizations took part in the session in an observer capacity:  Benelux </w:t>
      </w:r>
      <w:r w:rsidR="00071219">
        <w:rPr>
          <w:szCs w:val="22"/>
        </w:rPr>
        <w:t>O</w:t>
      </w:r>
      <w:r w:rsidR="00E76B13">
        <w:rPr>
          <w:szCs w:val="22"/>
        </w:rPr>
        <w:t>ffice</w:t>
      </w:r>
      <w:r w:rsidRPr="003A58E4">
        <w:rPr>
          <w:szCs w:val="22"/>
        </w:rPr>
        <w:t xml:space="preserve"> for Intellectual Property (BOIP) and European Union (EU).  </w:t>
      </w:r>
      <w:r>
        <w:rPr>
          <w:szCs w:val="22"/>
        </w:rPr>
        <w:t>A r</w:t>
      </w:r>
      <w:r w:rsidRPr="003A58E4">
        <w:rPr>
          <w:szCs w:val="22"/>
        </w:rPr>
        <w:t>epresentative of the following international non-governmental organization (NGO) attended the session in an observer capacity:  International Trademark Association (INTA).  The list of participants appears as Annex I to this report.</w:t>
      </w:r>
    </w:p>
    <w:p w:rsidR="00903948" w:rsidRPr="003A58E4" w:rsidRDefault="00903948" w:rsidP="00A713CD">
      <w:pPr>
        <w:spacing w:line="260" w:lineRule="exact"/>
        <w:rPr>
          <w:szCs w:val="22"/>
        </w:rPr>
      </w:pPr>
    </w:p>
    <w:p w:rsidR="00A713CD" w:rsidRDefault="00903948" w:rsidP="00A713CD">
      <w:pPr>
        <w:spacing w:line="260" w:lineRule="exact"/>
      </w:pPr>
      <w:r w:rsidRPr="003A58E4">
        <w:fldChar w:fldCharType="begin"/>
      </w:r>
      <w:r w:rsidRPr="003A58E4">
        <w:instrText xml:space="preserve"> AUTONUM </w:instrText>
      </w:r>
      <w:r w:rsidRPr="003A58E4">
        <w:fldChar w:fldCharType="end"/>
      </w:r>
      <w:r w:rsidRPr="003A58E4">
        <w:tab/>
        <w:t xml:space="preserve">The session was opened by Mr. </w:t>
      </w:r>
      <w:proofErr w:type="spellStart"/>
      <w:r w:rsidR="00A914CE">
        <w:t>Yo</w:t>
      </w:r>
      <w:proofErr w:type="spellEnd"/>
      <w:r w:rsidR="00A914CE">
        <w:t xml:space="preserve"> Takagi</w:t>
      </w:r>
      <w:r w:rsidRPr="003A58E4">
        <w:t xml:space="preserve">, </w:t>
      </w:r>
      <w:r w:rsidR="00A914CE">
        <w:t xml:space="preserve">Assistant </w:t>
      </w:r>
      <w:r w:rsidR="00C0589C">
        <w:t>Director</w:t>
      </w:r>
      <w:r w:rsidR="00A914CE">
        <w:t xml:space="preserve"> General</w:t>
      </w:r>
      <w:r w:rsidRPr="00CA64CE">
        <w:t xml:space="preserve">, </w:t>
      </w:r>
      <w:r w:rsidR="00A914CE">
        <w:t>Global Infrastructure Sector</w:t>
      </w:r>
      <w:r w:rsidR="00C0589C">
        <w:t xml:space="preserve">, </w:t>
      </w:r>
      <w:proofErr w:type="gramStart"/>
      <w:r w:rsidR="00C0589C">
        <w:t>WIPO</w:t>
      </w:r>
      <w:proofErr w:type="gramEnd"/>
      <w:r w:rsidRPr="003A58E4">
        <w:t xml:space="preserve">, who welcomed the participants on </w:t>
      </w:r>
      <w:r w:rsidR="0024387E">
        <w:t>behalf of the Director General.</w:t>
      </w:r>
    </w:p>
    <w:p w:rsidR="00A713CD" w:rsidRDefault="00A713CD" w:rsidP="00A713CD">
      <w:pPr>
        <w:spacing w:line="260" w:lineRule="exact"/>
      </w:pPr>
    </w:p>
    <w:p w:rsidR="00A713CD" w:rsidRDefault="00A713CD" w:rsidP="00A713CD">
      <w:pPr>
        <w:spacing w:line="260" w:lineRule="exact"/>
      </w:pPr>
    </w:p>
    <w:p w:rsidR="00A713CD" w:rsidRDefault="008F3443" w:rsidP="00A713CD">
      <w:pPr>
        <w:spacing w:line="260" w:lineRule="exact"/>
        <w:rPr>
          <w:b/>
        </w:rPr>
      </w:pPr>
      <w:r>
        <w:rPr>
          <w:b/>
        </w:rPr>
        <w:br w:type="page"/>
      </w:r>
      <w:r w:rsidR="00A713CD" w:rsidRPr="003A58E4">
        <w:rPr>
          <w:b/>
        </w:rPr>
        <w:lastRenderedPageBreak/>
        <w:t>OFFICERS</w:t>
      </w:r>
    </w:p>
    <w:p w:rsidR="00A713CD" w:rsidRPr="00A713CD" w:rsidRDefault="00A713CD" w:rsidP="00A713CD">
      <w:pPr>
        <w:spacing w:line="260" w:lineRule="exact"/>
      </w:pPr>
    </w:p>
    <w:p w:rsidR="000E0B4B" w:rsidRDefault="00A713CD" w:rsidP="00A713CD">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r>
      <w:r w:rsidR="001C3FE2" w:rsidRPr="003A58E4">
        <w:rPr>
          <w:szCs w:val="22"/>
        </w:rPr>
        <w:t xml:space="preserve">The </w:t>
      </w:r>
      <w:r w:rsidR="007D2B95">
        <w:rPr>
          <w:szCs w:val="22"/>
        </w:rPr>
        <w:t>Chair,</w:t>
      </w:r>
      <w:r w:rsidR="000E0B4B">
        <w:rPr>
          <w:szCs w:val="22"/>
        </w:rPr>
        <w:t xml:space="preserve"> </w:t>
      </w:r>
      <w:r w:rsidR="005A49F5">
        <w:rPr>
          <w:szCs w:val="22"/>
        </w:rPr>
        <w:t xml:space="preserve">Mr. </w:t>
      </w:r>
      <w:r w:rsidR="001C3FE2">
        <w:rPr>
          <w:szCs w:val="22"/>
        </w:rPr>
        <w:t>Thom Clark</w:t>
      </w:r>
      <w:r w:rsidR="005A49F5">
        <w:rPr>
          <w:szCs w:val="22"/>
        </w:rPr>
        <w:t xml:space="preserve"> (</w:t>
      </w:r>
      <w:r w:rsidR="001C3FE2">
        <w:rPr>
          <w:szCs w:val="22"/>
        </w:rPr>
        <w:t>OHIM</w:t>
      </w:r>
      <w:r w:rsidR="005A49F5">
        <w:rPr>
          <w:szCs w:val="22"/>
        </w:rPr>
        <w:t>)</w:t>
      </w:r>
      <w:r w:rsidR="000E0B4B">
        <w:rPr>
          <w:szCs w:val="22"/>
        </w:rPr>
        <w:t xml:space="preserve">, </w:t>
      </w:r>
      <w:r w:rsidR="00C80DAB">
        <w:rPr>
          <w:szCs w:val="22"/>
        </w:rPr>
        <w:t>and</w:t>
      </w:r>
      <w:r w:rsidR="005A49F5">
        <w:rPr>
          <w:szCs w:val="22"/>
        </w:rPr>
        <w:t xml:space="preserve"> </w:t>
      </w:r>
      <w:r w:rsidR="007D2B95">
        <w:rPr>
          <w:szCs w:val="22"/>
        </w:rPr>
        <w:t xml:space="preserve">the Vice-Chairs, </w:t>
      </w:r>
      <w:r w:rsidR="005A49F5">
        <w:rPr>
          <w:szCs w:val="22"/>
        </w:rPr>
        <w:t>Ms.</w:t>
      </w:r>
      <w:r w:rsidR="001C3FE2">
        <w:rPr>
          <w:szCs w:val="22"/>
        </w:rPr>
        <w:t> </w:t>
      </w:r>
      <w:proofErr w:type="spellStart"/>
      <w:r w:rsidR="001C3FE2">
        <w:rPr>
          <w:szCs w:val="22"/>
        </w:rPr>
        <w:t>Anat</w:t>
      </w:r>
      <w:proofErr w:type="spellEnd"/>
      <w:r w:rsidR="001C3FE2">
        <w:rPr>
          <w:szCs w:val="22"/>
        </w:rPr>
        <w:t xml:space="preserve"> Levy (Israel) </w:t>
      </w:r>
      <w:r w:rsidR="000E0B4B">
        <w:rPr>
          <w:szCs w:val="22"/>
        </w:rPr>
        <w:t xml:space="preserve">and </w:t>
      </w:r>
      <w:r w:rsidR="00C80DAB">
        <w:rPr>
          <w:szCs w:val="22"/>
        </w:rPr>
        <w:t>Ms. </w:t>
      </w:r>
      <w:r w:rsidR="001C3FE2">
        <w:rPr>
          <w:szCs w:val="22"/>
        </w:rPr>
        <w:t xml:space="preserve">Iliana </w:t>
      </w:r>
      <w:proofErr w:type="spellStart"/>
      <w:r w:rsidR="001C3FE2">
        <w:rPr>
          <w:szCs w:val="22"/>
        </w:rPr>
        <w:t>Mier</w:t>
      </w:r>
      <w:proofErr w:type="spellEnd"/>
      <w:r w:rsidR="000E0B4B">
        <w:rPr>
          <w:szCs w:val="22"/>
        </w:rPr>
        <w:t xml:space="preserve"> (</w:t>
      </w:r>
      <w:r w:rsidR="001C3FE2">
        <w:rPr>
          <w:szCs w:val="22"/>
        </w:rPr>
        <w:t>Mexico</w:t>
      </w:r>
      <w:r w:rsidR="000E0B4B">
        <w:rPr>
          <w:szCs w:val="22"/>
        </w:rPr>
        <w:t>)</w:t>
      </w:r>
      <w:r w:rsidR="007D2B95">
        <w:rPr>
          <w:szCs w:val="22"/>
        </w:rPr>
        <w:t>,</w:t>
      </w:r>
      <w:r w:rsidR="001C3FE2" w:rsidRPr="001C3FE2">
        <w:rPr>
          <w:szCs w:val="22"/>
        </w:rPr>
        <w:t xml:space="preserve"> </w:t>
      </w:r>
      <w:r w:rsidR="007D2B95">
        <w:rPr>
          <w:szCs w:val="22"/>
        </w:rPr>
        <w:t>were elected last year for two calendar years</w:t>
      </w:r>
      <w:r w:rsidR="000E0B4B">
        <w:rPr>
          <w:szCs w:val="22"/>
        </w:rPr>
        <w:t>.</w:t>
      </w:r>
    </w:p>
    <w:p w:rsidR="00A713CD" w:rsidRPr="003A58E4" w:rsidRDefault="008F3443" w:rsidP="00A713CD">
      <w:pPr>
        <w:spacing w:line="260" w:lineRule="exact"/>
        <w:rPr>
          <w:szCs w:val="22"/>
        </w:rPr>
      </w:pPr>
      <w:r>
        <w:rPr>
          <w:szCs w:val="22"/>
        </w:rPr>
        <w:t xml:space="preserve"> </w:t>
      </w:r>
    </w:p>
    <w:p w:rsidR="00A713CD" w:rsidRPr="003A58E4" w:rsidRDefault="00A713CD" w:rsidP="00A713CD">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Mr. Antonios Farassopoulos (WIPO) acted as Secretary of the session.</w:t>
      </w:r>
    </w:p>
    <w:p w:rsidR="00A713CD" w:rsidRDefault="00A713CD" w:rsidP="00A713CD">
      <w:pPr>
        <w:spacing w:line="260" w:lineRule="exact"/>
        <w:rPr>
          <w:szCs w:val="22"/>
        </w:rPr>
      </w:pPr>
    </w:p>
    <w:p w:rsidR="00A713CD" w:rsidRPr="003A58E4" w:rsidRDefault="00A713CD" w:rsidP="00A713CD">
      <w:pPr>
        <w:spacing w:line="260" w:lineRule="exact"/>
        <w:rPr>
          <w:szCs w:val="22"/>
        </w:rPr>
      </w:pPr>
    </w:p>
    <w:p w:rsidR="00A713CD" w:rsidRDefault="00A713CD" w:rsidP="00A713CD">
      <w:pPr>
        <w:spacing w:line="260" w:lineRule="exact"/>
        <w:rPr>
          <w:b/>
        </w:rPr>
      </w:pPr>
      <w:r w:rsidRPr="00A713CD">
        <w:rPr>
          <w:b/>
        </w:rPr>
        <w:t>ADOPTION OF THE AGENDA</w:t>
      </w:r>
    </w:p>
    <w:p w:rsidR="00A713CD" w:rsidRPr="00A713CD" w:rsidRDefault="00A713CD" w:rsidP="00A713CD">
      <w:pPr>
        <w:spacing w:line="260" w:lineRule="exact"/>
      </w:pPr>
    </w:p>
    <w:p w:rsidR="00A713CD" w:rsidRPr="003A58E4" w:rsidRDefault="00A713CD" w:rsidP="00A713CD">
      <w:pPr>
        <w:spacing w:line="260" w:lineRule="exact"/>
        <w:ind w:left="550"/>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The Committee unanimously adopted the agenda, which appears as Annex II to this report.</w:t>
      </w:r>
    </w:p>
    <w:p w:rsidR="00A713CD" w:rsidRDefault="00A713CD" w:rsidP="00A713CD">
      <w:pPr>
        <w:spacing w:line="260" w:lineRule="exact"/>
        <w:rPr>
          <w:szCs w:val="22"/>
        </w:rPr>
      </w:pPr>
    </w:p>
    <w:p w:rsidR="00A713CD" w:rsidRPr="003A58E4" w:rsidRDefault="00A713CD" w:rsidP="00A713CD">
      <w:pPr>
        <w:spacing w:line="260" w:lineRule="exact"/>
        <w:rPr>
          <w:szCs w:val="22"/>
        </w:rPr>
      </w:pPr>
    </w:p>
    <w:p w:rsidR="00A713CD" w:rsidRDefault="00A713CD" w:rsidP="00A713CD">
      <w:pPr>
        <w:spacing w:line="260" w:lineRule="exact"/>
        <w:rPr>
          <w:b/>
        </w:rPr>
      </w:pPr>
      <w:r w:rsidRPr="00A713CD">
        <w:rPr>
          <w:b/>
        </w:rPr>
        <w:t>DISCUSSIONS, CONCLUSIONS AND DECISIONS</w:t>
      </w:r>
    </w:p>
    <w:p w:rsidR="00A713CD" w:rsidRPr="00A713CD" w:rsidRDefault="00A713CD" w:rsidP="00A713CD">
      <w:pPr>
        <w:spacing w:line="260" w:lineRule="exact"/>
        <w:rPr>
          <w:szCs w:val="22"/>
        </w:rPr>
      </w:pPr>
    </w:p>
    <w:p w:rsidR="00A713CD" w:rsidRPr="003A58E4" w:rsidRDefault="00A713CD" w:rsidP="00A713CD">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As decided by the Governing Bodies of WIPO at their tenth series of meetings held from September 24 to October 2, 1979 (see document AB/X/32, paragraphs 51 and 52), the report of this session reflects only the conclusions of the Committee (decisions, recommendations, opinions, etc.) and does not, in particular, reflect the statements made by any participant, except where a reservation in relation to any specific conclusion of the Committee was expressed or repeated after the conclusion was reached. </w:t>
      </w:r>
    </w:p>
    <w:p w:rsidR="00A713CD" w:rsidRDefault="00A713CD" w:rsidP="00A713CD">
      <w:pPr>
        <w:spacing w:line="260" w:lineRule="exact"/>
        <w:rPr>
          <w:szCs w:val="22"/>
        </w:rPr>
      </w:pPr>
    </w:p>
    <w:p w:rsidR="00A713CD" w:rsidRPr="00A823EC" w:rsidRDefault="00A713CD" w:rsidP="00A713CD">
      <w:pPr>
        <w:spacing w:line="260" w:lineRule="exact"/>
        <w:rPr>
          <w:szCs w:val="22"/>
        </w:rPr>
      </w:pPr>
    </w:p>
    <w:p w:rsidR="00A713CD" w:rsidRDefault="00A713CD" w:rsidP="00A713CD">
      <w:pPr>
        <w:spacing w:line="260" w:lineRule="exact"/>
        <w:rPr>
          <w:b/>
          <w:szCs w:val="22"/>
        </w:rPr>
      </w:pPr>
      <w:r>
        <w:rPr>
          <w:b/>
          <w:szCs w:val="22"/>
        </w:rPr>
        <w:t>ENTRY INTO FORCE OF THE DECISIONS OF THE COMMITTEE OF EXPERTS</w:t>
      </w:r>
    </w:p>
    <w:p w:rsidR="00A713CD" w:rsidRPr="00A823EC" w:rsidRDefault="00A713CD" w:rsidP="00A713CD"/>
    <w:p w:rsidR="00A713CD" w:rsidRDefault="00A713CD" w:rsidP="00A713CD">
      <w:pPr>
        <w:spacing w:line="260" w:lineRule="exact"/>
        <w:ind w:left="550"/>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In accordance with Rule 7 of the Revised Rules of Procedure, the Committee agreed that changes to the </w:t>
      </w:r>
      <w:r w:rsidR="00AF24F5">
        <w:rPr>
          <w:szCs w:val="22"/>
        </w:rPr>
        <w:t>201</w:t>
      </w:r>
      <w:r w:rsidR="00554081">
        <w:rPr>
          <w:szCs w:val="22"/>
        </w:rPr>
        <w:t>5</w:t>
      </w:r>
      <w:r w:rsidR="00AF24F5">
        <w:rPr>
          <w:szCs w:val="22"/>
        </w:rPr>
        <w:t xml:space="preserve"> version of the </w:t>
      </w:r>
      <w:r>
        <w:rPr>
          <w:szCs w:val="22"/>
        </w:rPr>
        <w:t>ten</w:t>
      </w:r>
      <w:r w:rsidRPr="003A58E4">
        <w:rPr>
          <w:szCs w:val="22"/>
        </w:rPr>
        <w:t>th edition of the Nice Classification</w:t>
      </w:r>
      <w:r w:rsidR="00AF24F5">
        <w:rPr>
          <w:szCs w:val="22"/>
        </w:rPr>
        <w:t xml:space="preserve"> </w:t>
      </w:r>
      <w:r w:rsidR="00E530F6">
        <w:rPr>
          <w:szCs w:val="22"/>
        </w:rPr>
        <w:t>that</w:t>
      </w:r>
      <w:r>
        <w:rPr>
          <w:szCs w:val="22"/>
        </w:rPr>
        <w:t xml:space="preserve"> do not entail an amendment </w:t>
      </w:r>
      <w:r w:rsidR="00E530F6">
        <w:rPr>
          <w:szCs w:val="22"/>
        </w:rPr>
        <w:t>in the sense of</w:t>
      </w:r>
      <w:r>
        <w:rPr>
          <w:szCs w:val="22"/>
        </w:rPr>
        <w:t xml:space="preserve"> Article 3(7</w:t>
      </w:r>
      <w:proofErr w:type="gramStart"/>
      <w:r>
        <w:rPr>
          <w:szCs w:val="22"/>
        </w:rPr>
        <w:t>)(</w:t>
      </w:r>
      <w:proofErr w:type="gramEnd"/>
      <w:r>
        <w:rPr>
          <w:szCs w:val="22"/>
        </w:rPr>
        <w:t>b) of the Nice Agreement</w:t>
      </w:r>
      <w:r w:rsidR="00E530F6">
        <w:rPr>
          <w:rStyle w:val="FootnoteReference"/>
          <w:szCs w:val="22"/>
        </w:rPr>
        <w:footnoteReference w:id="2"/>
      </w:r>
      <w:r>
        <w:rPr>
          <w:szCs w:val="22"/>
        </w:rPr>
        <w:t>, would enter into force on January 1, 201</w:t>
      </w:r>
      <w:r w:rsidR="00554081">
        <w:rPr>
          <w:szCs w:val="22"/>
        </w:rPr>
        <w:t>6</w:t>
      </w:r>
      <w:r>
        <w:rPr>
          <w:szCs w:val="22"/>
        </w:rPr>
        <w:t>, and be published</w:t>
      </w:r>
      <w:r w:rsidRPr="00AD00B6">
        <w:rPr>
          <w:szCs w:val="22"/>
        </w:rPr>
        <w:t xml:space="preserve"> </w:t>
      </w:r>
      <w:r>
        <w:rPr>
          <w:szCs w:val="22"/>
        </w:rPr>
        <w:t>online in a new version of the tenth edition</w:t>
      </w:r>
      <w:r w:rsidR="00E530F6">
        <w:rPr>
          <w:szCs w:val="22"/>
        </w:rPr>
        <w:t xml:space="preserve"> (NCL (10-201</w:t>
      </w:r>
      <w:r w:rsidR="00554081">
        <w:rPr>
          <w:szCs w:val="22"/>
        </w:rPr>
        <w:t>6</w:t>
      </w:r>
      <w:r w:rsidR="00E530F6">
        <w:rPr>
          <w:szCs w:val="22"/>
        </w:rPr>
        <w:t>)</w:t>
      </w:r>
      <w:r w:rsidR="00AF24F5">
        <w:rPr>
          <w:szCs w:val="22"/>
        </w:rPr>
        <w:t>) by the end of 201</w:t>
      </w:r>
      <w:r w:rsidR="00554081">
        <w:rPr>
          <w:szCs w:val="22"/>
        </w:rPr>
        <w:t>5</w:t>
      </w:r>
      <w:r w:rsidR="00E530F6">
        <w:rPr>
          <w:szCs w:val="22"/>
        </w:rPr>
        <w:t>.</w:t>
      </w:r>
    </w:p>
    <w:p w:rsidR="005B31FF" w:rsidRDefault="005B31FF" w:rsidP="00A713CD">
      <w:pPr>
        <w:spacing w:line="260" w:lineRule="exact"/>
        <w:rPr>
          <w:szCs w:val="22"/>
        </w:rPr>
      </w:pPr>
    </w:p>
    <w:p w:rsidR="005B31FF" w:rsidRPr="003A58E4" w:rsidRDefault="005B31FF" w:rsidP="00A713CD">
      <w:pPr>
        <w:spacing w:line="260" w:lineRule="exact"/>
        <w:rPr>
          <w:szCs w:val="22"/>
        </w:rPr>
      </w:pPr>
      <w:r>
        <w:rPr>
          <w:szCs w:val="22"/>
        </w:rPr>
        <w:fldChar w:fldCharType="begin"/>
      </w:r>
      <w:r>
        <w:rPr>
          <w:szCs w:val="22"/>
        </w:rPr>
        <w:instrText xml:space="preserve"> AUTONUM  </w:instrText>
      </w:r>
      <w:r>
        <w:rPr>
          <w:szCs w:val="22"/>
        </w:rPr>
        <w:fldChar w:fldCharType="end"/>
      </w:r>
      <w:r>
        <w:rPr>
          <w:szCs w:val="22"/>
        </w:rPr>
        <w:tab/>
        <w:t>The Committee invited the International Bureau to take the opportunity of correcting any obvious typing or grammatical errors which it found in the text of the Classification and harmonizing, as far as possible, the use of punctuation.</w:t>
      </w:r>
    </w:p>
    <w:p w:rsidR="004E44EE" w:rsidRDefault="004E44EE" w:rsidP="00A713CD">
      <w:pPr>
        <w:spacing w:line="260" w:lineRule="exact"/>
        <w:rPr>
          <w:caps/>
          <w:szCs w:val="22"/>
        </w:rPr>
      </w:pPr>
    </w:p>
    <w:p w:rsidR="00D40043" w:rsidRPr="0024387E" w:rsidRDefault="00D40043" w:rsidP="00A713CD">
      <w:pPr>
        <w:spacing w:line="260" w:lineRule="exact"/>
        <w:rPr>
          <w:caps/>
          <w:szCs w:val="22"/>
        </w:rPr>
      </w:pPr>
    </w:p>
    <w:p w:rsidR="00A713CD" w:rsidRDefault="00A713CD" w:rsidP="00A713CD">
      <w:pPr>
        <w:spacing w:line="260" w:lineRule="exact"/>
        <w:rPr>
          <w:b/>
          <w:caps/>
          <w:szCs w:val="22"/>
        </w:rPr>
      </w:pPr>
      <w:r w:rsidRPr="00A713CD">
        <w:rPr>
          <w:b/>
          <w:caps/>
          <w:szCs w:val="22"/>
        </w:rPr>
        <w:t xml:space="preserve">Consideration of </w:t>
      </w:r>
      <w:r w:rsidR="00554081">
        <w:rPr>
          <w:b/>
          <w:caps/>
          <w:szCs w:val="22"/>
        </w:rPr>
        <w:t xml:space="preserve">VARIOUS </w:t>
      </w:r>
      <w:r w:rsidRPr="00A713CD">
        <w:rPr>
          <w:b/>
          <w:caps/>
          <w:szCs w:val="22"/>
        </w:rPr>
        <w:t xml:space="preserve">proposals for </w:t>
      </w:r>
      <w:r w:rsidR="00554081">
        <w:rPr>
          <w:b/>
          <w:caps/>
          <w:szCs w:val="22"/>
        </w:rPr>
        <w:t>AMENDMENTS AND OTHER CHANGES</w:t>
      </w:r>
      <w:r w:rsidRPr="00A713CD">
        <w:rPr>
          <w:b/>
          <w:caps/>
          <w:szCs w:val="22"/>
        </w:rPr>
        <w:t xml:space="preserve"> to </w:t>
      </w:r>
      <w:r w:rsidR="008A02A1">
        <w:rPr>
          <w:b/>
          <w:caps/>
          <w:szCs w:val="22"/>
        </w:rPr>
        <w:t>NCL (10-201</w:t>
      </w:r>
      <w:r w:rsidR="00554081">
        <w:rPr>
          <w:b/>
          <w:caps/>
          <w:szCs w:val="22"/>
        </w:rPr>
        <w:t>5</w:t>
      </w:r>
      <w:r w:rsidR="008A02A1">
        <w:rPr>
          <w:b/>
          <w:caps/>
          <w:szCs w:val="22"/>
        </w:rPr>
        <w:t>)</w:t>
      </w:r>
    </w:p>
    <w:p w:rsidR="00A713CD" w:rsidRPr="00A713CD" w:rsidRDefault="00A713CD" w:rsidP="00A713CD">
      <w:pPr>
        <w:spacing w:line="260" w:lineRule="exact"/>
        <w:rPr>
          <w:caps/>
          <w:szCs w:val="22"/>
        </w:rPr>
      </w:pPr>
    </w:p>
    <w:p w:rsidR="00A713CD" w:rsidRDefault="00A713CD" w:rsidP="00013EC7">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Discussions were based on project </w:t>
      </w:r>
      <w:hyperlink r:id="rId9" w:history="1">
        <w:r w:rsidR="00E014D5" w:rsidRPr="00554081">
          <w:rPr>
            <w:rStyle w:val="Hyperlink"/>
            <w:szCs w:val="22"/>
          </w:rPr>
          <w:t>CE2</w:t>
        </w:r>
        <w:r w:rsidR="00554081" w:rsidRPr="00554081">
          <w:rPr>
            <w:rStyle w:val="Hyperlink"/>
            <w:szCs w:val="22"/>
          </w:rPr>
          <w:t>5</w:t>
        </w:r>
        <w:r w:rsidR="00E014D5" w:rsidRPr="00554081">
          <w:rPr>
            <w:rStyle w:val="Hyperlink"/>
            <w:szCs w:val="22"/>
          </w:rPr>
          <w:t>2</w:t>
        </w:r>
      </w:hyperlink>
      <w:r w:rsidR="00616F1F">
        <w:rPr>
          <w:szCs w:val="22"/>
        </w:rPr>
        <w:t xml:space="preserve">, </w:t>
      </w:r>
      <w:hyperlink r:id="rId10" w:history="1">
        <w:r w:rsidR="00616F1F" w:rsidRPr="00554081">
          <w:rPr>
            <w:rStyle w:val="Hyperlink"/>
            <w:szCs w:val="22"/>
          </w:rPr>
          <w:t xml:space="preserve">Annex </w:t>
        </w:r>
        <w:r w:rsidR="0022236E" w:rsidRPr="00554081">
          <w:rPr>
            <w:rStyle w:val="Hyperlink"/>
            <w:szCs w:val="22"/>
          </w:rPr>
          <w:t>1</w:t>
        </w:r>
      </w:hyperlink>
      <w:r w:rsidR="00616F1F">
        <w:rPr>
          <w:szCs w:val="22"/>
        </w:rPr>
        <w:t xml:space="preserve">, </w:t>
      </w:r>
      <w:r w:rsidR="00616F1F" w:rsidRPr="003A58E4">
        <w:rPr>
          <w:szCs w:val="22"/>
        </w:rPr>
        <w:t xml:space="preserve">which </w:t>
      </w:r>
      <w:r w:rsidR="00616F1F">
        <w:rPr>
          <w:szCs w:val="22"/>
        </w:rPr>
        <w:t>contained</w:t>
      </w:r>
      <w:r w:rsidR="00616F1F" w:rsidRPr="003A58E4">
        <w:rPr>
          <w:szCs w:val="22"/>
        </w:rPr>
        <w:t xml:space="preserve"> </w:t>
      </w:r>
      <w:r w:rsidR="00616F1F">
        <w:rPr>
          <w:szCs w:val="22"/>
        </w:rPr>
        <w:t>a</w:t>
      </w:r>
      <w:r w:rsidR="00616F1F" w:rsidRPr="003A58E4">
        <w:rPr>
          <w:szCs w:val="22"/>
        </w:rPr>
        <w:t xml:space="preserve"> </w:t>
      </w:r>
      <w:r w:rsidR="00616F1F">
        <w:rPr>
          <w:szCs w:val="22"/>
        </w:rPr>
        <w:t>summary table of proposals for modifications to NCL (10-201</w:t>
      </w:r>
      <w:r w:rsidR="00554081">
        <w:rPr>
          <w:szCs w:val="22"/>
        </w:rPr>
        <w:t>5</w:t>
      </w:r>
      <w:r w:rsidR="00616F1F">
        <w:rPr>
          <w:szCs w:val="22"/>
        </w:rPr>
        <w:t>)</w:t>
      </w:r>
      <w:r w:rsidRPr="003A58E4">
        <w:rPr>
          <w:szCs w:val="22"/>
        </w:rPr>
        <w:t>.</w:t>
      </w:r>
    </w:p>
    <w:p w:rsidR="00013EC7" w:rsidRPr="003A58E4" w:rsidRDefault="00013EC7" w:rsidP="00013EC7">
      <w:pPr>
        <w:spacing w:line="260" w:lineRule="exact"/>
        <w:rPr>
          <w:szCs w:val="22"/>
        </w:rPr>
      </w:pPr>
    </w:p>
    <w:p w:rsidR="00A713CD" w:rsidRPr="003A58E4" w:rsidRDefault="00A713CD" w:rsidP="00013EC7">
      <w:pPr>
        <w:spacing w:line="260" w:lineRule="exact"/>
        <w:ind w:left="550"/>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The Committee adopted </w:t>
      </w:r>
      <w:r w:rsidR="00B70D21">
        <w:rPr>
          <w:szCs w:val="22"/>
        </w:rPr>
        <w:t>an important number of</w:t>
      </w:r>
      <w:r w:rsidRPr="003A58E4">
        <w:rPr>
          <w:szCs w:val="22"/>
        </w:rPr>
        <w:t xml:space="preserve"> changes</w:t>
      </w:r>
      <w:r w:rsidR="00EC3AA3">
        <w:rPr>
          <w:szCs w:val="22"/>
        </w:rPr>
        <w:t xml:space="preserve"> to the Classification</w:t>
      </w:r>
      <w:r w:rsidRPr="003A58E4">
        <w:rPr>
          <w:szCs w:val="22"/>
        </w:rPr>
        <w:t>, as contained in Annex I</w:t>
      </w:r>
      <w:r>
        <w:rPr>
          <w:szCs w:val="22"/>
        </w:rPr>
        <w:t>II</w:t>
      </w:r>
      <w:r w:rsidRPr="003A58E4">
        <w:rPr>
          <w:szCs w:val="22"/>
        </w:rPr>
        <w:t xml:space="preserve"> to this report.</w:t>
      </w:r>
    </w:p>
    <w:p w:rsidR="00A713CD" w:rsidRDefault="00A713CD" w:rsidP="00013EC7">
      <w:pPr>
        <w:spacing w:line="260" w:lineRule="exact"/>
        <w:rPr>
          <w:szCs w:val="22"/>
        </w:rPr>
      </w:pPr>
    </w:p>
    <w:p w:rsidR="004E44EE" w:rsidRPr="003A58E4" w:rsidRDefault="004E44EE" w:rsidP="00013EC7">
      <w:pPr>
        <w:spacing w:line="260" w:lineRule="exact"/>
        <w:rPr>
          <w:szCs w:val="22"/>
        </w:rPr>
      </w:pPr>
    </w:p>
    <w:p w:rsidR="00AF24F5" w:rsidRDefault="00AF24F5">
      <w:pPr>
        <w:rPr>
          <w:b/>
          <w:caps/>
          <w:szCs w:val="22"/>
        </w:rPr>
      </w:pPr>
      <w:r>
        <w:rPr>
          <w:b/>
          <w:caps/>
          <w:szCs w:val="22"/>
        </w:rPr>
        <w:br w:type="page"/>
      </w:r>
    </w:p>
    <w:p w:rsidR="00A713CD" w:rsidRDefault="00C5665B" w:rsidP="00013EC7">
      <w:pPr>
        <w:spacing w:line="260" w:lineRule="exact"/>
        <w:rPr>
          <w:b/>
          <w:caps/>
          <w:szCs w:val="22"/>
        </w:rPr>
      </w:pPr>
      <w:r>
        <w:rPr>
          <w:b/>
          <w:caps/>
          <w:szCs w:val="22"/>
        </w:rPr>
        <w:lastRenderedPageBreak/>
        <w:t xml:space="preserve">CONSIDERATION OF </w:t>
      </w:r>
      <w:r w:rsidR="00554081" w:rsidRPr="00554081">
        <w:rPr>
          <w:b/>
          <w:caps/>
          <w:szCs w:val="22"/>
        </w:rPr>
        <w:t>PROPOSALS FOR AMENDMENTS AND OTHER CHANGES TO NCL</w:t>
      </w:r>
      <w:r w:rsidR="005E45A3">
        <w:rPr>
          <w:b/>
          <w:caps/>
          <w:szCs w:val="22"/>
        </w:rPr>
        <w:t> </w:t>
      </w:r>
      <w:r w:rsidR="00554081" w:rsidRPr="00554081">
        <w:rPr>
          <w:b/>
          <w:caps/>
          <w:szCs w:val="22"/>
        </w:rPr>
        <w:t>(10-2015)</w:t>
      </w:r>
      <w:r w:rsidR="00554081">
        <w:rPr>
          <w:b/>
          <w:caps/>
          <w:szCs w:val="22"/>
        </w:rPr>
        <w:t xml:space="preserve"> RELATING TO:</w:t>
      </w:r>
    </w:p>
    <w:p w:rsidR="005048D2" w:rsidRDefault="005048D2" w:rsidP="00013EC7">
      <w:pPr>
        <w:spacing w:line="260" w:lineRule="exact"/>
        <w:rPr>
          <w:b/>
          <w:caps/>
          <w:szCs w:val="22"/>
        </w:rPr>
      </w:pPr>
    </w:p>
    <w:p w:rsidR="00554081" w:rsidRDefault="00554081" w:rsidP="00013EC7">
      <w:pPr>
        <w:spacing w:line="260" w:lineRule="exact"/>
        <w:rPr>
          <w:b/>
          <w:caps/>
          <w:szCs w:val="22"/>
        </w:rPr>
      </w:pPr>
      <w:r w:rsidRPr="00554081">
        <w:rPr>
          <w:b/>
          <w:caps/>
          <w:szCs w:val="22"/>
        </w:rPr>
        <w:t>(</w:t>
      </w:r>
      <w:r w:rsidR="005048D2" w:rsidRPr="00554081">
        <w:rPr>
          <w:b/>
          <w:szCs w:val="22"/>
        </w:rPr>
        <w:t>a</w:t>
      </w:r>
      <w:r w:rsidRPr="00554081">
        <w:rPr>
          <w:b/>
          <w:caps/>
          <w:szCs w:val="22"/>
        </w:rPr>
        <w:t>)</w:t>
      </w:r>
      <w:r w:rsidRPr="00554081">
        <w:rPr>
          <w:b/>
          <w:caps/>
          <w:szCs w:val="22"/>
        </w:rPr>
        <w:tab/>
        <w:t>the Class Headings and Explanatory Notes of various classes</w:t>
      </w:r>
    </w:p>
    <w:p w:rsidR="00013EC7" w:rsidRPr="00013EC7" w:rsidRDefault="00013EC7" w:rsidP="00013EC7">
      <w:pPr>
        <w:spacing w:line="260" w:lineRule="exact"/>
        <w:rPr>
          <w:szCs w:val="22"/>
        </w:rPr>
      </w:pPr>
    </w:p>
    <w:p w:rsidR="00A713CD" w:rsidRDefault="00A713CD" w:rsidP="00013EC7">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Discussions were based on project </w:t>
      </w:r>
      <w:hyperlink r:id="rId11" w:history="1">
        <w:r w:rsidR="00E014D5" w:rsidRPr="005048D2">
          <w:rPr>
            <w:rStyle w:val="Hyperlink"/>
            <w:szCs w:val="22"/>
          </w:rPr>
          <w:t>CE2</w:t>
        </w:r>
        <w:r w:rsidR="00554081" w:rsidRPr="005048D2">
          <w:rPr>
            <w:rStyle w:val="Hyperlink"/>
            <w:szCs w:val="22"/>
          </w:rPr>
          <w:t>52</w:t>
        </w:r>
      </w:hyperlink>
      <w:r>
        <w:rPr>
          <w:szCs w:val="22"/>
        </w:rPr>
        <w:t xml:space="preserve">, </w:t>
      </w:r>
      <w:hyperlink r:id="rId12" w:history="1">
        <w:r w:rsidR="00554081" w:rsidRPr="00554081">
          <w:rPr>
            <w:rStyle w:val="Hyperlink"/>
            <w:szCs w:val="22"/>
          </w:rPr>
          <w:t xml:space="preserve">Annex </w:t>
        </w:r>
        <w:r w:rsidR="00554081">
          <w:rPr>
            <w:rStyle w:val="Hyperlink"/>
            <w:szCs w:val="22"/>
          </w:rPr>
          <w:t>2</w:t>
        </w:r>
      </w:hyperlink>
      <w:r w:rsidR="00554081">
        <w:rPr>
          <w:szCs w:val="22"/>
        </w:rPr>
        <w:t xml:space="preserve">, </w:t>
      </w:r>
      <w:r w:rsidRPr="003A58E4">
        <w:rPr>
          <w:szCs w:val="22"/>
        </w:rPr>
        <w:t xml:space="preserve">which </w:t>
      </w:r>
      <w:r>
        <w:rPr>
          <w:szCs w:val="22"/>
        </w:rPr>
        <w:t>contained</w:t>
      </w:r>
      <w:r w:rsidRPr="003A58E4">
        <w:rPr>
          <w:szCs w:val="22"/>
        </w:rPr>
        <w:t xml:space="preserve"> </w:t>
      </w:r>
      <w:r>
        <w:rPr>
          <w:szCs w:val="22"/>
        </w:rPr>
        <w:t>a</w:t>
      </w:r>
      <w:r w:rsidRPr="003A58E4">
        <w:rPr>
          <w:szCs w:val="22"/>
        </w:rPr>
        <w:t xml:space="preserve"> </w:t>
      </w:r>
      <w:r w:rsidR="005048D2">
        <w:rPr>
          <w:szCs w:val="22"/>
        </w:rPr>
        <w:t xml:space="preserve">proposal for changes to </w:t>
      </w:r>
      <w:r w:rsidR="00C1395E">
        <w:rPr>
          <w:szCs w:val="22"/>
        </w:rPr>
        <w:t xml:space="preserve">11 </w:t>
      </w:r>
      <w:r w:rsidR="005048D2">
        <w:rPr>
          <w:szCs w:val="22"/>
        </w:rPr>
        <w:t>class headings and explanatory notes</w:t>
      </w:r>
      <w:r w:rsidR="00DC74CF">
        <w:rPr>
          <w:szCs w:val="22"/>
        </w:rPr>
        <w:t>,</w:t>
      </w:r>
      <w:r w:rsidR="00616F1F">
        <w:rPr>
          <w:szCs w:val="22"/>
        </w:rPr>
        <w:t xml:space="preserve"> </w:t>
      </w:r>
      <w:r w:rsidR="008A02A1">
        <w:rPr>
          <w:szCs w:val="22"/>
        </w:rPr>
        <w:t xml:space="preserve">submitted by </w:t>
      </w:r>
      <w:r w:rsidR="005048D2">
        <w:rPr>
          <w:szCs w:val="22"/>
        </w:rPr>
        <w:t>OHIM</w:t>
      </w:r>
      <w:r w:rsidRPr="003A58E4">
        <w:rPr>
          <w:szCs w:val="22"/>
        </w:rPr>
        <w:t>.</w:t>
      </w:r>
    </w:p>
    <w:p w:rsidR="005048D2" w:rsidRDefault="005048D2" w:rsidP="00013EC7">
      <w:pPr>
        <w:spacing w:line="260" w:lineRule="exact"/>
        <w:rPr>
          <w:szCs w:val="22"/>
        </w:rPr>
      </w:pPr>
    </w:p>
    <w:p w:rsidR="005048D2" w:rsidRDefault="005048D2" w:rsidP="005048D2">
      <w:pPr>
        <w:spacing w:line="260" w:lineRule="exact"/>
        <w:ind w:left="550"/>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The Committee adopted </w:t>
      </w:r>
      <w:r w:rsidR="00EC3AA3">
        <w:rPr>
          <w:szCs w:val="22"/>
        </w:rPr>
        <w:t>the proposal with slight modifications</w:t>
      </w:r>
      <w:r w:rsidRPr="003A58E4">
        <w:rPr>
          <w:szCs w:val="22"/>
        </w:rPr>
        <w:t>, as contained in Annex </w:t>
      </w:r>
      <w:r>
        <w:rPr>
          <w:szCs w:val="22"/>
        </w:rPr>
        <w:t>IV</w:t>
      </w:r>
      <w:r w:rsidRPr="003A58E4">
        <w:rPr>
          <w:szCs w:val="22"/>
        </w:rPr>
        <w:t xml:space="preserve"> to this report</w:t>
      </w:r>
      <w:r>
        <w:rPr>
          <w:szCs w:val="22"/>
        </w:rPr>
        <w:t>.</w:t>
      </w:r>
    </w:p>
    <w:p w:rsidR="005048D2" w:rsidRDefault="005048D2" w:rsidP="005048D2">
      <w:pPr>
        <w:spacing w:line="260" w:lineRule="exact"/>
        <w:rPr>
          <w:b/>
          <w:caps/>
          <w:szCs w:val="22"/>
        </w:rPr>
      </w:pPr>
    </w:p>
    <w:p w:rsidR="005048D2" w:rsidRDefault="005048D2" w:rsidP="005048D2">
      <w:pPr>
        <w:spacing w:line="260" w:lineRule="exact"/>
        <w:rPr>
          <w:b/>
          <w:caps/>
          <w:szCs w:val="22"/>
        </w:rPr>
      </w:pPr>
      <w:r w:rsidRPr="00554081">
        <w:rPr>
          <w:b/>
          <w:caps/>
          <w:szCs w:val="22"/>
        </w:rPr>
        <w:t>(</w:t>
      </w:r>
      <w:r>
        <w:rPr>
          <w:b/>
          <w:szCs w:val="22"/>
        </w:rPr>
        <w:t>b</w:t>
      </w:r>
      <w:r w:rsidRPr="00554081">
        <w:rPr>
          <w:b/>
          <w:caps/>
          <w:szCs w:val="22"/>
        </w:rPr>
        <w:t>)</w:t>
      </w:r>
      <w:r w:rsidRPr="00554081">
        <w:rPr>
          <w:b/>
          <w:caps/>
          <w:szCs w:val="22"/>
        </w:rPr>
        <w:tab/>
      </w:r>
      <w:r w:rsidRPr="005048D2">
        <w:rPr>
          <w:b/>
          <w:caps/>
          <w:szCs w:val="22"/>
        </w:rPr>
        <w:t>the Explanatory Note of Class 40</w:t>
      </w:r>
    </w:p>
    <w:p w:rsidR="008A02A1" w:rsidRPr="003A58E4" w:rsidRDefault="008A02A1" w:rsidP="008A02A1">
      <w:pPr>
        <w:spacing w:line="260" w:lineRule="exact"/>
        <w:rPr>
          <w:szCs w:val="22"/>
        </w:rPr>
      </w:pPr>
    </w:p>
    <w:p w:rsidR="005048D2" w:rsidRDefault="005048D2" w:rsidP="005048D2">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Discussions were based on project </w:t>
      </w:r>
      <w:hyperlink r:id="rId13" w:history="1">
        <w:r w:rsidRPr="005048D2">
          <w:rPr>
            <w:rStyle w:val="Hyperlink"/>
            <w:szCs w:val="22"/>
          </w:rPr>
          <w:t>CE252</w:t>
        </w:r>
      </w:hyperlink>
      <w:r>
        <w:rPr>
          <w:szCs w:val="22"/>
        </w:rPr>
        <w:t xml:space="preserve">, </w:t>
      </w:r>
      <w:hyperlink r:id="rId14" w:history="1">
        <w:r w:rsidR="00D578B1" w:rsidRPr="00D578B1">
          <w:rPr>
            <w:rStyle w:val="Hyperlink"/>
            <w:szCs w:val="22"/>
          </w:rPr>
          <w:t>Annex 9</w:t>
        </w:r>
      </w:hyperlink>
      <w:r w:rsidR="00D578B1">
        <w:rPr>
          <w:szCs w:val="22"/>
        </w:rPr>
        <w:t>, which replace</w:t>
      </w:r>
      <w:r w:rsidR="005E45A3">
        <w:rPr>
          <w:szCs w:val="22"/>
        </w:rPr>
        <w:t>d</w:t>
      </w:r>
      <w:r w:rsidR="00D578B1">
        <w:rPr>
          <w:szCs w:val="22"/>
        </w:rPr>
        <w:t xml:space="preserve"> </w:t>
      </w:r>
      <w:hyperlink r:id="rId15" w:history="1">
        <w:r w:rsidR="00D578B1" w:rsidRPr="00792EF8">
          <w:rPr>
            <w:rStyle w:val="Hyperlink"/>
            <w:szCs w:val="22"/>
          </w:rPr>
          <w:t>Annex 3</w:t>
        </w:r>
      </w:hyperlink>
      <w:r w:rsidR="00D578B1">
        <w:rPr>
          <w:rStyle w:val="Hyperlink"/>
          <w:szCs w:val="22"/>
        </w:rPr>
        <w:t>,</w:t>
      </w:r>
      <w:r w:rsidR="00D578B1">
        <w:rPr>
          <w:szCs w:val="22"/>
        </w:rPr>
        <w:t xml:space="preserve"> regarding</w:t>
      </w:r>
      <w:r w:rsidRPr="003A58E4">
        <w:rPr>
          <w:szCs w:val="22"/>
        </w:rPr>
        <w:t xml:space="preserve"> </w:t>
      </w:r>
      <w:r>
        <w:rPr>
          <w:szCs w:val="22"/>
        </w:rPr>
        <w:t>a</w:t>
      </w:r>
      <w:r w:rsidRPr="003A58E4">
        <w:rPr>
          <w:szCs w:val="22"/>
        </w:rPr>
        <w:t xml:space="preserve"> </w:t>
      </w:r>
      <w:r>
        <w:rPr>
          <w:szCs w:val="22"/>
        </w:rPr>
        <w:t xml:space="preserve">proposal for </w:t>
      </w:r>
      <w:r w:rsidR="00DC74CF">
        <w:rPr>
          <w:szCs w:val="22"/>
        </w:rPr>
        <w:t>modifications</w:t>
      </w:r>
      <w:r>
        <w:rPr>
          <w:szCs w:val="22"/>
        </w:rPr>
        <w:t xml:space="preserve"> to the explanatory note of </w:t>
      </w:r>
      <w:r w:rsidR="00DC74CF">
        <w:rPr>
          <w:szCs w:val="22"/>
        </w:rPr>
        <w:t>C</w:t>
      </w:r>
      <w:r>
        <w:rPr>
          <w:szCs w:val="22"/>
        </w:rPr>
        <w:t>lass</w:t>
      </w:r>
      <w:r w:rsidR="00DC74CF">
        <w:rPr>
          <w:szCs w:val="22"/>
        </w:rPr>
        <w:t xml:space="preserve"> 40,</w:t>
      </w:r>
      <w:r>
        <w:rPr>
          <w:szCs w:val="22"/>
        </w:rPr>
        <w:t xml:space="preserve"> submitted by </w:t>
      </w:r>
      <w:r w:rsidR="00DC74CF">
        <w:rPr>
          <w:szCs w:val="22"/>
        </w:rPr>
        <w:t>Switzerland</w:t>
      </w:r>
      <w:r w:rsidRPr="003A58E4">
        <w:rPr>
          <w:szCs w:val="22"/>
        </w:rPr>
        <w:t>.</w:t>
      </w:r>
    </w:p>
    <w:p w:rsidR="00C13BB7" w:rsidRDefault="00C13BB7" w:rsidP="00C13BB7">
      <w:pPr>
        <w:spacing w:line="260" w:lineRule="exact"/>
        <w:rPr>
          <w:szCs w:val="22"/>
        </w:rPr>
      </w:pPr>
    </w:p>
    <w:p w:rsidR="005048D2" w:rsidRDefault="005048D2" w:rsidP="005048D2">
      <w:pPr>
        <w:spacing w:line="260" w:lineRule="exact"/>
        <w:ind w:left="550"/>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The Committee adopted </w:t>
      </w:r>
      <w:r w:rsidR="00EC3AA3">
        <w:rPr>
          <w:szCs w:val="22"/>
        </w:rPr>
        <w:t>an amended version of the original proposal</w:t>
      </w:r>
      <w:r w:rsidRPr="003A58E4">
        <w:rPr>
          <w:szCs w:val="22"/>
        </w:rPr>
        <w:t>, as contained in Annex </w:t>
      </w:r>
      <w:r>
        <w:rPr>
          <w:szCs w:val="22"/>
        </w:rPr>
        <w:t>V</w:t>
      </w:r>
      <w:r w:rsidRPr="003A58E4">
        <w:rPr>
          <w:szCs w:val="22"/>
        </w:rPr>
        <w:t xml:space="preserve"> to this report</w:t>
      </w:r>
      <w:r>
        <w:rPr>
          <w:szCs w:val="22"/>
        </w:rPr>
        <w:t>.</w:t>
      </w:r>
    </w:p>
    <w:p w:rsidR="00C13BB7" w:rsidRDefault="00C13BB7" w:rsidP="00C13BB7">
      <w:pPr>
        <w:spacing w:line="260" w:lineRule="exact"/>
        <w:rPr>
          <w:szCs w:val="22"/>
        </w:rPr>
      </w:pPr>
    </w:p>
    <w:p w:rsidR="0082026C" w:rsidRDefault="0082026C" w:rsidP="00F864DB">
      <w:pPr>
        <w:spacing w:line="260" w:lineRule="exact"/>
        <w:rPr>
          <w:szCs w:val="22"/>
        </w:rPr>
      </w:pPr>
      <w:r>
        <w:rPr>
          <w:szCs w:val="22"/>
        </w:rPr>
        <w:fldChar w:fldCharType="begin"/>
      </w:r>
      <w:r>
        <w:rPr>
          <w:szCs w:val="22"/>
        </w:rPr>
        <w:instrText xml:space="preserve"> AUTONUM  </w:instrText>
      </w:r>
      <w:r>
        <w:rPr>
          <w:szCs w:val="22"/>
        </w:rPr>
        <w:fldChar w:fldCharType="end"/>
      </w:r>
      <w:r>
        <w:rPr>
          <w:szCs w:val="22"/>
        </w:rPr>
        <w:tab/>
        <w:t xml:space="preserve">The Committee also noticed that it would be useful to check the class headings and explanatory notes of all 45 classes of the Classification from the point of view of </w:t>
      </w:r>
      <w:r w:rsidR="004719A2">
        <w:rPr>
          <w:szCs w:val="22"/>
        </w:rPr>
        <w:t xml:space="preserve">content, </w:t>
      </w:r>
      <w:r w:rsidR="00EC3AA3">
        <w:rPr>
          <w:szCs w:val="22"/>
        </w:rPr>
        <w:t xml:space="preserve">linguistic and format </w:t>
      </w:r>
      <w:r>
        <w:rPr>
          <w:szCs w:val="22"/>
        </w:rPr>
        <w:t>consistency.  Japan, Switzerland, the United States of America</w:t>
      </w:r>
      <w:r w:rsidR="00CC5510">
        <w:rPr>
          <w:szCs w:val="22"/>
        </w:rPr>
        <w:t>, OHIM</w:t>
      </w:r>
      <w:r>
        <w:rPr>
          <w:szCs w:val="22"/>
        </w:rPr>
        <w:t xml:space="preserve"> and the International Bureau stated that they would be </w:t>
      </w:r>
      <w:r w:rsidR="00F34103">
        <w:rPr>
          <w:szCs w:val="22"/>
        </w:rPr>
        <w:t xml:space="preserve">willing </w:t>
      </w:r>
      <w:r>
        <w:rPr>
          <w:szCs w:val="22"/>
        </w:rPr>
        <w:t>to work on such a project.</w:t>
      </w:r>
      <w:r w:rsidR="00CC5510">
        <w:rPr>
          <w:szCs w:val="22"/>
        </w:rPr>
        <w:t xml:space="preserve">  The International Bureau </w:t>
      </w:r>
      <w:r w:rsidR="00F34103">
        <w:rPr>
          <w:szCs w:val="22"/>
        </w:rPr>
        <w:t>would</w:t>
      </w:r>
      <w:r w:rsidR="00CC5510">
        <w:rPr>
          <w:szCs w:val="22"/>
        </w:rPr>
        <w:t xml:space="preserve"> contact these offices by the end of June or beginning of July in order to discuss on how to proceed.</w:t>
      </w:r>
    </w:p>
    <w:p w:rsidR="0082026C" w:rsidRDefault="0082026C" w:rsidP="00F864DB">
      <w:pPr>
        <w:spacing w:line="260" w:lineRule="exact"/>
        <w:rPr>
          <w:szCs w:val="22"/>
        </w:rPr>
      </w:pPr>
    </w:p>
    <w:p w:rsidR="005048D2" w:rsidRDefault="005048D2" w:rsidP="005048D2">
      <w:pPr>
        <w:spacing w:line="260" w:lineRule="exact"/>
        <w:rPr>
          <w:b/>
          <w:caps/>
          <w:szCs w:val="22"/>
        </w:rPr>
      </w:pPr>
      <w:r w:rsidRPr="00554081">
        <w:rPr>
          <w:b/>
          <w:caps/>
          <w:szCs w:val="22"/>
        </w:rPr>
        <w:t>(</w:t>
      </w:r>
      <w:r>
        <w:rPr>
          <w:b/>
          <w:szCs w:val="22"/>
        </w:rPr>
        <w:t>c</w:t>
      </w:r>
      <w:r w:rsidRPr="00554081">
        <w:rPr>
          <w:b/>
          <w:caps/>
          <w:szCs w:val="22"/>
        </w:rPr>
        <w:t>)</w:t>
      </w:r>
      <w:r w:rsidRPr="00554081">
        <w:rPr>
          <w:b/>
          <w:caps/>
          <w:szCs w:val="22"/>
        </w:rPr>
        <w:tab/>
      </w:r>
      <w:r w:rsidRPr="005048D2">
        <w:rPr>
          <w:b/>
          <w:caps/>
          <w:szCs w:val="22"/>
        </w:rPr>
        <w:t>table cutlery</w:t>
      </w:r>
    </w:p>
    <w:p w:rsidR="005048D2" w:rsidRPr="003A58E4" w:rsidRDefault="005048D2" w:rsidP="005048D2">
      <w:pPr>
        <w:spacing w:line="260" w:lineRule="exact"/>
        <w:rPr>
          <w:szCs w:val="22"/>
        </w:rPr>
      </w:pPr>
    </w:p>
    <w:p w:rsidR="005048D2" w:rsidRDefault="005048D2" w:rsidP="005048D2">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Discussions were based on project </w:t>
      </w:r>
      <w:hyperlink r:id="rId16" w:history="1">
        <w:r w:rsidRPr="005048D2">
          <w:rPr>
            <w:rStyle w:val="Hyperlink"/>
            <w:szCs w:val="22"/>
          </w:rPr>
          <w:t>CE252</w:t>
        </w:r>
      </w:hyperlink>
      <w:r>
        <w:rPr>
          <w:szCs w:val="22"/>
        </w:rPr>
        <w:t xml:space="preserve">, </w:t>
      </w:r>
      <w:hyperlink r:id="rId17" w:history="1">
        <w:r w:rsidRPr="00554081">
          <w:rPr>
            <w:rStyle w:val="Hyperlink"/>
            <w:szCs w:val="22"/>
          </w:rPr>
          <w:t xml:space="preserve">Annex </w:t>
        </w:r>
        <w:r>
          <w:rPr>
            <w:rStyle w:val="Hyperlink"/>
            <w:szCs w:val="22"/>
          </w:rPr>
          <w:t>4</w:t>
        </w:r>
      </w:hyperlink>
      <w:r>
        <w:rPr>
          <w:szCs w:val="22"/>
        </w:rPr>
        <w:t xml:space="preserve">, </w:t>
      </w:r>
      <w:r w:rsidR="00630DDD" w:rsidRPr="003A58E4">
        <w:rPr>
          <w:szCs w:val="22"/>
        </w:rPr>
        <w:t xml:space="preserve">which </w:t>
      </w:r>
      <w:r w:rsidR="00630DDD">
        <w:rPr>
          <w:szCs w:val="22"/>
        </w:rPr>
        <w:t xml:space="preserve">contained a </w:t>
      </w:r>
      <w:r w:rsidR="00F431A2">
        <w:rPr>
          <w:szCs w:val="22"/>
        </w:rPr>
        <w:t xml:space="preserve">proposal for </w:t>
      </w:r>
      <w:r w:rsidR="00347976">
        <w:rPr>
          <w:szCs w:val="22"/>
        </w:rPr>
        <w:t>transferring</w:t>
      </w:r>
      <w:r w:rsidR="00630DDD">
        <w:rPr>
          <w:szCs w:val="22"/>
        </w:rPr>
        <w:t xml:space="preserve"> </w:t>
      </w:r>
      <w:r w:rsidR="006B4E62">
        <w:rPr>
          <w:szCs w:val="22"/>
        </w:rPr>
        <w:t xml:space="preserve">table </w:t>
      </w:r>
      <w:r w:rsidR="00630DDD">
        <w:rPr>
          <w:szCs w:val="22"/>
        </w:rPr>
        <w:t>cutlery</w:t>
      </w:r>
      <w:r w:rsidR="00347976">
        <w:rPr>
          <w:szCs w:val="22"/>
        </w:rPr>
        <w:t xml:space="preserve"> from Class 8 to Class 21</w:t>
      </w:r>
      <w:r w:rsidR="00630DDD">
        <w:rPr>
          <w:szCs w:val="22"/>
        </w:rPr>
        <w:t>, submitted by the United States of America.</w:t>
      </w:r>
    </w:p>
    <w:p w:rsidR="005048D2" w:rsidRDefault="005048D2" w:rsidP="005048D2">
      <w:pPr>
        <w:spacing w:line="260" w:lineRule="exact"/>
        <w:rPr>
          <w:szCs w:val="22"/>
        </w:rPr>
      </w:pPr>
    </w:p>
    <w:p w:rsidR="005048D2" w:rsidRDefault="005048D2" w:rsidP="005048D2">
      <w:pPr>
        <w:spacing w:line="260" w:lineRule="exact"/>
        <w:ind w:left="550"/>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r>
      <w:r w:rsidR="00347976">
        <w:rPr>
          <w:szCs w:val="22"/>
        </w:rPr>
        <w:t xml:space="preserve">The proposal did not obtain the majority </w:t>
      </w:r>
      <w:r w:rsidR="00E51987">
        <w:rPr>
          <w:szCs w:val="22"/>
        </w:rPr>
        <w:t xml:space="preserve">of four-fifths of the </w:t>
      </w:r>
      <w:r w:rsidR="00EE6700">
        <w:rPr>
          <w:szCs w:val="22"/>
        </w:rPr>
        <w:t>member States</w:t>
      </w:r>
      <w:r w:rsidR="00E51987">
        <w:rPr>
          <w:szCs w:val="22"/>
        </w:rPr>
        <w:t xml:space="preserve"> represented and voting required</w:t>
      </w:r>
      <w:r w:rsidR="00347976">
        <w:rPr>
          <w:szCs w:val="22"/>
        </w:rPr>
        <w:t xml:space="preserve"> </w:t>
      </w:r>
      <w:proofErr w:type="gramStart"/>
      <w:r w:rsidR="00347976">
        <w:rPr>
          <w:szCs w:val="22"/>
        </w:rPr>
        <w:t xml:space="preserve">to </w:t>
      </w:r>
      <w:r w:rsidR="00E51987">
        <w:rPr>
          <w:szCs w:val="22"/>
        </w:rPr>
        <w:t>adopt</w:t>
      </w:r>
      <w:proofErr w:type="gramEnd"/>
      <w:r w:rsidR="00347976">
        <w:rPr>
          <w:szCs w:val="22"/>
        </w:rPr>
        <w:t xml:space="preserve"> the transfer. </w:t>
      </w:r>
      <w:r w:rsidRPr="003A58E4">
        <w:rPr>
          <w:szCs w:val="22"/>
        </w:rPr>
        <w:t xml:space="preserve">The Committee adopted </w:t>
      </w:r>
      <w:r w:rsidR="004B0C63">
        <w:rPr>
          <w:szCs w:val="22"/>
        </w:rPr>
        <w:t xml:space="preserve">nevertheless </w:t>
      </w:r>
      <w:r w:rsidRPr="003A58E4">
        <w:rPr>
          <w:szCs w:val="22"/>
        </w:rPr>
        <w:t>a certain number of changes</w:t>
      </w:r>
      <w:r w:rsidR="00347976">
        <w:rPr>
          <w:szCs w:val="22"/>
        </w:rPr>
        <w:t xml:space="preserve"> that did not entail a transfer of goods</w:t>
      </w:r>
      <w:r w:rsidRPr="003A58E4">
        <w:rPr>
          <w:szCs w:val="22"/>
        </w:rPr>
        <w:t>, as contained in Annex </w:t>
      </w:r>
      <w:r>
        <w:rPr>
          <w:szCs w:val="22"/>
        </w:rPr>
        <w:t>VI</w:t>
      </w:r>
      <w:r w:rsidRPr="003A58E4">
        <w:rPr>
          <w:szCs w:val="22"/>
        </w:rPr>
        <w:t xml:space="preserve"> to this report</w:t>
      </w:r>
      <w:r>
        <w:rPr>
          <w:szCs w:val="22"/>
        </w:rPr>
        <w:t>.</w:t>
      </w:r>
    </w:p>
    <w:p w:rsidR="00CC5510" w:rsidRDefault="00CC5510" w:rsidP="005048D2">
      <w:pPr>
        <w:spacing w:line="260" w:lineRule="exact"/>
        <w:ind w:left="550"/>
        <w:rPr>
          <w:szCs w:val="22"/>
        </w:rPr>
      </w:pPr>
    </w:p>
    <w:p w:rsidR="00CC5510" w:rsidRDefault="00CC5510" w:rsidP="00CC5510">
      <w:pPr>
        <w:spacing w:line="260" w:lineRule="exact"/>
        <w:rPr>
          <w:szCs w:val="22"/>
        </w:rPr>
      </w:pPr>
      <w:r>
        <w:rPr>
          <w:szCs w:val="22"/>
        </w:rPr>
        <w:fldChar w:fldCharType="begin"/>
      </w:r>
      <w:r>
        <w:rPr>
          <w:szCs w:val="22"/>
        </w:rPr>
        <w:instrText xml:space="preserve"> AUTONUM  </w:instrText>
      </w:r>
      <w:r>
        <w:rPr>
          <w:szCs w:val="22"/>
        </w:rPr>
        <w:fldChar w:fldCharType="end"/>
      </w:r>
      <w:r>
        <w:rPr>
          <w:szCs w:val="22"/>
        </w:rPr>
        <w:tab/>
        <w:t xml:space="preserve">The United States of America expressed its intention to present a more comprehensive study for the </w:t>
      </w:r>
      <w:r w:rsidR="00A3199B" w:rsidRPr="00A3199B">
        <w:rPr>
          <w:szCs w:val="22"/>
        </w:rPr>
        <w:t>twenty-sixth</w:t>
      </w:r>
      <w:r>
        <w:rPr>
          <w:szCs w:val="22"/>
        </w:rPr>
        <w:t xml:space="preserve"> session of the Committee in connection with the transfer of table cutlery and related goods from Class 8 to Class 21.</w:t>
      </w:r>
    </w:p>
    <w:p w:rsidR="005048D2" w:rsidRDefault="005048D2" w:rsidP="005048D2">
      <w:pPr>
        <w:spacing w:line="260" w:lineRule="exact"/>
        <w:rPr>
          <w:b/>
          <w:caps/>
          <w:szCs w:val="22"/>
        </w:rPr>
      </w:pPr>
    </w:p>
    <w:p w:rsidR="005048D2" w:rsidRDefault="005048D2" w:rsidP="005048D2">
      <w:pPr>
        <w:spacing w:line="260" w:lineRule="exact"/>
        <w:rPr>
          <w:b/>
          <w:caps/>
          <w:szCs w:val="22"/>
        </w:rPr>
      </w:pPr>
      <w:r w:rsidRPr="00554081">
        <w:rPr>
          <w:b/>
          <w:caps/>
          <w:szCs w:val="22"/>
        </w:rPr>
        <w:t>(</w:t>
      </w:r>
      <w:r>
        <w:rPr>
          <w:b/>
          <w:szCs w:val="22"/>
        </w:rPr>
        <w:t>d</w:t>
      </w:r>
      <w:r w:rsidRPr="00554081">
        <w:rPr>
          <w:b/>
          <w:caps/>
          <w:szCs w:val="22"/>
        </w:rPr>
        <w:t>)</w:t>
      </w:r>
      <w:r w:rsidRPr="00554081">
        <w:rPr>
          <w:b/>
          <w:caps/>
          <w:szCs w:val="22"/>
        </w:rPr>
        <w:tab/>
      </w:r>
      <w:r w:rsidRPr="005048D2">
        <w:rPr>
          <w:b/>
          <w:caps/>
          <w:szCs w:val="22"/>
        </w:rPr>
        <w:t>electrically heated socks</w:t>
      </w:r>
    </w:p>
    <w:p w:rsidR="005048D2" w:rsidRPr="003A58E4" w:rsidRDefault="005048D2" w:rsidP="005048D2">
      <w:pPr>
        <w:spacing w:line="260" w:lineRule="exact"/>
        <w:rPr>
          <w:szCs w:val="22"/>
        </w:rPr>
      </w:pPr>
    </w:p>
    <w:p w:rsidR="005048D2" w:rsidRDefault="005048D2" w:rsidP="005048D2">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Discussions were based on project </w:t>
      </w:r>
      <w:hyperlink r:id="rId18" w:history="1">
        <w:r w:rsidRPr="005048D2">
          <w:rPr>
            <w:rStyle w:val="Hyperlink"/>
            <w:szCs w:val="22"/>
          </w:rPr>
          <w:t>CE252</w:t>
        </w:r>
      </w:hyperlink>
      <w:r>
        <w:rPr>
          <w:szCs w:val="22"/>
        </w:rPr>
        <w:t xml:space="preserve">, </w:t>
      </w:r>
      <w:hyperlink r:id="rId19" w:history="1">
        <w:r w:rsidRPr="00554081">
          <w:rPr>
            <w:rStyle w:val="Hyperlink"/>
            <w:szCs w:val="22"/>
          </w:rPr>
          <w:t xml:space="preserve">Annex </w:t>
        </w:r>
        <w:r>
          <w:rPr>
            <w:rStyle w:val="Hyperlink"/>
            <w:szCs w:val="22"/>
          </w:rPr>
          <w:t>5</w:t>
        </w:r>
      </w:hyperlink>
      <w:r>
        <w:rPr>
          <w:szCs w:val="22"/>
        </w:rPr>
        <w:t xml:space="preserve">, </w:t>
      </w:r>
      <w:r w:rsidR="006B4E62" w:rsidRPr="003A58E4">
        <w:rPr>
          <w:szCs w:val="22"/>
        </w:rPr>
        <w:t xml:space="preserve">which </w:t>
      </w:r>
      <w:r w:rsidR="006B4E62">
        <w:rPr>
          <w:szCs w:val="22"/>
        </w:rPr>
        <w:t xml:space="preserve">contained a proposal </w:t>
      </w:r>
      <w:r w:rsidR="009D7B8B">
        <w:rPr>
          <w:szCs w:val="22"/>
        </w:rPr>
        <w:t xml:space="preserve">for transferring </w:t>
      </w:r>
      <w:r w:rsidR="006B4E62">
        <w:rPr>
          <w:szCs w:val="22"/>
        </w:rPr>
        <w:t>electrically heated socks</w:t>
      </w:r>
      <w:r w:rsidR="009D7B8B">
        <w:rPr>
          <w:szCs w:val="22"/>
        </w:rPr>
        <w:t xml:space="preserve"> from Class 9 to Class 11</w:t>
      </w:r>
      <w:r w:rsidR="006B4E62">
        <w:rPr>
          <w:szCs w:val="22"/>
        </w:rPr>
        <w:t>, submitted by the United States of America.</w:t>
      </w:r>
    </w:p>
    <w:p w:rsidR="005048D2" w:rsidRDefault="005048D2" w:rsidP="005048D2">
      <w:pPr>
        <w:spacing w:line="260" w:lineRule="exact"/>
        <w:rPr>
          <w:szCs w:val="22"/>
        </w:rPr>
      </w:pPr>
    </w:p>
    <w:p w:rsidR="005048D2" w:rsidRDefault="005048D2" w:rsidP="005048D2">
      <w:pPr>
        <w:spacing w:line="260" w:lineRule="exact"/>
        <w:ind w:left="550"/>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The Committee </w:t>
      </w:r>
      <w:r w:rsidR="009D7B8B">
        <w:rPr>
          <w:szCs w:val="22"/>
        </w:rPr>
        <w:t xml:space="preserve">approved the transfer and </w:t>
      </w:r>
      <w:r w:rsidRPr="003A58E4">
        <w:rPr>
          <w:szCs w:val="22"/>
        </w:rPr>
        <w:t xml:space="preserve">adopted a certain number of </w:t>
      </w:r>
      <w:r w:rsidR="00E806B0">
        <w:rPr>
          <w:szCs w:val="22"/>
        </w:rPr>
        <w:t xml:space="preserve">related </w:t>
      </w:r>
      <w:r w:rsidRPr="003A58E4">
        <w:rPr>
          <w:szCs w:val="22"/>
        </w:rPr>
        <w:t>changes</w:t>
      </w:r>
      <w:r w:rsidR="00CC5510">
        <w:rPr>
          <w:szCs w:val="22"/>
        </w:rPr>
        <w:t xml:space="preserve"> to be effective with the coming into force of the </w:t>
      </w:r>
      <w:r w:rsidR="00A3199B">
        <w:rPr>
          <w:szCs w:val="22"/>
        </w:rPr>
        <w:t>eleventh</w:t>
      </w:r>
      <w:r w:rsidR="00CC5510">
        <w:rPr>
          <w:szCs w:val="22"/>
        </w:rPr>
        <w:t xml:space="preserve"> edition of the Classification</w:t>
      </w:r>
      <w:r w:rsidRPr="003A58E4">
        <w:rPr>
          <w:szCs w:val="22"/>
        </w:rPr>
        <w:t>, as contained in Annex </w:t>
      </w:r>
      <w:r>
        <w:rPr>
          <w:szCs w:val="22"/>
        </w:rPr>
        <w:t>VII</w:t>
      </w:r>
      <w:r w:rsidRPr="003A58E4">
        <w:rPr>
          <w:szCs w:val="22"/>
        </w:rPr>
        <w:t xml:space="preserve"> to this report</w:t>
      </w:r>
      <w:r>
        <w:rPr>
          <w:szCs w:val="22"/>
        </w:rPr>
        <w:t>.</w:t>
      </w:r>
    </w:p>
    <w:p w:rsidR="005048D2" w:rsidRDefault="005048D2" w:rsidP="007D6F6F">
      <w:pPr>
        <w:spacing w:line="260" w:lineRule="exact"/>
        <w:rPr>
          <w:szCs w:val="22"/>
        </w:rPr>
      </w:pPr>
    </w:p>
    <w:p w:rsidR="00CC5510" w:rsidRDefault="00CC5510">
      <w:pPr>
        <w:rPr>
          <w:b/>
          <w:caps/>
          <w:szCs w:val="22"/>
        </w:rPr>
      </w:pPr>
      <w:r>
        <w:rPr>
          <w:b/>
          <w:caps/>
          <w:szCs w:val="22"/>
        </w:rPr>
        <w:br w:type="page"/>
      </w:r>
    </w:p>
    <w:p w:rsidR="005048D2" w:rsidRDefault="005048D2" w:rsidP="005048D2">
      <w:pPr>
        <w:spacing w:line="260" w:lineRule="exact"/>
        <w:rPr>
          <w:b/>
          <w:caps/>
          <w:szCs w:val="22"/>
        </w:rPr>
      </w:pPr>
      <w:r w:rsidRPr="00554081">
        <w:rPr>
          <w:b/>
          <w:caps/>
          <w:szCs w:val="22"/>
        </w:rPr>
        <w:lastRenderedPageBreak/>
        <w:t>(</w:t>
      </w:r>
      <w:r>
        <w:rPr>
          <w:b/>
          <w:szCs w:val="22"/>
        </w:rPr>
        <w:t>e</w:t>
      </w:r>
      <w:r w:rsidRPr="00554081">
        <w:rPr>
          <w:b/>
          <w:caps/>
          <w:szCs w:val="22"/>
        </w:rPr>
        <w:t>)</w:t>
      </w:r>
      <w:r w:rsidRPr="00554081">
        <w:rPr>
          <w:b/>
          <w:caps/>
          <w:szCs w:val="22"/>
        </w:rPr>
        <w:tab/>
      </w:r>
      <w:r w:rsidRPr="005048D2">
        <w:rPr>
          <w:b/>
          <w:caps/>
          <w:szCs w:val="22"/>
        </w:rPr>
        <w:t>milk substitutes</w:t>
      </w:r>
    </w:p>
    <w:p w:rsidR="005048D2" w:rsidRPr="003A58E4" w:rsidRDefault="005048D2" w:rsidP="005048D2">
      <w:pPr>
        <w:spacing w:line="260" w:lineRule="exact"/>
        <w:rPr>
          <w:szCs w:val="22"/>
        </w:rPr>
      </w:pPr>
    </w:p>
    <w:p w:rsidR="005048D2" w:rsidRDefault="005048D2" w:rsidP="005048D2">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Discussions were based on project </w:t>
      </w:r>
      <w:hyperlink r:id="rId20" w:history="1">
        <w:r w:rsidRPr="005048D2">
          <w:rPr>
            <w:rStyle w:val="Hyperlink"/>
            <w:szCs w:val="22"/>
          </w:rPr>
          <w:t>CE252</w:t>
        </w:r>
      </w:hyperlink>
      <w:r>
        <w:rPr>
          <w:szCs w:val="22"/>
        </w:rPr>
        <w:t xml:space="preserve">, </w:t>
      </w:r>
      <w:hyperlink r:id="rId21" w:history="1">
        <w:r w:rsidRPr="00792EF8">
          <w:rPr>
            <w:rStyle w:val="Hyperlink"/>
            <w:szCs w:val="22"/>
          </w:rPr>
          <w:t>Annex 6</w:t>
        </w:r>
      </w:hyperlink>
      <w:r>
        <w:rPr>
          <w:szCs w:val="22"/>
        </w:rPr>
        <w:t xml:space="preserve">, </w:t>
      </w:r>
      <w:r w:rsidRPr="003A58E4">
        <w:rPr>
          <w:szCs w:val="22"/>
        </w:rPr>
        <w:t xml:space="preserve">which </w:t>
      </w:r>
      <w:r>
        <w:rPr>
          <w:szCs w:val="22"/>
        </w:rPr>
        <w:t>contained</w:t>
      </w:r>
      <w:r w:rsidRPr="003A58E4">
        <w:rPr>
          <w:szCs w:val="22"/>
        </w:rPr>
        <w:t xml:space="preserve"> </w:t>
      </w:r>
      <w:r>
        <w:rPr>
          <w:szCs w:val="22"/>
        </w:rPr>
        <w:t>proposal</w:t>
      </w:r>
      <w:r w:rsidR="00E51987">
        <w:rPr>
          <w:szCs w:val="22"/>
        </w:rPr>
        <w:t>s</w:t>
      </w:r>
      <w:r>
        <w:rPr>
          <w:szCs w:val="22"/>
        </w:rPr>
        <w:t xml:space="preserve"> </w:t>
      </w:r>
      <w:r w:rsidR="008A4ADC">
        <w:rPr>
          <w:szCs w:val="22"/>
        </w:rPr>
        <w:t>concerning the classification of milk substitutes,</w:t>
      </w:r>
      <w:r>
        <w:rPr>
          <w:szCs w:val="22"/>
        </w:rPr>
        <w:t xml:space="preserve"> submitted by </w:t>
      </w:r>
      <w:r w:rsidR="006F7852">
        <w:rPr>
          <w:szCs w:val="22"/>
        </w:rPr>
        <w:t xml:space="preserve">the </w:t>
      </w:r>
      <w:r w:rsidR="00E51987">
        <w:rPr>
          <w:szCs w:val="22"/>
        </w:rPr>
        <w:t xml:space="preserve">Republic of Korea, the </w:t>
      </w:r>
      <w:r w:rsidR="006F7852">
        <w:rPr>
          <w:szCs w:val="22"/>
        </w:rPr>
        <w:t>United States of America</w:t>
      </w:r>
      <w:r w:rsidR="00E51987">
        <w:rPr>
          <w:szCs w:val="22"/>
        </w:rPr>
        <w:t xml:space="preserve"> and the International Bureau</w:t>
      </w:r>
      <w:r w:rsidRPr="003A58E4">
        <w:rPr>
          <w:szCs w:val="22"/>
        </w:rPr>
        <w:t>.</w:t>
      </w:r>
    </w:p>
    <w:p w:rsidR="005048D2" w:rsidRDefault="005048D2" w:rsidP="005048D2">
      <w:pPr>
        <w:spacing w:line="260" w:lineRule="exact"/>
        <w:rPr>
          <w:szCs w:val="22"/>
        </w:rPr>
      </w:pPr>
    </w:p>
    <w:p w:rsidR="005048D2" w:rsidRDefault="005048D2" w:rsidP="005048D2">
      <w:pPr>
        <w:spacing w:line="260" w:lineRule="exact"/>
        <w:ind w:left="550"/>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The Committee adopted a </w:t>
      </w:r>
      <w:r w:rsidR="004719A2">
        <w:rPr>
          <w:szCs w:val="22"/>
        </w:rPr>
        <w:t>modified proposal</w:t>
      </w:r>
      <w:r w:rsidRPr="003A58E4">
        <w:rPr>
          <w:szCs w:val="22"/>
        </w:rPr>
        <w:t>, as contained in Annex </w:t>
      </w:r>
      <w:r>
        <w:rPr>
          <w:szCs w:val="22"/>
        </w:rPr>
        <w:t>VIII</w:t>
      </w:r>
      <w:r w:rsidRPr="003A58E4">
        <w:rPr>
          <w:szCs w:val="22"/>
        </w:rPr>
        <w:t xml:space="preserve"> to this report</w:t>
      </w:r>
      <w:r>
        <w:rPr>
          <w:szCs w:val="22"/>
        </w:rPr>
        <w:t>.</w:t>
      </w:r>
    </w:p>
    <w:p w:rsidR="005048D2" w:rsidRDefault="005048D2" w:rsidP="005048D2">
      <w:pPr>
        <w:spacing w:line="260" w:lineRule="exact"/>
        <w:ind w:left="550"/>
        <w:rPr>
          <w:szCs w:val="22"/>
        </w:rPr>
      </w:pPr>
    </w:p>
    <w:p w:rsidR="00804A8F" w:rsidRDefault="00804A8F">
      <w:pPr>
        <w:rPr>
          <w:b/>
          <w:caps/>
          <w:szCs w:val="22"/>
        </w:rPr>
      </w:pPr>
    </w:p>
    <w:p w:rsidR="005048D2" w:rsidRDefault="005048D2" w:rsidP="005048D2">
      <w:pPr>
        <w:spacing w:line="260" w:lineRule="exact"/>
        <w:rPr>
          <w:b/>
          <w:caps/>
          <w:szCs w:val="22"/>
        </w:rPr>
      </w:pPr>
      <w:r w:rsidRPr="00554081">
        <w:rPr>
          <w:b/>
          <w:caps/>
          <w:szCs w:val="22"/>
        </w:rPr>
        <w:t>(</w:t>
      </w:r>
      <w:r>
        <w:rPr>
          <w:b/>
          <w:szCs w:val="22"/>
        </w:rPr>
        <w:t>f</w:t>
      </w:r>
      <w:r w:rsidRPr="00554081">
        <w:rPr>
          <w:b/>
          <w:caps/>
          <w:szCs w:val="22"/>
        </w:rPr>
        <w:t>)</w:t>
      </w:r>
      <w:r w:rsidRPr="00554081">
        <w:rPr>
          <w:b/>
          <w:caps/>
          <w:szCs w:val="22"/>
        </w:rPr>
        <w:tab/>
      </w:r>
      <w:r w:rsidRPr="005048D2">
        <w:rPr>
          <w:b/>
          <w:caps/>
          <w:szCs w:val="22"/>
        </w:rPr>
        <w:t>use of the term “services”</w:t>
      </w:r>
    </w:p>
    <w:p w:rsidR="005048D2" w:rsidRPr="003A58E4" w:rsidRDefault="005048D2" w:rsidP="005048D2">
      <w:pPr>
        <w:spacing w:line="260" w:lineRule="exact"/>
        <w:rPr>
          <w:szCs w:val="22"/>
        </w:rPr>
      </w:pPr>
    </w:p>
    <w:p w:rsidR="005048D2" w:rsidRDefault="005048D2" w:rsidP="005048D2">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Discussions were based on project </w:t>
      </w:r>
      <w:hyperlink r:id="rId22" w:history="1">
        <w:r w:rsidRPr="005048D2">
          <w:rPr>
            <w:rStyle w:val="Hyperlink"/>
            <w:szCs w:val="22"/>
          </w:rPr>
          <w:t>CE252</w:t>
        </w:r>
      </w:hyperlink>
      <w:r>
        <w:rPr>
          <w:szCs w:val="22"/>
        </w:rPr>
        <w:t xml:space="preserve">, </w:t>
      </w:r>
      <w:hyperlink r:id="rId23" w:history="1">
        <w:r w:rsidRPr="00792EF8">
          <w:rPr>
            <w:rStyle w:val="Hyperlink"/>
            <w:szCs w:val="22"/>
          </w:rPr>
          <w:t>Annex 7</w:t>
        </w:r>
      </w:hyperlink>
      <w:r>
        <w:rPr>
          <w:szCs w:val="22"/>
        </w:rPr>
        <w:t xml:space="preserve">, </w:t>
      </w:r>
      <w:r w:rsidR="004719A2">
        <w:rPr>
          <w:szCs w:val="22"/>
        </w:rPr>
        <w:t xml:space="preserve">which contained </w:t>
      </w:r>
      <w:r w:rsidR="00481560" w:rsidRPr="00481560">
        <w:rPr>
          <w:szCs w:val="22"/>
        </w:rPr>
        <w:t>proposals for modifications to certain indications of services that do not really describe a service but rather make reference to an entity or a profession, submitted by Switzerland and the International Bureau.</w:t>
      </w:r>
    </w:p>
    <w:p w:rsidR="005048D2" w:rsidRDefault="005048D2" w:rsidP="005048D2">
      <w:pPr>
        <w:spacing w:line="260" w:lineRule="exact"/>
        <w:rPr>
          <w:szCs w:val="22"/>
        </w:rPr>
      </w:pPr>
    </w:p>
    <w:p w:rsidR="005048D2" w:rsidRDefault="005048D2" w:rsidP="005048D2">
      <w:pPr>
        <w:spacing w:line="260" w:lineRule="exact"/>
        <w:ind w:left="550"/>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The Committee adopted a number of changes, as contained in Annex </w:t>
      </w:r>
      <w:r>
        <w:rPr>
          <w:szCs w:val="22"/>
        </w:rPr>
        <w:t>IX</w:t>
      </w:r>
      <w:r w:rsidRPr="003A58E4">
        <w:rPr>
          <w:szCs w:val="22"/>
        </w:rPr>
        <w:t xml:space="preserve"> to this report</w:t>
      </w:r>
      <w:r>
        <w:rPr>
          <w:szCs w:val="22"/>
        </w:rPr>
        <w:t>.</w:t>
      </w:r>
    </w:p>
    <w:p w:rsidR="005048D2" w:rsidRDefault="005048D2" w:rsidP="007D6F6F">
      <w:pPr>
        <w:spacing w:line="260" w:lineRule="exact"/>
        <w:rPr>
          <w:szCs w:val="22"/>
        </w:rPr>
      </w:pPr>
    </w:p>
    <w:p w:rsidR="005048D2" w:rsidRDefault="005048D2" w:rsidP="005048D2">
      <w:pPr>
        <w:spacing w:line="260" w:lineRule="exact"/>
        <w:rPr>
          <w:b/>
          <w:caps/>
          <w:szCs w:val="22"/>
        </w:rPr>
      </w:pPr>
      <w:r w:rsidRPr="00554081">
        <w:rPr>
          <w:b/>
          <w:caps/>
          <w:szCs w:val="22"/>
        </w:rPr>
        <w:t>(</w:t>
      </w:r>
      <w:r>
        <w:rPr>
          <w:b/>
          <w:szCs w:val="22"/>
        </w:rPr>
        <w:t>g</w:t>
      </w:r>
      <w:r w:rsidRPr="00554081">
        <w:rPr>
          <w:b/>
          <w:caps/>
          <w:szCs w:val="22"/>
        </w:rPr>
        <w:t>)</w:t>
      </w:r>
      <w:r w:rsidRPr="00554081">
        <w:rPr>
          <w:b/>
          <w:caps/>
          <w:szCs w:val="22"/>
        </w:rPr>
        <w:tab/>
      </w:r>
      <w:r w:rsidRPr="005048D2">
        <w:rPr>
          <w:b/>
          <w:caps/>
          <w:szCs w:val="22"/>
        </w:rPr>
        <w:t>spelling and translation matters</w:t>
      </w:r>
    </w:p>
    <w:p w:rsidR="005048D2" w:rsidRPr="003A58E4" w:rsidRDefault="005048D2" w:rsidP="005048D2">
      <w:pPr>
        <w:spacing w:line="260" w:lineRule="exact"/>
        <w:rPr>
          <w:szCs w:val="22"/>
        </w:rPr>
      </w:pPr>
    </w:p>
    <w:p w:rsidR="005048D2" w:rsidRDefault="005048D2" w:rsidP="005048D2">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Discussions were based on project </w:t>
      </w:r>
      <w:hyperlink r:id="rId24" w:history="1">
        <w:r w:rsidRPr="005048D2">
          <w:rPr>
            <w:rStyle w:val="Hyperlink"/>
            <w:szCs w:val="22"/>
          </w:rPr>
          <w:t>CE252</w:t>
        </w:r>
      </w:hyperlink>
      <w:r>
        <w:rPr>
          <w:szCs w:val="22"/>
        </w:rPr>
        <w:t xml:space="preserve">, </w:t>
      </w:r>
      <w:hyperlink r:id="rId25" w:history="1">
        <w:r w:rsidRPr="00792EF8">
          <w:rPr>
            <w:rStyle w:val="Hyperlink"/>
            <w:szCs w:val="22"/>
          </w:rPr>
          <w:t>Annex 8</w:t>
        </w:r>
      </w:hyperlink>
      <w:r>
        <w:rPr>
          <w:szCs w:val="22"/>
        </w:rPr>
        <w:t xml:space="preserve">, </w:t>
      </w:r>
      <w:r w:rsidRPr="003A58E4">
        <w:rPr>
          <w:szCs w:val="22"/>
        </w:rPr>
        <w:t xml:space="preserve">which </w:t>
      </w:r>
      <w:r>
        <w:rPr>
          <w:szCs w:val="22"/>
        </w:rPr>
        <w:t>contained</w:t>
      </w:r>
      <w:r w:rsidRPr="003A58E4">
        <w:rPr>
          <w:szCs w:val="22"/>
        </w:rPr>
        <w:t xml:space="preserve"> </w:t>
      </w:r>
      <w:r>
        <w:rPr>
          <w:szCs w:val="22"/>
        </w:rPr>
        <w:t>a</w:t>
      </w:r>
      <w:r w:rsidRPr="003A58E4">
        <w:rPr>
          <w:szCs w:val="22"/>
        </w:rPr>
        <w:t xml:space="preserve"> </w:t>
      </w:r>
      <w:r>
        <w:rPr>
          <w:szCs w:val="22"/>
        </w:rPr>
        <w:t xml:space="preserve">proposal </w:t>
      </w:r>
      <w:r w:rsidR="00C95D3D" w:rsidRPr="00C95D3D">
        <w:rPr>
          <w:szCs w:val="22"/>
        </w:rPr>
        <w:t xml:space="preserve">concerning </w:t>
      </w:r>
      <w:r w:rsidR="00C95D3D">
        <w:rPr>
          <w:szCs w:val="22"/>
        </w:rPr>
        <w:t>spelling and translation matters,</w:t>
      </w:r>
      <w:r w:rsidR="00C95D3D" w:rsidRPr="00C95D3D">
        <w:rPr>
          <w:szCs w:val="22"/>
        </w:rPr>
        <w:t xml:space="preserve"> submitted by the International Bureau</w:t>
      </w:r>
      <w:r w:rsidRPr="003A58E4">
        <w:rPr>
          <w:szCs w:val="22"/>
        </w:rPr>
        <w:t>.</w:t>
      </w:r>
    </w:p>
    <w:p w:rsidR="005048D2" w:rsidRDefault="005048D2" w:rsidP="005048D2">
      <w:pPr>
        <w:spacing w:line="260" w:lineRule="exact"/>
        <w:rPr>
          <w:szCs w:val="22"/>
        </w:rPr>
      </w:pPr>
    </w:p>
    <w:p w:rsidR="005048D2" w:rsidRDefault="005048D2" w:rsidP="005048D2">
      <w:pPr>
        <w:spacing w:line="260" w:lineRule="exact"/>
        <w:ind w:left="550"/>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The Committee adopted </w:t>
      </w:r>
      <w:r w:rsidR="00E80D18">
        <w:rPr>
          <w:szCs w:val="22"/>
        </w:rPr>
        <w:t>an important</w:t>
      </w:r>
      <w:r w:rsidRPr="003A58E4">
        <w:rPr>
          <w:szCs w:val="22"/>
        </w:rPr>
        <w:t xml:space="preserve"> number of changes, as contained in Annex </w:t>
      </w:r>
      <w:r>
        <w:rPr>
          <w:szCs w:val="22"/>
        </w:rPr>
        <w:t>X</w:t>
      </w:r>
      <w:r w:rsidRPr="003A58E4">
        <w:rPr>
          <w:szCs w:val="22"/>
        </w:rPr>
        <w:t xml:space="preserve"> to this report</w:t>
      </w:r>
      <w:r>
        <w:rPr>
          <w:szCs w:val="22"/>
        </w:rPr>
        <w:t>.</w:t>
      </w:r>
    </w:p>
    <w:p w:rsidR="005048D2" w:rsidRDefault="005048D2" w:rsidP="00D40043">
      <w:pPr>
        <w:spacing w:line="260" w:lineRule="exact"/>
        <w:rPr>
          <w:szCs w:val="22"/>
        </w:rPr>
      </w:pPr>
    </w:p>
    <w:p w:rsidR="00D40043" w:rsidRDefault="00D40043" w:rsidP="00D40043">
      <w:pPr>
        <w:spacing w:line="260" w:lineRule="exact"/>
        <w:rPr>
          <w:szCs w:val="22"/>
        </w:rPr>
      </w:pPr>
    </w:p>
    <w:p w:rsidR="005048D2" w:rsidRDefault="005048D2" w:rsidP="00282D4F">
      <w:pPr>
        <w:spacing w:line="260" w:lineRule="exact"/>
        <w:rPr>
          <w:b/>
          <w:caps/>
          <w:szCs w:val="22"/>
        </w:rPr>
      </w:pPr>
      <w:r w:rsidRPr="005048D2">
        <w:rPr>
          <w:b/>
          <w:caps/>
          <w:szCs w:val="22"/>
        </w:rPr>
        <w:t>Presentation of improvements introduced in the electronic publication of the Nice Classification (NicePub)</w:t>
      </w:r>
    </w:p>
    <w:p w:rsidR="005048D2" w:rsidRDefault="005048D2" w:rsidP="00282D4F">
      <w:pPr>
        <w:spacing w:line="260" w:lineRule="exact"/>
        <w:rPr>
          <w:b/>
          <w:caps/>
          <w:szCs w:val="22"/>
        </w:rPr>
      </w:pPr>
    </w:p>
    <w:p w:rsidR="00A67C75" w:rsidRDefault="006010CC" w:rsidP="00A67C75">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r>
      <w:r w:rsidR="00E82FA4">
        <w:rPr>
          <w:szCs w:val="22"/>
        </w:rPr>
        <w:t xml:space="preserve">The Secretariat presented </w:t>
      </w:r>
      <w:r w:rsidR="00C1395E">
        <w:rPr>
          <w:szCs w:val="22"/>
        </w:rPr>
        <w:t xml:space="preserve">a new version of </w:t>
      </w:r>
      <w:proofErr w:type="spellStart"/>
      <w:r w:rsidR="00C1395E">
        <w:rPr>
          <w:szCs w:val="22"/>
        </w:rPr>
        <w:t>NicePub</w:t>
      </w:r>
      <w:proofErr w:type="spellEnd"/>
      <w:r w:rsidR="00C1395E">
        <w:rPr>
          <w:szCs w:val="22"/>
        </w:rPr>
        <w:t xml:space="preserve"> which include</w:t>
      </w:r>
      <w:r w:rsidR="00E51987">
        <w:rPr>
          <w:szCs w:val="22"/>
        </w:rPr>
        <w:t>d the</w:t>
      </w:r>
      <w:r w:rsidR="00C1395E">
        <w:rPr>
          <w:szCs w:val="22"/>
        </w:rPr>
        <w:t xml:space="preserve"> improvements requested by the Committee at its last session</w:t>
      </w:r>
      <w:r w:rsidR="004A44A6">
        <w:rPr>
          <w:szCs w:val="22"/>
        </w:rPr>
        <w:t xml:space="preserve">, </w:t>
      </w:r>
      <w:r w:rsidR="00EC5760">
        <w:rPr>
          <w:szCs w:val="22"/>
        </w:rPr>
        <w:t>namely</w:t>
      </w:r>
      <w:r w:rsidR="00E82FA4">
        <w:rPr>
          <w:szCs w:val="22"/>
        </w:rPr>
        <w:t xml:space="preserve">: </w:t>
      </w:r>
    </w:p>
    <w:p w:rsidR="00A67C75" w:rsidRDefault="00A67C75" w:rsidP="00A67C75">
      <w:pPr>
        <w:spacing w:line="260" w:lineRule="exact"/>
        <w:rPr>
          <w:szCs w:val="22"/>
        </w:rPr>
      </w:pPr>
    </w:p>
    <w:p w:rsidR="001C6DCF" w:rsidRPr="00A67C75" w:rsidRDefault="000C379F" w:rsidP="00A67C75">
      <w:pPr>
        <w:pStyle w:val="ListParagraph"/>
        <w:numPr>
          <w:ilvl w:val="0"/>
          <w:numId w:val="19"/>
        </w:numPr>
        <w:spacing w:line="260" w:lineRule="exact"/>
        <w:ind w:left="1134" w:hanging="567"/>
        <w:rPr>
          <w:szCs w:val="22"/>
        </w:rPr>
      </w:pPr>
      <w:r w:rsidRPr="00A67C75">
        <w:rPr>
          <w:szCs w:val="22"/>
        </w:rPr>
        <w:t xml:space="preserve">appearance of </w:t>
      </w:r>
      <w:r w:rsidR="00A67C75" w:rsidRPr="00A67C75">
        <w:rPr>
          <w:szCs w:val="22"/>
        </w:rPr>
        <w:t xml:space="preserve">the disclaimer and </w:t>
      </w:r>
      <w:r w:rsidRPr="00A67C75">
        <w:rPr>
          <w:szCs w:val="22"/>
        </w:rPr>
        <w:t xml:space="preserve">the titles of the </w:t>
      </w:r>
      <w:r w:rsidR="00E51987">
        <w:rPr>
          <w:szCs w:val="22"/>
        </w:rPr>
        <w:t>t</w:t>
      </w:r>
      <w:r w:rsidRPr="00A67C75">
        <w:rPr>
          <w:szCs w:val="22"/>
        </w:rPr>
        <w:t>axonomy groups</w:t>
      </w:r>
      <w:r w:rsidR="00A67C75">
        <w:rPr>
          <w:szCs w:val="22"/>
        </w:rPr>
        <w:t>;</w:t>
      </w:r>
      <w:r w:rsidR="00A67C75">
        <w:rPr>
          <w:szCs w:val="22"/>
        </w:rPr>
        <w:br/>
      </w:r>
    </w:p>
    <w:p w:rsidR="006A5D2B" w:rsidRPr="000655CA" w:rsidRDefault="00625DED" w:rsidP="000655CA">
      <w:pPr>
        <w:pStyle w:val="ListParagraph"/>
        <w:numPr>
          <w:ilvl w:val="0"/>
          <w:numId w:val="19"/>
        </w:numPr>
        <w:spacing w:line="260" w:lineRule="exact"/>
        <w:ind w:left="1134" w:hanging="567"/>
        <w:rPr>
          <w:szCs w:val="22"/>
        </w:rPr>
      </w:pPr>
      <w:r w:rsidRPr="000655CA">
        <w:rPr>
          <w:szCs w:val="22"/>
        </w:rPr>
        <w:t>c</w:t>
      </w:r>
      <w:r w:rsidR="006A5D2B" w:rsidRPr="000655CA">
        <w:rPr>
          <w:szCs w:val="22"/>
        </w:rPr>
        <w:t>hange of the displayed class with one click;</w:t>
      </w:r>
      <w:r w:rsidR="006A5D2B" w:rsidRPr="000655CA">
        <w:rPr>
          <w:szCs w:val="22"/>
        </w:rPr>
        <w:br/>
      </w:r>
    </w:p>
    <w:p w:rsidR="006A5D2B" w:rsidRDefault="00625DED" w:rsidP="000655CA">
      <w:pPr>
        <w:pStyle w:val="ListParagraph"/>
        <w:numPr>
          <w:ilvl w:val="0"/>
          <w:numId w:val="19"/>
        </w:numPr>
        <w:spacing w:line="260" w:lineRule="exact"/>
        <w:ind w:left="1134" w:hanging="567"/>
        <w:rPr>
          <w:szCs w:val="22"/>
        </w:rPr>
      </w:pPr>
      <w:r>
        <w:rPr>
          <w:szCs w:val="22"/>
        </w:rPr>
        <w:t>i</w:t>
      </w:r>
      <w:r w:rsidR="006A5D2B">
        <w:rPr>
          <w:szCs w:val="22"/>
        </w:rPr>
        <w:t xml:space="preserve">mprovement of the </w:t>
      </w:r>
      <w:r w:rsidR="00E51987">
        <w:rPr>
          <w:szCs w:val="22"/>
        </w:rPr>
        <w:t xml:space="preserve">bilingual </w:t>
      </w:r>
      <w:r w:rsidR="006A5D2B">
        <w:rPr>
          <w:szCs w:val="22"/>
        </w:rPr>
        <w:t xml:space="preserve">display of </w:t>
      </w:r>
      <w:r w:rsidR="00E51987">
        <w:rPr>
          <w:szCs w:val="22"/>
        </w:rPr>
        <w:t>indications of goods and services</w:t>
      </w:r>
      <w:r w:rsidR="006A5D2B">
        <w:rPr>
          <w:szCs w:val="22"/>
        </w:rPr>
        <w:t>;</w:t>
      </w:r>
      <w:r w:rsidR="006A5D2B">
        <w:rPr>
          <w:szCs w:val="22"/>
        </w:rPr>
        <w:br/>
      </w:r>
    </w:p>
    <w:p w:rsidR="006A5D2B" w:rsidRDefault="00625DED" w:rsidP="000655CA">
      <w:pPr>
        <w:pStyle w:val="ListParagraph"/>
        <w:numPr>
          <w:ilvl w:val="0"/>
          <w:numId w:val="19"/>
        </w:numPr>
        <w:spacing w:line="260" w:lineRule="exact"/>
        <w:ind w:left="1134" w:hanging="567"/>
        <w:rPr>
          <w:szCs w:val="22"/>
        </w:rPr>
      </w:pPr>
      <w:r>
        <w:rPr>
          <w:szCs w:val="22"/>
        </w:rPr>
        <w:t>a</w:t>
      </w:r>
      <w:r w:rsidR="006A5D2B">
        <w:rPr>
          <w:szCs w:val="22"/>
        </w:rPr>
        <w:t xml:space="preserve">ddition of a new tab displaying the complete </w:t>
      </w:r>
      <w:r w:rsidR="00E51987">
        <w:rPr>
          <w:szCs w:val="22"/>
        </w:rPr>
        <w:t>l</w:t>
      </w:r>
      <w:r w:rsidR="006A5D2B">
        <w:rPr>
          <w:szCs w:val="22"/>
        </w:rPr>
        <w:t xml:space="preserve">ist of </w:t>
      </w:r>
      <w:r w:rsidR="00E51987">
        <w:rPr>
          <w:szCs w:val="22"/>
        </w:rPr>
        <w:t>c</w:t>
      </w:r>
      <w:r w:rsidR="006A5D2B">
        <w:rPr>
          <w:szCs w:val="22"/>
        </w:rPr>
        <w:t xml:space="preserve">lass </w:t>
      </w:r>
      <w:r w:rsidR="00E51987">
        <w:rPr>
          <w:szCs w:val="22"/>
        </w:rPr>
        <w:t>h</w:t>
      </w:r>
      <w:r w:rsidR="006A5D2B">
        <w:rPr>
          <w:szCs w:val="22"/>
        </w:rPr>
        <w:t xml:space="preserve">eadings, including, on request, the </w:t>
      </w:r>
      <w:r w:rsidR="00E51987">
        <w:rPr>
          <w:szCs w:val="22"/>
        </w:rPr>
        <w:t>e</w:t>
      </w:r>
      <w:r w:rsidR="006A5D2B">
        <w:rPr>
          <w:szCs w:val="22"/>
        </w:rPr>
        <w:t xml:space="preserve">xplanatory </w:t>
      </w:r>
      <w:r w:rsidR="00E51987">
        <w:rPr>
          <w:szCs w:val="22"/>
        </w:rPr>
        <w:t>n</w:t>
      </w:r>
      <w:r w:rsidR="006A5D2B">
        <w:rPr>
          <w:szCs w:val="22"/>
        </w:rPr>
        <w:t>otes;</w:t>
      </w:r>
      <w:r w:rsidR="006A5D2B">
        <w:rPr>
          <w:szCs w:val="22"/>
        </w:rPr>
        <w:br/>
      </w:r>
    </w:p>
    <w:p w:rsidR="006A5D2B" w:rsidRDefault="00E51987" w:rsidP="000655CA">
      <w:pPr>
        <w:pStyle w:val="ListParagraph"/>
        <w:numPr>
          <w:ilvl w:val="0"/>
          <w:numId w:val="19"/>
        </w:numPr>
        <w:spacing w:line="260" w:lineRule="exact"/>
        <w:ind w:left="1134" w:hanging="567"/>
        <w:rPr>
          <w:szCs w:val="22"/>
        </w:rPr>
      </w:pPr>
      <w:r>
        <w:rPr>
          <w:szCs w:val="22"/>
        </w:rPr>
        <w:t>possibility of downloading the following files</w:t>
      </w:r>
      <w:r w:rsidR="006A5D2B" w:rsidRPr="006A5D2B">
        <w:rPr>
          <w:szCs w:val="22"/>
        </w:rPr>
        <w:t>:</w:t>
      </w:r>
    </w:p>
    <w:p w:rsidR="006A5D2B" w:rsidRDefault="006A5D2B" w:rsidP="006A5D2B">
      <w:pPr>
        <w:pStyle w:val="ListParagraph"/>
        <w:spacing w:line="260" w:lineRule="exact"/>
        <w:rPr>
          <w:szCs w:val="22"/>
        </w:rPr>
      </w:pPr>
    </w:p>
    <w:p w:rsidR="006A5D2B" w:rsidRPr="000655CA" w:rsidRDefault="000655CA" w:rsidP="000655CA">
      <w:pPr>
        <w:spacing w:line="260" w:lineRule="exact"/>
        <w:ind w:left="1134"/>
        <w:rPr>
          <w:szCs w:val="22"/>
        </w:rPr>
      </w:pPr>
      <w:r>
        <w:rPr>
          <w:szCs w:val="22"/>
          <w:lang w:val="en-GB"/>
        </w:rPr>
        <w:t>(</w:t>
      </w:r>
      <w:proofErr w:type="spellStart"/>
      <w:r>
        <w:rPr>
          <w:szCs w:val="22"/>
          <w:lang w:val="en-GB"/>
        </w:rPr>
        <w:t>i</w:t>
      </w:r>
      <w:proofErr w:type="spellEnd"/>
      <w:r>
        <w:rPr>
          <w:szCs w:val="22"/>
          <w:lang w:val="en-GB"/>
        </w:rPr>
        <w:t>)</w:t>
      </w:r>
      <w:r>
        <w:rPr>
          <w:szCs w:val="22"/>
          <w:lang w:val="en-GB"/>
        </w:rPr>
        <w:tab/>
      </w:r>
      <w:proofErr w:type="gramStart"/>
      <w:r w:rsidR="00625DED" w:rsidRPr="000655CA">
        <w:rPr>
          <w:szCs w:val="22"/>
        </w:rPr>
        <w:t>l</w:t>
      </w:r>
      <w:r w:rsidR="006A5D2B" w:rsidRPr="000655CA">
        <w:rPr>
          <w:szCs w:val="22"/>
        </w:rPr>
        <w:t>ist</w:t>
      </w:r>
      <w:proofErr w:type="gramEnd"/>
      <w:r w:rsidR="006A5D2B" w:rsidRPr="000655CA">
        <w:rPr>
          <w:szCs w:val="22"/>
        </w:rPr>
        <w:t xml:space="preserve"> of </w:t>
      </w:r>
      <w:r w:rsidR="00E51987">
        <w:rPr>
          <w:szCs w:val="22"/>
        </w:rPr>
        <w:t>c</w:t>
      </w:r>
      <w:r w:rsidR="006A5D2B" w:rsidRPr="000655CA">
        <w:rPr>
          <w:szCs w:val="22"/>
        </w:rPr>
        <w:t xml:space="preserve">lass </w:t>
      </w:r>
      <w:r w:rsidR="00E51987">
        <w:rPr>
          <w:szCs w:val="22"/>
        </w:rPr>
        <w:t>h</w:t>
      </w:r>
      <w:r w:rsidR="006A5D2B" w:rsidRPr="000655CA">
        <w:rPr>
          <w:szCs w:val="22"/>
        </w:rPr>
        <w:t xml:space="preserve">eadings and </w:t>
      </w:r>
      <w:r w:rsidR="00E51987">
        <w:rPr>
          <w:szCs w:val="22"/>
        </w:rPr>
        <w:t>e</w:t>
      </w:r>
      <w:r w:rsidR="006A5D2B" w:rsidRPr="000655CA">
        <w:rPr>
          <w:szCs w:val="22"/>
        </w:rPr>
        <w:t xml:space="preserve">xplanatory </w:t>
      </w:r>
      <w:r w:rsidR="00E51987">
        <w:rPr>
          <w:szCs w:val="22"/>
        </w:rPr>
        <w:t>n</w:t>
      </w:r>
      <w:r w:rsidR="006A5D2B" w:rsidRPr="000655CA">
        <w:rPr>
          <w:szCs w:val="22"/>
        </w:rPr>
        <w:t>otes in searchable PDF format;</w:t>
      </w:r>
      <w:r w:rsidR="00322243" w:rsidRPr="000655CA">
        <w:rPr>
          <w:szCs w:val="22"/>
        </w:rPr>
        <w:br/>
      </w:r>
    </w:p>
    <w:p w:rsidR="006A5D2B" w:rsidRPr="000655CA" w:rsidRDefault="000655CA" w:rsidP="000655CA">
      <w:pPr>
        <w:spacing w:line="260" w:lineRule="exact"/>
        <w:ind w:left="1134"/>
        <w:rPr>
          <w:szCs w:val="22"/>
        </w:rPr>
      </w:pPr>
      <w:r>
        <w:rPr>
          <w:szCs w:val="22"/>
          <w:lang w:val="en-GB"/>
        </w:rPr>
        <w:t>(</w:t>
      </w:r>
      <w:proofErr w:type="gramStart"/>
      <w:r>
        <w:rPr>
          <w:szCs w:val="22"/>
          <w:lang w:val="en-GB"/>
        </w:rPr>
        <w:t>ii</w:t>
      </w:r>
      <w:proofErr w:type="gramEnd"/>
      <w:r>
        <w:rPr>
          <w:szCs w:val="22"/>
          <w:lang w:val="en-GB"/>
        </w:rPr>
        <w:t>)</w:t>
      </w:r>
      <w:r>
        <w:rPr>
          <w:szCs w:val="22"/>
          <w:lang w:val="en-GB"/>
        </w:rPr>
        <w:tab/>
      </w:r>
      <w:r w:rsidR="00625DED" w:rsidRPr="000655CA">
        <w:rPr>
          <w:szCs w:val="22"/>
        </w:rPr>
        <w:t>l</w:t>
      </w:r>
      <w:r w:rsidR="006A5D2B" w:rsidRPr="000655CA">
        <w:rPr>
          <w:szCs w:val="22"/>
        </w:rPr>
        <w:t>ist</w:t>
      </w:r>
      <w:r w:rsidR="00343F38" w:rsidRPr="000655CA">
        <w:rPr>
          <w:szCs w:val="22"/>
        </w:rPr>
        <w:t xml:space="preserve">s of </w:t>
      </w:r>
      <w:r w:rsidR="00E51987">
        <w:rPr>
          <w:szCs w:val="22"/>
        </w:rPr>
        <w:t>g</w:t>
      </w:r>
      <w:r w:rsidR="00343F38" w:rsidRPr="000655CA">
        <w:rPr>
          <w:szCs w:val="22"/>
        </w:rPr>
        <w:t xml:space="preserve">oods and </w:t>
      </w:r>
      <w:r w:rsidR="00E51987">
        <w:rPr>
          <w:szCs w:val="22"/>
        </w:rPr>
        <w:t>s</w:t>
      </w:r>
      <w:r w:rsidR="00343F38" w:rsidRPr="000655CA">
        <w:rPr>
          <w:szCs w:val="22"/>
        </w:rPr>
        <w:t xml:space="preserve">ervices per </w:t>
      </w:r>
      <w:r w:rsidR="00322243" w:rsidRPr="000655CA">
        <w:rPr>
          <w:szCs w:val="22"/>
        </w:rPr>
        <w:t>c</w:t>
      </w:r>
      <w:r w:rsidR="00343F38" w:rsidRPr="000655CA">
        <w:rPr>
          <w:szCs w:val="22"/>
        </w:rPr>
        <w:t>lass (PDF);</w:t>
      </w:r>
      <w:r w:rsidR="00322243" w:rsidRPr="000655CA">
        <w:rPr>
          <w:szCs w:val="22"/>
        </w:rPr>
        <w:br/>
      </w:r>
    </w:p>
    <w:p w:rsidR="00CC5510" w:rsidRDefault="00CC5510">
      <w:pPr>
        <w:rPr>
          <w:szCs w:val="22"/>
          <w:lang w:val="en-GB"/>
        </w:rPr>
      </w:pPr>
      <w:r>
        <w:rPr>
          <w:szCs w:val="22"/>
          <w:lang w:val="en-GB"/>
        </w:rPr>
        <w:br w:type="page"/>
      </w:r>
    </w:p>
    <w:p w:rsidR="00343F38" w:rsidRPr="000655CA" w:rsidRDefault="000655CA" w:rsidP="000655CA">
      <w:pPr>
        <w:spacing w:line="260" w:lineRule="exact"/>
        <w:ind w:left="1134"/>
        <w:rPr>
          <w:szCs w:val="22"/>
        </w:rPr>
      </w:pPr>
      <w:r>
        <w:rPr>
          <w:szCs w:val="22"/>
          <w:lang w:val="en-GB"/>
        </w:rPr>
        <w:lastRenderedPageBreak/>
        <w:t>(</w:t>
      </w:r>
      <w:proofErr w:type="gramStart"/>
      <w:r>
        <w:rPr>
          <w:szCs w:val="22"/>
          <w:lang w:val="en-GB"/>
        </w:rPr>
        <w:t>iii</w:t>
      </w:r>
      <w:proofErr w:type="gramEnd"/>
      <w:r>
        <w:rPr>
          <w:szCs w:val="22"/>
          <w:lang w:val="en-GB"/>
        </w:rPr>
        <w:t>)</w:t>
      </w:r>
      <w:r w:rsidRPr="000655CA">
        <w:rPr>
          <w:szCs w:val="22"/>
          <w:lang w:val="en-GB"/>
        </w:rPr>
        <w:t xml:space="preserve"> </w:t>
      </w:r>
      <w:r>
        <w:rPr>
          <w:szCs w:val="22"/>
          <w:lang w:val="en-GB"/>
        </w:rPr>
        <w:tab/>
      </w:r>
      <w:r w:rsidR="00625DED" w:rsidRPr="000655CA">
        <w:rPr>
          <w:szCs w:val="22"/>
        </w:rPr>
        <w:t>l</w:t>
      </w:r>
      <w:r w:rsidR="00343F38" w:rsidRPr="000655CA">
        <w:rPr>
          <w:szCs w:val="22"/>
        </w:rPr>
        <w:t xml:space="preserve">ists of </w:t>
      </w:r>
      <w:r w:rsidR="00E51987">
        <w:rPr>
          <w:szCs w:val="22"/>
        </w:rPr>
        <w:t>g</w:t>
      </w:r>
      <w:r w:rsidR="00343F38" w:rsidRPr="000655CA">
        <w:rPr>
          <w:szCs w:val="22"/>
        </w:rPr>
        <w:t xml:space="preserve">oods and </w:t>
      </w:r>
      <w:r w:rsidR="00E51987">
        <w:rPr>
          <w:szCs w:val="22"/>
        </w:rPr>
        <w:t>s</w:t>
      </w:r>
      <w:r w:rsidR="00343F38" w:rsidRPr="000655CA">
        <w:rPr>
          <w:szCs w:val="22"/>
        </w:rPr>
        <w:t xml:space="preserve">ervices per </w:t>
      </w:r>
      <w:r w:rsidR="00322243" w:rsidRPr="000655CA">
        <w:rPr>
          <w:szCs w:val="22"/>
        </w:rPr>
        <w:t>c</w:t>
      </w:r>
      <w:r w:rsidR="00343F38" w:rsidRPr="000655CA">
        <w:rPr>
          <w:szCs w:val="22"/>
        </w:rPr>
        <w:t xml:space="preserve">lass including the </w:t>
      </w:r>
      <w:r w:rsidR="00E51987">
        <w:rPr>
          <w:szCs w:val="22"/>
        </w:rPr>
        <w:t>t</w:t>
      </w:r>
      <w:r w:rsidR="00343F38" w:rsidRPr="000655CA">
        <w:rPr>
          <w:szCs w:val="22"/>
        </w:rPr>
        <w:t>axonomy (PDF);</w:t>
      </w:r>
      <w:r w:rsidR="00322243" w:rsidRPr="000655CA">
        <w:rPr>
          <w:szCs w:val="22"/>
        </w:rPr>
        <w:br/>
      </w:r>
    </w:p>
    <w:p w:rsidR="007524BB" w:rsidRDefault="000655CA" w:rsidP="00A67C75">
      <w:pPr>
        <w:spacing w:line="260" w:lineRule="exact"/>
        <w:ind w:left="1134"/>
        <w:rPr>
          <w:szCs w:val="22"/>
        </w:rPr>
      </w:pPr>
      <w:r>
        <w:rPr>
          <w:szCs w:val="22"/>
          <w:lang w:val="en-GB"/>
        </w:rPr>
        <w:t>(iv)</w:t>
      </w:r>
      <w:r>
        <w:rPr>
          <w:szCs w:val="22"/>
          <w:lang w:val="en-GB"/>
        </w:rPr>
        <w:tab/>
      </w:r>
      <w:proofErr w:type="gramStart"/>
      <w:r w:rsidR="00625DED" w:rsidRPr="000655CA">
        <w:rPr>
          <w:szCs w:val="22"/>
        </w:rPr>
        <w:t>c</w:t>
      </w:r>
      <w:r w:rsidR="00343F38" w:rsidRPr="000655CA">
        <w:rPr>
          <w:szCs w:val="22"/>
        </w:rPr>
        <w:t>omplete</w:t>
      </w:r>
      <w:proofErr w:type="gramEnd"/>
      <w:r w:rsidR="00343F38" w:rsidRPr="000655CA">
        <w:rPr>
          <w:szCs w:val="22"/>
        </w:rPr>
        <w:t xml:space="preserve"> list of </w:t>
      </w:r>
      <w:r w:rsidR="00E51987">
        <w:rPr>
          <w:szCs w:val="22"/>
        </w:rPr>
        <w:t>g</w:t>
      </w:r>
      <w:r w:rsidR="00343F38" w:rsidRPr="000655CA">
        <w:rPr>
          <w:szCs w:val="22"/>
        </w:rPr>
        <w:t xml:space="preserve">oods and </w:t>
      </w:r>
      <w:r w:rsidR="00E51987">
        <w:rPr>
          <w:szCs w:val="22"/>
        </w:rPr>
        <w:t>s</w:t>
      </w:r>
      <w:r w:rsidR="00343F38" w:rsidRPr="000655CA">
        <w:rPr>
          <w:szCs w:val="22"/>
        </w:rPr>
        <w:t>ervices in Excel</w:t>
      </w:r>
      <w:r w:rsidR="00B70D21">
        <w:rPr>
          <w:szCs w:val="22"/>
        </w:rPr>
        <w:t xml:space="preserve"> format;</w:t>
      </w:r>
    </w:p>
    <w:p w:rsidR="007524BB" w:rsidRDefault="007524BB" w:rsidP="007524BB">
      <w:pPr>
        <w:spacing w:line="260" w:lineRule="exact"/>
        <w:ind w:left="567"/>
        <w:rPr>
          <w:szCs w:val="22"/>
        </w:rPr>
      </w:pPr>
    </w:p>
    <w:p w:rsidR="00343F38" w:rsidRPr="007524BB" w:rsidRDefault="007524BB" w:rsidP="007524BB">
      <w:pPr>
        <w:pStyle w:val="ListParagraph"/>
        <w:numPr>
          <w:ilvl w:val="0"/>
          <w:numId w:val="19"/>
        </w:numPr>
        <w:spacing w:line="260" w:lineRule="exact"/>
        <w:ind w:left="1134" w:hanging="567"/>
        <w:rPr>
          <w:szCs w:val="22"/>
        </w:rPr>
      </w:pPr>
      <w:proofErr w:type="gramStart"/>
      <w:r>
        <w:rPr>
          <w:szCs w:val="22"/>
        </w:rPr>
        <w:t>inclusion</w:t>
      </w:r>
      <w:proofErr w:type="gramEnd"/>
      <w:r>
        <w:rPr>
          <w:szCs w:val="22"/>
        </w:rPr>
        <w:t xml:space="preserve"> of editions 1 to 10</w:t>
      </w:r>
      <w:r w:rsidR="00343F38" w:rsidRPr="007524BB">
        <w:rPr>
          <w:szCs w:val="22"/>
        </w:rPr>
        <w:t>.</w:t>
      </w:r>
    </w:p>
    <w:p w:rsidR="00013EC7" w:rsidRDefault="00013EC7" w:rsidP="00A713CD">
      <w:pPr>
        <w:rPr>
          <w:szCs w:val="22"/>
        </w:rPr>
      </w:pPr>
    </w:p>
    <w:p w:rsidR="00EC5760" w:rsidRDefault="00EC5760" w:rsidP="00A713CD">
      <w:pPr>
        <w:rPr>
          <w:szCs w:val="22"/>
        </w:rPr>
      </w:pPr>
      <w:r>
        <w:rPr>
          <w:szCs w:val="22"/>
        </w:rPr>
        <w:fldChar w:fldCharType="begin"/>
      </w:r>
      <w:r>
        <w:rPr>
          <w:szCs w:val="22"/>
        </w:rPr>
        <w:instrText xml:space="preserve"> AUTONUM  </w:instrText>
      </w:r>
      <w:r>
        <w:rPr>
          <w:szCs w:val="22"/>
        </w:rPr>
        <w:fldChar w:fldCharType="end"/>
      </w:r>
      <w:r>
        <w:rPr>
          <w:szCs w:val="22"/>
        </w:rPr>
        <w:tab/>
        <w:t xml:space="preserve">The Committee recognized that the improvements introduced in the new version of </w:t>
      </w:r>
      <w:proofErr w:type="spellStart"/>
      <w:r>
        <w:rPr>
          <w:szCs w:val="22"/>
        </w:rPr>
        <w:t>NicePub</w:t>
      </w:r>
      <w:proofErr w:type="spellEnd"/>
      <w:r>
        <w:rPr>
          <w:szCs w:val="22"/>
        </w:rPr>
        <w:t xml:space="preserve"> were useful.</w:t>
      </w:r>
    </w:p>
    <w:p w:rsidR="00EC5760" w:rsidRDefault="00EC5760" w:rsidP="00A713CD">
      <w:pPr>
        <w:rPr>
          <w:szCs w:val="22"/>
        </w:rPr>
      </w:pPr>
    </w:p>
    <w:p w:rsidR="007524BB" w:rsidRDefault="007524BB" w:rsidP="00A713CD">
      <w:pPr>
        <w:rPr>
          <w:szCs w:val="22"/>
        </w:rPr>
      </w:pPr>
    </w:p>
    <w:p w:rsidR="007524BB" w:rsidRDefault="005B6775" w:rsidP="00A713CD">
      <w:pPr>
        <w:rPr>
          <w:szCs w:val="22"/>
        </w:rPr>
      </w:pPr>
      <w:r>
        <w:rPr>
          <w:b/>
          <w:szCs w:val="22"/>
        </w:rPr>
        <w:t>MATTERS CONCERNING PROCEDURE</w:t>
      </w:r>
    </w:p>
    <w:p w:rsidR="007524BB" w:rsidRDefault="007524BB" w:rsidP="00A713CD">
      <w:pPr>
        <w:rPr>
          <w:szCs w:val="22"/>
        </w:rPr>
      </w:pPr>
    </w:p>
    <w:p w:rsidR="007524BB" w:rsidRPr="007524BB" w:rsidRDefault="007524BB" w:rsidP="00A713CD">
      <w:pPr>
        <w:rPr>
          <w:szCs w:val="22"/>
        </w:rPr>
      </w:pPr>
      <w:r>
        <w:rPr>
          <w:szCs w:val="22"/>
        </w:rPr>
        <w:fldChar w:fldCharType="begin"/>
      </w:r>
      <w:r>
        <w:rPr>
          <w:szCs w:val="22"/>
        </w:rPr>
        <w:instrText xml:space="preserve"> AUTONUM  </w:instrText>
      </w:r>
      <w:r>
        <w:rPr>
          <w:szCs w:val="22"/>
        </w:rPr>
        <w:fldChar w:fldCharType="end"/>
      </w:r>
      <w:r>
        <w:rPr>
          <w:szCs w:val="22"/>
        </w:rPr>
        <w:tab/>
      </w:r>
      <w:r w:rsidR="007F2833">
        <w:rPr>
          <w:szCs w:val="22"/>
        </w:rPr>
        <w:t>D</w:t>
      </w:r>
      <w:r>
        <w:rPr>
          <w:szCs w:val="22"/>
        </w:rPr>
        <w:t>iscussion</w:t>
      </w:r>
      <w:r w:rsidR="007F2833">
        <w:rPr>
          <w:szCs w:val="22"/>
        </w:rPr>
        <w:t>s</w:t>
      </w:r>
      <w:r>
        <w:rPr>
          <w:szCs w:val="22"/>
        </w:rPr>
        <w:t xml:space="preserve"> </w:t>
      </w:r>
      <w:r w:rsidR="00067CFD">
        <w:rPr>
          <w:szCs w:val="22"/>
        </w:rPr>
        <w:t xml:space="preserve">during a session of the Committee </w:t>
      </w:r>
      <w:r w:rsidR="0005216A">
        <w:rPr>
          <w:szCs w:val="22"/>
        </w:rPr>
        <w:t>may</w:t>
      </w:r>
      <w:r w:rsidR="00067CFD">
        <w:rPr>
          <w:szCs w:val="22"/>
        </w:rPr>
        <w:t xml:space="preserve"> result in a </w:t>
      </w:r>
      <w:r w:rsidR="004719A2">
        <w:rPr>
          <w:szCs w:val="22"/>
        </w:rPr>
        <w:t>member State</w:t>
      </w:r>
      <w:r w:rsidR="00067CFD">
        <w:rPr>
          <w:szCs w:val="22"/>
        </w:rPr>
        <w:t xml:space="preserve"> adapting its proposal</w:t>
      </w:r>
      <w:r w:rsidR="004A44A6">
        <w:rPr>
          <w:szCs w:val="22"/>
        </w:rPr>
        <w:t>s</w:t>
      </w:r>
      <w:r w:rsidR="00067CFD">
        <w:rPr>
          <w:szCs w:val="22"/>
        </w:rPr>
        <w:t xml:space="preserve"> to suggestions made by the Committee.  </w:t>
      </w:r>
      <w:r w:rsidR="004719A2" w:rsidRPr="004719A2">
        <w:rPr>
          <w:szCs w:val="22"/>
        </w:rPr>
        <w:t>However, the practice of the Committee has been not to amend proposals of member States that are not represented at the session.  A number of proposals that could have been approved in amended form have therefore been rejected on those grounds.</w:t>
      </w:r>
      <w:r w:rsidR="0009471F">
        <w:rPr>
          <w:szCs w:val="22"/>
        </w:rPr>
        <w:t xml:space="preserve">  </w:t>
      </w:r>
      <w:r w:rsidR="005D1B88">
        <w:rPr>
          <w:szCs w:val="22"/>
        </w:rPr>
        <w:t>The Committee was of the opinion that this practice should be changed and requested the Secretariat to</w:t>
      </w:r>
      <w:r w:rsidR="005B6775">
        <w:rPr>
          <w:szCs w:val="22"/>
        </w:rPr>
        <w:t xml:space="preserve"> establish</w:t>
      </w:r>
      <w:r w:rsidR="005D1B88">
        <w:rPr>
          <w:szCs w:val="22"/>
        </w:rPr>
        <w:t xml:space="preserve"> a procedure that allow</w:t>
      </w:r>
      <w:r w:rsidR="00305576">
        <w:rPr>
          <w:szCs w:val="22"/>
        </w:rPr>
        <w:t>ed</w:t>
      </w:r>
      <w:r w:rsidR="005D1B88">
        <w:rPr>
          <w:szCs w:val="22"/>
        </w:rPr>
        <w:t xml:space="preserve"> the Committee to modify the proposals </w:t>
      </w:r>
      <w:r w:rsidR="004A44A6">
        <w:rPr>
          <w:szCs w:val="22"/>
        </w:rPr>
        <w:t>submitted by</w:t>
      </w:r>
      <w:r w:rsidR="005D1B88">
        <w:rPr>
          <w:szCs w:val="22"/>
        </w:rPr>
        <w:t xml:space="preserve"> </w:t>
      </w:r>
      <w:r w:rsidR="0005216A">
        <w:rPr>
          <w:szCs w:val="22"/>
        </w:rPr>
        <w:t>member States</w:t>
      </w:r>
      <w:r w:rsidR="005D1B88">
        <w:rPr>
          <w:szCs w:val="22"/>
        </w:rPr>
        <w:t xml:space="preserve"> that are not </w:t>
      </w:r>
      <w:r w:rsidR="0005216A">
        <w:rPr>
          <w:szCs w:val="22"/>
        </w:rPr>
        <w:t>represented</w:t>
      </w:r>
      <w:r w:rsidR="005D1B88">
        <w:rPr>
          <w:szCs w:val="22"/>
        </w:rPr>
        <w:t xml:space="preserve"> at the session.</w:t>
      </w:r>
    </w:p>
    <w:p w:rsidR="007524BB" w:rsidRPr="007524BB" w:rsidRDefault="007524BB" w:rsidP="00A713CD">
      <w:pPr>
        <w:rPr>
          <w:szCs w:val="22"/>
        </w:rPr>
      </w:pPr>
    </w:p>
    <w:p w:rsidR="00630DDD" w:rsidRDefault="00630DDD" w:rsidP="00A713CD">
      <w:pPr>
        <w:rPr>
          <w:szCs w:val="22"/>
        </w:rPr>
      </w:pPr>
    </w:p>
    <w:p w:rsidR="005B6775" w:rsidRDefault="00F17AC9" w:rsidP="00A713CD">
      <w:pPr>
        <w:rPr>
          <w:szCs w:val="22"/>
        </w:rPr>
      </w:pPr>
      <w:r>
        <w:rPr>
          <w:b/>
          <w:szCs w:val="22"/>
        </w:rPr>
        <w:t xml:space="preserve">ADDITION OF </w:t>
      </w:r>
      <w:r w:rsidR="00AD2B42">
        <w:rPr>
          <w:b/>
          <w:szCs w:val="22"/>
        </w:rPr>
        <w:t>NATIONAL</w:t>
      </w:r>
      <w:r>
        <w:rPr>
          <w:b/>
          <w:szCs w:val="22"/>
        </w:rPr>
        <w:t xml:space="preserve"> </w:t>
      </w:r>
      <w:r w:rsidR="00BD5FCE">
        <w:rPr>
          <w:b/>
          <w:szCs w:val="22"/>
        </w:rPr>
        <w:t xml:space="preserve">OR </w:t>
      </w:r>
      <w:r w:rsidR="00AD2B42">
        <w:rPr>
          <w:b/>
          <w:szCs w:val="22"/>
        </w:rPr>
        <w:t>REGIONAL</w:t>
      </w:r>
      <w:r w:rsidR="00BD5FCE">
        <w:rPr>
          <w:b/>
          <w:szCs w:val="22"/>
        </w:rPr>
        <w:t xml:space="preserve"> </w:t>
      </w:r>
      <w:r>
        <w:rPr>
          <w:b/>
          <w:szCs w:val="22"/>
        </w:rPr>
        <w:t>PRODUCTS TO THE ALPHABETICAL LIST</w:t>
      </w:r>
    </w:p>
    <w:p w:rsidR="005B6775" w:rsidRDefault="005B6775" w:rsidP="00A713CD">
      <w:pPr>
        <w:rPr>
          <w:szCs w:val="22"/>
        </w:rPr>
      </w:pPr>
    </w:p>
    <w:p w:rsidR="007954E3" w:rsidRDefault="00EC5760" w:rsidP="00A713CD">
      <w:pPr>
        <w:rPr>
          <w:szCs w:val="22"/>
        </w:rPr>
      </w:pPr>
      <w:r>
        <w:rPr>
          <w:szCs w:val="22"/>
        </w:rPr>
        <w:fldChar w:fldCharType="begin"/>
      </w:r>
      <w:r>
        <w:rPr>
          <w:szCs w:val="22"/>
        </w:rPr>
        <w:instrText xml:space="preserve"> AUTONUM  </w:instrText>
      </w:r>
      <w:r>
        <w:rPr>
          <w:szCs w:val="22"/>
        </w:rPr>
        <w:fldChar w:fldCharType="end"/>
      </w:r>
      <w:r>
        <w:rPr>
          <w:szCs w:val="22"/>
        </w:rPr>
        <w:tab/>
      </w:r>
      <w:r w:rsidR="00BD5FCE" w:rsidRPr="00BD5FCE">
        <w:rPr>
          <w:szCs w:val="22"/>
        </w:rPr>
        <w:t xml:space="preserve">The Committee noticed that in the last years there has been an increasing tendency to include </w:t>
      </w:r>
      <w:r w:rsidR="00AD2B42">
        <w:rPr>
          <w:szCs w:val="22"/>
        </w:rPr>
        <w:t>national</w:t>
      </w:r>
      <w:r w:rsidR="00BD5FCE" w:rsidRPr="00BD5FCE">
        <w:rPr>
          <w:szCs w:val="22"/>
        </w:rPr>
        <w:t xml:space="preserve"> or </w:t>
      </w:r>
      <w:r w:rsidR="00AD2B42">
        <w:rPr>
          <w:szCs w:val="22"/>
        </w:rPr>
        <w:t>regional</w:t>
      </w:r>
      <w:r w:rsidR="00BD5FCE" w:rsidRPr="00BD5FCE">
        <w:rPr>
          <w:szCs w:val="22"/>
        </w:rPr>
        <w:t xml:space="preserve"> </w:t>
      </w:r>
      <w:r w:rsidR="00701028">
        <w:rPr>
          <w:szCs w:val="22"/>
        </w:rPr>
        <w:t>goods</w:t>
      </w:r>
      <w:r w:rsidR="00AD2B42">
        <w:rPr>
          <w:szCs w:val="22"/>
        </w:rPr>
        <w:t>, often food,</w:t>
      </w:r>
      <w:r w:rsidR="00BD5FCE" w:rsidRPr="00BD5FCE">
        <w:rPr>
          <w:szCs w:val="22"/>
        </w:rPr>
        <w:t xml:space="preserve"> in the Alphabe</w:t>
      </w:r>
      <w:r w:rsidR="00AD2B42">
        <w:rPr>
          <w:szCs w:val="22"/>
        </w:rPr>
        <w:t>tical List</w:t>
      </w:r>
      <w:r w:rsidR="00BD5FCE" w:rsidRPr="00BD5FCE">
        <w:rPr>
          <w:szCs w:val="22"/>
        </w:rPr>
        <w:t>.</w:t>
      </w:r>
      <w:r w:rsidR="005C474D">
        <w:rPr>
          <w:szCs w:val="22"/>
        </w:rPr>
        <w:t xml:space="preserve"> </w:t>
      </w:r>
      <w:r w:rsidR="00AD2B42">
        <w:rPr>
          <w:szCs w:val="22"/>
        </w:rPr>
        <w:t xml:space="preserve"> </w:t>
      </w:r>
      <w:r w:rsidR="00BD5FCE" w:rsidRPr="00BD5FCE">
        <w:rPr>
          <w:szCs w:val="22"/>
        </w:rPr>
        <w:t xml:space="preserve">Without proper guidelines, this has been done indiscriminately for </w:t>
      </w:r>
      <w:r w:rsidR="00701028">
        <w:rPr>
          <w:szCs w:val="22"/>
        </w:rPr>
        <w:t>products</w:t>
      </w:r>
      <w:r w:rsidR="00BD5FCE" w:rsidRPr="00BD5FCE">
        <w:rPr>
          <w:szCs w:val="22"/>
        </w:rPr>
        <w:t xml:space="preserve"> that are known </w:t>
      </w:r>
      <w:r w:rsidR="00305576">
        <w:rPr>
          <w:szCs w:val="22"/>
        </w:rPr>
        <w:t>worldwide</w:t>
      </w:r>
      <w:r w:rsidR="00BD5FCE" w:rsidRPr="00BD5FCE">
        <w:rPr>
          <w:szCs w:val="22"/>
        </w:rPr>
        <w:t xml:space="preserve"> and </w:t>
      </w:r>
      <w:r w:rsidR="00701028">
        <w:rPr>
          <w:szCs w:val="22"/>
        </w:rPr>
        <w:t>products</w:t>
      </w:r>
      <w:r w:rsidR="00BD5FCE" w:rsidRPr="00BD5FCE">
        <w:rPr>
          <w:szCs w:val="22"/>
        </w:rPr>
        <w:t xml:space="preserve"> that are popular only in certain countries or regions.</w:t>
      </w:r>
      <w:r w:rsidR="005C474D">
        <w:rPr>
          <w:szCs w:val="22"/>
        </w:rPr>
        <w:t xml:space="preserve"> </w:t>
      </w:r>
      <w:r w:rsidR="00AD2B42">
        <w:rPr>
          <w:szCs w:val="22"/>
        </w:rPr>
        <w:t xml:space="preserve"> </w:t>
      </w:r>
      <w:r w:rsidR="00701028">
        <w:rPr>
          <w:szCs w:val="22"/>
        </w:rPr>
        <w:t>Moreover, a</w:t>
      </w:r>
      <w:r w:rsidR="00BD5FCE" w:rsidRPr="00BD5FCE">
        <w:rPr>
          <w:szCs w:val="22"/>
        </w:rPr>
        <w:t>s the names of such products are not always clearly understood, a bracketed description of th</w:t>
      </w:r>
      <w:r w:rsidR="00BD5FCE">
        <w:rPr>
          <w:szCs w:val="22"/>
        </w:rPr>
        <w:t xml:space="preserve">e product, sometimes including </w:t>
      </w:r>
      <w:r w:rsidR="00BD5FCE" w:rsidRPr="00BD5FCE">
        <w:rPr>
          <w:szCs w:val="22"/>
        </w:rPr>
        <w:t>its origin</w:t>
      </w:r>
      <w:r w:rsidR="0005216A">
        <w:rPr>
          <w:szCs w:val="22"/>
        </w:rPr>
        <w:t xml:space="preserve">, </w:t>
      </w:r>
      <w:r w:rsidR="00305576">
        <w:rPr>
          <w:szCs w:val="22"/>
        </w:rPr>
        <w:t>ha</w:t>
      </w:r>
      <w:r w:rsidR="0005216A">
        <w:rPr>
          <w:szCs w:val="22"/>
        </w:rPr>
        <w:t xml:space="preserve">s often </w:t>
      </w:r>
      <w:r w:rsidR="00305576">
        <w:rPr>
          <w:szCs w:val="22"/>
        </w:rPr>
        <w:t xml:space="preserve">been </w:t>
      </w:r>
      <w:r w:rsidR="0005216A">
        <w:rPr>
          <w:szCs w:val="22"/>
        </w:rPr>
        <w:t>added to the term in the Alphabetical List</w:t>
      </w:r>
      <w:r w:rsidR="00BD5FCE" w:rsidRPr="00BD5FCE">
        <w:rPr>
          <w:szCs w:val="22"/>
        </w:rPr>
        <w:t>.</w:t>
      </w:r>
      <w:r w:rsidR="005C474D">
        <w:rPr>
          <w:szCs w:val="22"/>
        </w:rPr>
        <w:t xml:space="preserve"> The</w:t>
      </w:r>
      <w:r w:rsidR="00BD5FCE" w:rsidRPr="00BD5FCE">
        <w:rPr>
          <w:szCs w:val="22"/>
        </w:rPr>
        <w:t xml:space="preserve"> Committee </w:t>
      </w:r>
      <w:r w:rsidR="005C474D">
        <w:rPr>
          <w:szCs w:val="22"/>
        </w:rPr>
        <w:t xml:space="preserve">considered it necessary to </w:t>
      </w:r>
      <w:r w:rsidR="00AD364F">
        <w:rPr>
          <w:szCs w:val="22"/>
        </w:rPr>
        <w:t>establish a</w:t>
      </w:r>
      <w:r w:rsidR="005C474D">
        <w:rPr>
          <w:szCs w:val="22"/>
        </w:rPr>
        <w:t xml:space="preserve"> clear policy for dealing with these cases </w:t>
      </w:r>
      <w:r w:rsidR="00305576">
        <w:rPr>
          <w:szCs w:val="22"/>
        </w:rPr>
        <w:t xml:space="preserve">uniformly </w:t>
      </w:r>
      <w:r w:rsidR="005C474D">
        <w:rPr>
          <w:szCs w:val="22"/>
        </w:rPr>
        <w:t xml:space="preserve">and therefore </w:t>
      </w:r>
      <w:r w:rsidR="00BD5FCE" w:rsidRPr="00BD5FCE">
        <w:rPr>
          <w:szCs w:val="22"/>
        </w:rPr>
        <w:t>requested the Secretariat to prepare guidelines for the presentation of proposals concerning this ty</w:t>
      </w:r>
      <w:r w:rsidR="005C474D">
        <w:rPr>
          <w:szCs w:val="22"/>
        </w:rPr>
        <w:t xml:space="preserve">pe of goods and their eventual </w:t>
      </w:r>
      <w:r w:rsidR="00BD5FCE" w:rsidRPr="00BD5FCE">
        <w:rPr>
          <w:szCs w:val="22"/>
        </w:rPr>
        <w:t xml:space="preserve">incorporation in the </w:t>
      </w:r>
      <w:r w:rsidR="005C474D">
        <w:rPr>
          <w:szCs w:val="22"/>
        </w:rPr>
        <w:t>Classification</w:t>
      </w:r>
      <w:r w:rsidR="00BD5FCE" w:rsidRPr="00BD5FCE">
        <w:rPr>
          <w:szCs w:val="22"/>
        </w:rPr>
        <w:t>.</w:t>
      </w:r>
    </w:p>
    <w:p w:rsidR="005C474D" w:rsidRDefault="005C474D" w:rsidP="00A713CD">
      <w:pPr>
        <w:rPr>
          <w:szCs w:val="22"/>
        </w:rPr>
      </w:pPr>
    </w:p>
    <w:p w:rsidR="00BD5FCE" w:rsidRDefault="00BD5FCE" w:rsidP="00A713CD">
      <w:pPr>
        <w:rPr>
          <w:szCs w:val="22"/>
        </w:rPr>
      </w:pPr>
    </w:p>
    <w:p w:rsidR="007954E3" w:rsidRDefault="007954E3" w:rsidP="00A713CD">
      <w:pPr>
        <w:rPr>
          <w:szCs w:val="22"/>
        </w:rPr>
      </w:pPr>
      <w:r>
        <w:rPr>
          <w:b/>
          <w:szCs w:val="22"/>
        </w:rPr>
        <w:t>MATTERS CONCERNING THE PRESENTATION OF WORKING DOCUMENTS</w:t>
      </w:r>
    </w:p>
    <w:p w:rsidR="007954E3" w:rsidRDefault="007954E3" w:rsidP="00A713CD">
      <w:pPr>
        <w:rPr>
          <w:szCs w:val="22"/>
        </w:rPr>
      </w:pPr>
    </w:p>
    <w:p w:rsidR="005B6775" w:rsidRDefault="00EC5760" w:rsidP="00A713CD">
      <w:pPr>
        <w:rPr>
          <w:szCs w:val="22"/>
        </w:rPr>
      </w:pPr>
      <w:r>
        <w:rPr>
          <w:szCs w:val="22"/>
        </w:rPr>
        <w:fldChar w:fldCharType="begin"/>
      </w:r>
      <w:r>
        <w:rPr>
          <w:szCs w:val="22"/>
        </w:rPr>
        <w:instrText xml:space="preserve"> AUTONUM  </w:instrText>
      </w:r>
      <w:r>
        <w:rPr>
          <w:szCs w:val="22"/>
        </w:rPr>
        <w:fldChar w:fldCharType="end"/>
      </w:r>
      <w:r>
        <w:rPr>
          <w:szCs w:val="22"/>
        </w:rPr>
        <w:tab/>
      </w:r>
      <w:r w:rsidR="007954E3">
        <w:rPr>
          <w:szCs w:val="22"/>
        </w:rPr>
        <w:t xml:space="preserve">The Committee requested the </w:t>
      </w:r>
      <w:r w:rsidR="00E51987">
        <w:rPr>
          <w:szCs w:val="22"/>
        </w:rPr>
        <w:t>Secretariat</w:t>
      </w:r>
      <w:r w:rsidR="007954E3">
        <w:rPr>
          <w:szCs w:val="22"/>
        </w:rPr>
        <w:t xml:space="preserve"> to improve the functionality</w:t>
      </w:r>
      <w:r>
        <w:rPr>
          <w:szCs w:val="22"/>
        </w:rPr>
        <w:t xml:space="preserve"> of the electronic forum and, in particular, the presentation of working documents.  Ideally,</w:t>
      </w:r>
      <w:r w:rsidR="00E806B0">
        <w:rPr>
          <w:szCs w:val="22"/>
        </w:rPr>
        <w:t xml:space="preserve"> </w:t>
      </w:r>
      <w:r>
        <w:rPr>
          <w:szCs w:val="22"/>
        </w:rPr>
        <w:t xml:space="preserve">it should be possible for member </w:t>
      </w:r>
      <w:r w:rsidR="00AD364F">
        <w:rPr>
          <w:szCs w:val="22"/>
        </w:rPr>
        <w:t>States</w:t>
      </w:r>
      <w:r>
        <w:rPr>
          <w:szCs w:val="22"/>
        </w:rPr>
        <w:t xml:space="preserve"> to submit proposals, comments on proposals and </w:t>
      </w:r>
      <w:r w:rsidR="00636735">
        <w:rPr>
          <w:szCs w:val="22"/>
        </w:rPr>
        <w:t>reactions to such comments in one common</w:t>
      </w:r>
      <w:r>
        <w:rPr>
          <w:szCs w:val="22"/>
        </w:rPr>
        <w:t xml:space="preserve"> document.  If this was not </w:t>
      </w:r>
      <w:r w:rsidR="00AD364F">
        <w:rPr>
          <w:szCs w:val="22"/>
        </w:rPr>
        <w:t>feasible</w:t>
      </w:r>
      <w:r w:rsidR="00636735">
        <w:rPr>
          <w:szCs w:val="22"/>
        </w:rPr>
        <w:t xml:space="preserve"> for the next session, proposals, comments and reactions to comments should be manually compiled in one table to facilitate the work of the Committee.</w:t>
      </w:r>
    </w:p>
    <w:p w:rsidR="00C21A06" w:rsidRDefault="00C21A06" w:rsidP="00A713CD">
      <w:pPr>
        <w:rPr>
          <w:szCs w:val="22"/>
        </w:rPr>
      </w:pPr>
    </w:p>
    <w:p w:rsidR="005B6775" w:rsidRPr="003A58E4" w:rsidRDefault="005B6775" w:rsidP="00A713CD">
      <w:pPr>
        <w:rPr>
          <w:szCs w:val="22"/>
        </w:rPr>
      </w:pPr>
    </w:p>
    <w:p w:rsidR="00A713CD" w:rsidRDefault="00A713CD" w:rsidP="00013EC7">
      <w:pPr>
        <w:spacing w:line="260" w:lineRule="exact"/>
        <w:rPr>
          <w:b/>
          <w:caps/>
          <w:szCs w:val="22"/>
        </w:rPr>
      </w:pPr>
      <w:r w:rsidRPr="00013EC7">
        <w:rPr>
          <w:b/>
          <w:caps/>
          <w:szCs w:val="22"/>
        </w:rPr>
        <w:t>NEXT SESSION OF THE committee of experts</w:t>
      </w:r>
    </w:p>
    <w:p w:rsidR="00511E07" w:rsidRDefault="00511E07" w:rsidP="00511E07">
      <w:pPr>
        <w:spacing w:line="260" w:lineRule="exact"/>
        <w:rPr>
          <w:caps/>
          <w:szCs w:val="22"/>
        </w:rPr>
      </w:pPr>
    </w:p>
    <w:p w:rsidR="00511E07" w:rsidRPr="003A58E4" w:rsidRDefault="00511E07" w:rsidP="00511E07">
      <w:pPr>
        <w:spacing w:line="260" w:lineRule="exact"/>
        <w:ind w:left="550"/>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r>
      <w:r w:rsidR="00A713CD" w:rsidRPr="003A58E4">
        <w:rPr>
          <w:szCs w:val="22"/>
        </w:rPr>
        <w:t>The Committee noted that its twenty-</w:t>
      </w:r>
      <w:r w:rsidR="00630DDD">
        <w:rPr>
          <w:szCs w:val="22"/>
        </w:rPr>
        <w:t>six</w:t>
      </w:r>
      <w:r w:rsidR="009D525C">
        <w:rPr>
          <w:szCs w:val="22"/>
        </w:rPr>
        <w:t>th</w:t>
      </w:r>
      <w:r w:rsidR="00A713CD" w:rsidRPr="003A58E4">
        <w:rPr>
          <w:szCs w:val="22"/>
        </w:rPr>
        <w:t> session would be held in Geneva</w:t>
      </w:r>
      <w:r w:rsidR="007524BB">
        <w:rPr>
          <w:szCs w:val="22"/>
        </w:rPr>
        <w:t>, if possible, in</w:t>
      </w:r>
      <w:r w:rsidR="00A713CD">
        <w:rPr>
          <w:szCs w:val="22"/>
        </w:rPr>
        <w:t xml:space="preserve"> April or May</w:t>
      </w:r>
      <w:r w:rsidR="00A713CD" w:rsidRPr="003A58E4">
        <w:rPr>
          <w:szCs w:val="22"/>
        </w:rPr>
        <w:t> 201</w:t>
      </w:r>
      <w:r w:rsidR="00630DDD">
        <w:rPr>
          <w:szCs w:val="22"/>
        </w:rPr>
        <w:t>6</w:t>
      </w:r>
      <w:r w:rsidR="00A713CD" w:rsidRPr="003A58E4">
        <w:rPr>
          <w:szCs w:val="22"/>
        </w:rPr>
        <w:t>.</w:t>
      </w:r>
    </w:p>
    <w:p w:rsidR="00A713CD" w:rsidRDefault="00A713CD" w:rsidP="00A713CD">
      <w:pPr>
        <w:rPr>
          <w:szCs w:val="22"/>
        </w:rPr>
      </w:pPr>
    </w:p>
    <w:p w:rsidR="004E44EE" w:rsidRPr="003A58E4" w:rsidRDefault="004E44EE" w:rsidP="00A713CD">
      <w:pPr>
        <w:rPr>
          <w:szCs w:val="22"/>
        </w:rPr>
      </w:pPr>
    </w:p>
    <w:p w:rsidR="00CC5510" w:rsidRDefault="00CC5510">
      <w:pPr>
        <w:rPr>
          <w:b/>
          <w:caps/>
          <w:szCs w:val="22"/>
        </w:rPr>
      </w:pPr>
      <w:r>
        <w:rPr>
          <w:b/>
          <w:caps/>
          <w:szCs w:val="22"/>
        </w:rPr>
        <w:br w:type="page"/>
      </w:r>
    </w:p>
    <w:p w:rsidR="00A713CD" w:rsidRDefault="00A713CD" w:rsidP="00013EC7">
      <w:pPr>
        <w:spacing w:line="260" w:lineRule="exact"/>
        <w:rPr>
          <w:b/>
          <w:caps/>
          <w:szCs w:val="22"/>
        </w:rPr>
      </w:pPr>
      <w:r w:rsidRPr="00013EC7">
        <w:rPr>
          <w:b/>
          <w:caps/>
          <w:szCs w:val="22"/>
        </w:rPr>
        <w:lastRenderedPageBreak/>
        <w:t>closing of the SESSION</w:t>
      </w:r>
    </w:p>
    <w:p w:rsidR="00013EC7" w:rsidRPr="00013EC7" w:rsidRDefault="00013EC7" w:rsidP="00013EC7">
      <w:pPr>
        <w:spacing w:line="260" w:lineRule="exact"/>
        <w:rPr>
          <w:caps/>
          <w:szCs w:val="22"/>
        </w:rPr>
      </w:pPr>
    </w:p>
    <w:p w:rsidR="00A713CD" w:rsidRPr="003A58E4" w:rsidRDefault="00A713CD" w:rsidP="004E44EE">
      <w:pPr>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 xml:space="preserve"> </w:t>
      </w:r>
      <w:r w:rsidRPr="003A58E4">
        <w:rPr>
          <w:szCs w:val="22"/>
        </w:rPr>
        <w:tab/>
        <w:t>The Chair closed the session.</w:t>
      </w:r>
    </w:p>
    <w:p w:rsidR="00A713CD" w:rsidRPr="003A58E4" w:rsidRDefault="00A713CD" w:rsidP="00A713CD">
      <w:pPr>
        <w:pStyle w:val="BodyText"/>
        <w:ind w:right="-1"/>
        <w:rPr>
          <w:i/>
          <w:szCs w:val="22"/>
        </w:rPr>
      </w:pPr>
    </w:p>
    <w:p w:rsidR="00101E60" w:rsidRPr="00C007F4" w:rsidRDefault="00101E60" w:rsidP="00101E60">
      <w:pPr>
        <w:pStyle w:val="DecisionInvitingPara"/>
        <w:rPr>
          <w:sz w:val="22"/>
          <w:szCs w:val="22"/>
        </w:rPr>
      </w:pPr>
      <w:r>
        <w:rPr>
          <w:sz w:val="22"/>
          <w:szCs w:val="22"/>
        </w:rPr>
        <w:t>33</w:t>
      </w:r>
      <w:r w:rsidRPr="00C007F4">
        <w:rPr>
          <w:sz w:val="22"/>
          <w:szCs w:val="22"/>
        </w:rPr>
        <w:t>.</w:t>
      </w:r>
      <w:r w:rsidRPr="00C007F4">
        <w:rPr>
          <w:sz w:val="22"/>
          <w:szCs w:val="22"/>
        </w:rPr>
        <w:tab/>
        <w:t xml:space="preserve">The Committee of Experts unanimously adopted this report by electronic means on </w:t>
      </w:r>
      <w:r>
        <w:rPr>
          <w:sz w:val="22"/>
          <w:szCs w:val="22"/>
        </w:rPr>
        <w:t>June 1</w:t>
      </w:r>
      <w:bookmarkStart w:id="5" w:name="_GoBack"/>
      <w:r w:rsidR="00CC5510">
        <w:rPr>
          <w:sz w:val="22"/>
          <w:szCs w:val="22"/>
        </w:rPr>
        <w:t>0</w:t>
      </w:r>
      <w:bookmarkEnd w:id="5"/>
      <w:r>
        <w:rPr>
          <w:sz w:val="22"/>
          <w:szCs w:val="22"/>
        </w:rPr>
        <w:t>, 2015</w:t>
      </w:r>
      <w:r w:rsidRPr="00C007F4">
        <w:rPr>
          <w:sz w:val="22"/>
          <w:szCs w:val="22"/>
        </w:rPr>
        <w:t>.</w:t>
      </w:r>
    </w:p>
    <w:p w:rsidR="00101E60" w:rsidRPr="003A58E4" w:rsidRDefault="00101E60" w:rsidP="00101E60">
      <w:pPr>
        <w:rPr>
          <w:szCs w:val="22"/>
        </w:rPr>
      </w:pPr>
    </w:p>
    <w:p w:rsidR="00A713CD" w:rsidRPr="003A58E4" w:rsidRDefault="00A713CD" w:rsidP="00101E60">
      <w:pPr>
        <w:pStyle w:val="Endofdocument"/>
        <w:rPr>
          <w:sz w:val="22"/>
          <w:szCs w:val="22"/>
        </w:rPr>
      </w:pPr>
      <w:r w:rsidRPr="003A58E4">
        <w:rPr>
          <w:sz w:val="22"/>
          <w:szCs w:val="22"/>
        </w:rPr>
        <w:t>[Annexes follow]</w:t>
      </w:r>
    </w:p>
    <w:sectPr w:rsidR="00A713CD" w:rsidRPr="003A58E4" w:rsidSect="00903948">
      <w:headerReference w:type="default" r:id="rId26"/>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D3F" w:rsidRDefault="00A95D3F">
      <w:r>
        <w:separator/>
      </w:r>
    </w:p>
  </w:endnote>
  <w:endnote w:type="continuationSeparator" w:id="0">
    <w:p w:rsidR="00A95D3F" w:rsidRDefault="00A95D3F" w:rsidP="003B38C1">
      <w:r>
        <w:separator/>
      </w:r>
    </w:p>
    <w:p w:rsidR="00A95D3F" w:rsidRPr="003B38C1" w:rsidRDefault="00A95D3F" w:rsidP="003B38C1">
      <w:pPr>
        <w:spacing w:after="60"/>
        <w:rPr>
          <w:sz w:val="17"/>
        </w:rPr>
      </w:pPr>
      <w:r>
        <w:rPr>
          <w:sz w:val="17"/>
        </w:rPr>
        <w:t>[Endnote continued from previous page]</w:t>
      </w:r>
    </w:p>
  </w:endnote>
  <w:endnote w:type="continuationNotice" w:id="1">
    <w:p w:rsidR="00A95D3F" w:rsidRPr="003B38C1" w:rsidRDefault="00A95D3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D3F" w:rsidRDefault="00A95D3F">
      <w:r>
        <w:separator/>
      </w:r>
    </w:p>
  </w:footnote>
  <w:footnote w:type="continuationSeparator" w:id="0">
    <w:p w:rsidR="00A95D3F" w:rsidRDefault="00A95D3F" w:rsidP="008B60B2">
      <w:r>
        <w:separator/>
      </w:r>
    </w:p>
    <w:p w:rsidR="00A95D3F" w:rsidRPr="00ED77FB" w:rsidRDefault="00A95D3F" w:rsidP="008B60B2">
      <w:pPr>
        <w:spacing w:after="60"/>
        <w:rPr>
          <w:sz w:val="17"/>
          <w:szCs w:val="17"/>
        </w:rPr>
      </w:pPr>
      <w:r w:rsidRPr="00ED77FB">
        <w:rPr>
          <w:sz w:val="17"/>
          <w:szCs w:val="17"/>
        </w:rPr>
        <w:t>[Footnote continued from previous page]</w:t>
      </w:r>
    </w:p>
  </w:footnote>
  <w:footnote w:type="continuationNotice" w:id="1">
    <w:p w:rsidR="00A95D3F" w:rsidRPr="00ED77FB" w:rsidRDefault="00A95D3F" w:rsidP="008B60B2">
      <w:pPr>
        <w:spacing w:before="60"/>
        <w:jc w:val="right"/>
        <w:rPr>
          <w:sz w:val="17"/>
          <w:szCs w:val="17"/>
        </w:rPr>
      </w:pPr>
      <w:r w:rsidRPr="00ED77FB">
        <w:rPr>
          <w:sz w:val="17"/>
          <w:szCs w:val="17"/>
        </w:rPr>
        <w:t>[Footnote continued on next page]</w:t>
      </w:r>
    </w:p>
  </w:footnote>
  <w:footnote w:id="2">
    <w:p w:rsidR="001D3AEC" w:rsidRPr="00E530F6" w:rsidRDefault="001D3AEC">
      <w:pPr>
        <w:pStyle w:val="FootnoteText"/>
      </w:pPr>
      <w:r>
        <w:rPr>
          <w:rStyle w:val="FootnoteReference"/>
        </w:rPr>
        <w:footnoteRef/>
      </w:r>
      <w:r>
        <w:t xml:space="preserve"> </w:t>
      </w:r>
      <w:r w:rsidRPr="00E530F6">
        <w:t>Article 3(7</w:t>
      </w:r>
      <w:proofErr w:type="gramStart"/>
      <w:r w:rsidRPr="00E530F6">
        <w:t>)(</w:t>
      </w:r>
      <w:proofErr w:type="gramEnd"/>
      <w:r w:rsidRPr="00E530F6">
        <w:t xml:space="preserve">b) of the Nice Agreement:  “Decisions concerning the adoption of amendments to the Classification shall require a majority of four-fifths of the countries of the Special Union represented and voting. </w:t>
      </w:r>
      <w:r>
        <w:t xml:space="preserve"> “Amendment” shall mean any transfer of goods or services from one class to another or the creation of any new class.”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AEC" w:rsidRDefault="001D3AEC" w:rsidP="00477D6B">
    <w:pPr>
      <w:jc w:val="right"/>
    </w:pPr>
    <w:bookmarkStart w:id="6" w:name="Code2"/>
    <w:bookmarkEnd w:id="6"/>
    <w:r>
      <w:t>CLIM/CE/2</w:t>
    </w:r>
    <w:r w:rsidR="00E159B4">
      <w:t>5</w:t>
    </w:r>
    <w:r>
      <w:t>/2</w:t>
    </w:r>
  </w:p>
  <w:p w:rsidR="001D3AEC" w:rsidRDefault="001D3AEC" w:rsidP="00477D6B">
    <w:pPr>
      <w:jc w:val="right"/>
    </w:pPr>
    <w:proofErr w:type="gramStart"/>
    <w:r>
      <w:t>page</w:t>
    </w:r>
    <w:proofErr w:type="gramEnd"/>
    <w:r>
      <w:t xml:space="preserve"> </w:t>
    </w:r>
    <w:r>
      <w:fldChar w:fldCharType="begin"/>
    </w:r>
    <w:r>
      <w:instrText xml:space="preserve"> PAGE  \* MERGEFORMAT </w:instrText>
    </w:r>
    <w:r>
      <w:fldChar w:fldCharType="separate"/>
    </w:r>
    <w:r w:rsidR="009D3201">
      <w:rPr>
        <w:noProof/>
      </w:rPr>
      <w:t>3</w:t>
    </w:r>
    <w:r>
      <w:fldChar w:fldCharType="end"/>
    </w:r>
  </w:p>
  <w:p w:rsidR="001D3AEC" w:rsidRDefault="001D3AEC"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EB90AB0"/>
    <w:multiLevelType w:val="multilevel"/>
    <w:tmpl w:val="2ADC98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ascii="Arial" w:eastAsia="SimSun" w:hAnsi="Arial" w:cs="Arial"/>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3BB0FEF"/>
    <w:multiLevelType w:val="multilevel"/>
    <w:tmpl w:val="B5564A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0621204"/>
    <w:multiLevelType w:val="hybridMultilevel"/>
    <w:tmpl w:val="E9DE87F8"/>
    <w:lvl w:ilvl="0" w:tplc="D45A3C38">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1B547A5"/>
    <w:multiLevelType w:val="hybridMultilevel"/>
    <w:tmpl w:val="96BC2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4429AB"/>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6C179AA"/>
    <w:multiLevelType w:val="hybridMultilevel"/>
    <w:tmpl w:val="2536F58E"/>
    <w:lvl w:ilvl="0" w:tplc="D45A3C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4169DD"/>
    <w:multiLevelType w:val="hybridMultilevel"/>
    <w:tmpl w:val="02FA7B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4B72C0"/>
    <w:multiLevelType w:val="hybridMultilevel"/>
    <w:tmpl w:val="FD206290"/>
    <w:lvl w:ilvl="0" w:tplc="0409001B">
      <w:start w:val="1"/>
      <w:numFmt w:val="lowerRoman"/>
      <w:lvlText w:val="%1."/>
      <w:lvlJc w:val="righ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8A34A79"/>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0B858F3"/>
    <w:multiLevelType w:val="multilevel"/>
    <w:tmpl w:val="971A3E5A"/>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53663502"/>
    <w:multiLevelType w:val="multilevel"/>
    <w:tmpl w:val="B5564A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537C117C"/>
    <w:multiLevelType w:val="hybridMultilevel"/>
    <w:tmpl w:val="BCEEA7C2"/>
    <w:lvl w:ilvl="0" w:tplc="CDC0BE58">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nsid w:val="596532E1"/>
    <w:multiLevelType w:val="hybridMultilevel"/>
    <w:tmpl w:val="7A00D62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C7962E2"/>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708314EC"/>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12"/>
  </w:num>
  <w:num w:numId="3">
    <w:abstractNumId w:val="0"/>
  </w:num>
  <w:num w:numId="4">
    <w:abstractNumId w:val="14"/>
  </w:num>
  <w:num w:numId="5">
    <w:abstractNumId w:val="1"/>
  </w:num>
  <w:num w:numId="6">
    <w:abstractNumId w:val="5"/>
  </w:num>
  <w:num w:numId="7">
    <w:abstractNumId w:val="2"/>
  </w:num>
  <w:num w:numId="8">
    <w:abstractNumId w:val="16"/>
  </w:num>
  <w:num w:numId="9">
    <w:abstractNumId w:val="3"/>
  </w:num>
  <w:num w:numId="10">
    <w:abstractNumId w:val="15"/>
  </w:num>
  <w:num w:numId="11">
    <w:abstractNumId w:val="19"/>
  </w:num>
  <w:num w:numId="12">
    <w:abstractNumId w:val="20"/>
  </w:num>
  <w:num w:numId="13">
    <w:abstractNumId w:val="8"/>
  </w:num>
  <w:num w:numId="14">
    <w:abstractNumId w:val="13"/>
  </w:num>
  <w:num w:numId="15">
    <w:abstractNumId w:val="7"/>
  </w:num>
  <w:num w:numId="16">
    <w:abstractNumId w:val="11"/>
  </w:num>
  <w:num w:numId="17">
    <w:abstractNumId w:val="10"/>
  </w:num>
  <w:num w:numId="18">
    <w:abstractNumId w:val="18"/>
  </w:num>
  <w:num w:numId="19">
    <w:abstractNumId w:val="6"/>
  </w:num>
  <w:num w:numId="20">
    <w:abstractNumId w:val="1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952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948"/>
    <w:rsid w:val="000042C0"/>
    <w:rsid w:val="00013EC7"/>
    <w:rsid w:val="000331EA"/>
    <w:rsid w:val="00043CAA"/>
    <w:rsid w:val="0005216A"/>
    <w:rsid w:val="000655CA"/>
    <w:rsid w:val="00067CFD"/>
    <w:rsid w:val="00071219"/>
    <w:rsid w:val="00075432"/>
    <w:rsid w:val="00075FA3"/>
    <w:rsid w:val="000809E9"/>
    <w:rsid w:val="00081689"/>
    <w:rsid w:val="0009471F"/>
    <w:rsid w:val="000968ED"/>
    <w:rsid w:val="000B0218"/>
    <w:rsid w:val="000C379F"/>
    <w:rsid w:val="000E0B4B"/>
    <w:rsid w:val="000E6B59"/>
    <w:rsid w:val="000F5E56"/>
    <w:rsid w:val="00101E60"/>
    <w:rsid w:val="00125B5F"/>
    <w:rsid w:val="0013284B"/>
    <w:rsid w:val="00133089"/>
    <w:rsid w:val="001362EE"/>
    <w:rsid w:val="00142529"/>
    <w:rsid w:val="001442B8"/>
    <w:rsid w:val="00157411"/>
    <w:rsid w:val="001601F2"/>
    <w:rsid w:val="001832A6"/>
    <w:rsid w:val="001952B5"/>
    <w:rsid w:val="001C3FE2"/>
    <w:rsid w:val="001C613E"/>
    <w:rsid w:val="001C6DCF"/>
    <w:rsid w:val="001D3AEC"/>
    <w:rsid w:val="00201F06"/>
    <w:rsid w:val="00207F22"/>
    <w:rsid w:val="00211569"/>
    <w:rsid w:val="00214A27"/>
    <w:rsid w:val="002150AF"/>
    <w:rsid w:val="00215AB6"/>
    <w:rsid w:val="0022236E"/>
    <w:rsid w:val="0024387E"/>
    <w:rsid w:val="002634C4"/>
    <w:rsid w:val="00265674"/>
    <w:rsid w:val="002734E5"/>
    <w:rsid w:val="00282D4F"/>
    <w:rsid w:val="002928D3"/>
    <w:rsid w:val="002D108C"/>
    <w:rsid w:val="002D1A71"/>
    <w:rsid w:val="002F1FE6"/>
    <w:rsid w:val="002F4E68"/>
    <w:rsid w:val="00305576"/>
    <w:rsid w:val="00312F7F"/>
    <w:rsid w:val="003216E2"/>
    <w:rsid w:val="00321CB7"/>
    <w:rsid w:val="00322243"/>
    <w:rsid w:val="00325E22"/>
    <w:rsid w:val="00343F38"/>
    <w:rsid w:val="00347976"/>
    <w:rsid w:val="00357A6C"/>
    <w:rsid w:val="00361450"/>
    <w:rsid w:val="003673CF"/>
    <w:rsid w:val="003845C1"/>
    <w:rsid w:val="003A18EE"/>
    <w:rsid w:val="003A6F89"/>
    <w:rsid w:val="003B38C1"/>
    <w:rsid w:val="003C4968"/>
    <w:rsid w:val="003C6E56"/>
    <w:rsid w:val="00401E0C"/>
    <w:rsid w:val="004079F5"/>
    <w:rsid w:val="004161CE"/>
    <w:rsid w:val="0042289E"/>
    <w:rsid w:val="00423E3E"/>
    <w:rsid w:val="00427AF4"/>
    <w:rsid w:val="00437A9A"/>
    <w:rsid w:val="00440C1C"/>
    <w:rsid w:val="004647DA"/>
    <w:rsid w:val="004719A2"/>
    <w:rsid w:val="00474062"/>
    <w:rsid w:val="00477D6B"/>
    <w:rsid w:val="00481560"/>
    <w:rsid w:val="004A3EF8"/>
    <w:rsid w:val="004A44A6"/>
    <w:rsid w:val="004A6335"/>
    <w:rsid w:val="004B0C63"/>
    <w:rsid w:val="004C6FDF"/>
    <w:rsid w:val="004D7984"/>
    <w:rsid w:val="004E44EE"/>
    <w:rsid w:val="004F31B1"/>
    <w:rsid w:val="005019FF"/>
    <w:rsid w:val="005048D2"/>
    <w:rsid w:val="00511E07"/>
    <w:rsid w:val="005225BE"/>
    <w:rsid w:val="00524741"/>
    <w:rsid w:val="0053057A"/>
    <w:rsid w:val="005315FF"/>
    <w:rsid w:val="0053203A"/>
    <w:rsid w:val="00540FE1"/>
    <w:rsid w:val="00554081"/>
    <w:rsid w:val="00560A29"/>
    <w:rsid w:val="0057033B"/>
    <w:rsid w:val="00574D82"/>
    <w:rsid w:val="005A2AE7"/>
    <w:rsid w:val="005A33B2"/>
    <w:rsid w:val="005A49F5"/>
    <w:rsid w:val="005A73A4"/>
    <w:rsid w:val="005B243C"/>
    <w:rsid w:val="005B31FF"/>
    <w:rsid w:val="005B6775"/>
    <w:rsid w:val="005C474D"/>
    <w:rsid w:val="005C6649"/>
    <w:rsid w:val="005D1B88"/>
    <w:rsid w:val="005D544B"/>
    <w:rsid w:val="005E45A3"/>
    <w:rsid w:val="006007B1"/>
    <w:rsid w:val="006010CC"/>
    <w:rsid w:val="006044B5"/>
    <w:rsid w:val="00604B40"/>
    <w:rsid w:val="00605827"/>
    <w:rsid w:val="00616F1F"/>
    <w:rsid w:val="00625DED"/>
    <w:rsid w:val="00630DDD"/>
    <w:rsid w:val="00636735"/>
    <w:rsid w:val="00642DB5"/>
    <w:rsid w:val="00646050"/>
    <w:rsid w:val="006713CA"/>
    <w:rsid w:val="00672E13"/>
    <w:rsid w:val="00674127"/>
    <w:rsid w:val="00676C5C"/>
    <w:rsid w:val="006A2DC5"/>
    <w:rsid w:val="006A3AB5"/>
    <w:rsid w:val="006A5D2B"/>
    <w:rsid w:val="006B4E62"/>
    <w:rsid w:val="006B6BBE"/>
    <w:rsid w:val="006D0C92"/>
    <w:rsid w:val="006F648A"/>
    <w:rsid w:val="006F7852"/>
    <w:rsid w:val="00701028"/>
    <w:rsid w:val="007152C8"/>
    <w:rsid w:val="00723632"/>
    <w:rsid w:val="0073171D"/>
    <w:rsid w:val="00734B29"/>
    <w:rsid w:val="007524BB"/>
    <w:rsid w:val="0075297A"/>
    <w:rsid w:val="00765AF5"/>
    <w:rsid w:val="00792EF8"/>
    <w:rsid w:val="007954E3"/>
    <w:rsid w:val="007A5731"/>
    <w:rsid w:val="007B336B"/>
    <w:rsid w:val="007C6A00"/>
    <w:rsid w:val="007D1613"/>
    <w:rsid w:val="007D2B95"/>
    <w:rsid w:val="007D556A"/>
    <w:rsid w:val="007D6F6F"/>
    <w:rsid w:val="007E1926"/>
    <w:rsid w:val="007F2833"/>
    <w:rsid w:val="007F6873"/>
    <w:rsid w:val="00801CE5"/>
    <w:rsid w:val="00804A8F"/>
    <w:rsid w:val="0081654E"/>
    <w:rsid w:val="0082026C"/>
    <w:rsid w:val="008319CD"/>
    <w:rsid w:val="00861690"/>
    <w:rsid w:val="0086280F"/>
    <w:rsid w:val="00881649"/>
    <w:rsid w:val="008A02A1"/>
    <w:rsid w:val="008A18AD"/>
    <w:rsid w:val="008A4ADC"/>
    <w:rsid w:val="008A4B7A"/>
    <w:rsid w:val="008A697D"/>
    <w:rsid w:val="008B0A99"/>
    <w:rsid w:val="008B2CC1"/>
    <w:rsid w:val="008B60B2"/>
    <w:rsid w:val="008B64D5"/>
    <w:rsid w:val="008B7732"/>
    <w:rsid w:val="008D1172"/>
    <w:rsid w:val="008D592C"/>
    <w:rsid w:val="008F3443"/>
    <w:rsid w:val="00903948"/>
    <w:rsid w:val="00906F0A"/>
    <w:rsid w:val="0090731E"/>
    <w:rsid w:val="00916EE2"/>
    <w:rsid w:val="009330EF"/>
    <w:rsid w:val="009555B8"/>
    <w:rsid w:val="00966A22"/>
    <w:rsid w:val="0096722F"/>
    <w:rsid w:val="00970337"/>
    <w:rsid w:val="00973B20"/>
    <w:rsid w:val="009769B8"/>
    <w:rsid w:val="00980843"/>
    <w:rsid w:val="0098383C"/>
    <w:rsid w:val="009C3441"/>
    <w:rsid w:val="009C5832"/>
    <w:rsid w:val="009C5957"/>
    <w:rsid w:val="009D28D3"/>
    <w:rsid w:val="009D309C"/>
    <w:rsid w:val="009D3201"/>
    <w:rsid w:val="009D525C"/>
    <w:rsid w:val="009D7B8B"/>
    <w:rsid w:val="009E2791"/>
    <w:rsid w:val="009E3F6F"/>
    <w:rsid w:val="009E6309"/>
    <w:rsid w:val="009F499F"/>
    <w:rsid w:val="009F4E4F"/>
    <w:rsid w:val="00A31713"/>
    <w:rsid w:val="00A3199B"/>
    <w:rsid w:val="00A42DAF"/>
    <w:rsid w:val="00A45BD8"/>
    <w:rsid w:val="00A532CC"/>
    <w:rsid w:val="00A67C75"/>
    <w:rsid w:val="00A713CD"/>
    <w:rsid w:val="00A71C57"/>
    <w:rsid w:val="00A74CD2"/>
    <w:rsid w:val="00A869B7"/>
    <w:rsid w:val="00A914CE"/>
    <w:rsid w:val="00A95D3F"/>
    <w:rsid w:val="00AA47D6"/>
    <w:rsid w:val="00AC205C"/>
    <w:rsid w:val="00AD2B42"/>
    <w:rsid w:val="00AD364F"/>
    <w:rsid w:val="00AF0A6B"/>
    <w:rsid w:val="00AF24F5"/>
    <w:rsid w:val="00AF5416"/>
    <w:rsid w:val="00B05A69"/>
    <w:rsid w:val="00B1174E"/>
    <w:rsid w:val="00B12EE7"/>
    <w:rsid w:val="00B263AE"/>
    <w:rsid w:val="00B43A5B"/>
    <w:rsid w:val="00B525BE"/>
    <w:rsid w:val="00B6007D"/>
    <w:rsid w:val="00B65E38"/>
    <w:rsid w:val="00B70D21"/>
    <w:rsid w:val="00B94C4C"/>
    <w:rsid w:val="00B9734B"/>
    <w:rsid w:val="00BA219A"/>
    <w:rsid w:val="00BB335E"/>
    <w:rsid w:val="00BC3E96"/>
    <w:rsid w:val="00BC4E28"/>
    <w:rsid w:val="00BD1850"/>
    <w:rsid w:val="00BD5FCE"/>
    <w:rsid w:val="00BF182E"/>
    <w:rsid w:val="00C0589C"/>
    <w:rsid w:val="00C11BFE"/>
    <w:rsid w:val="00C1395E"/>
    <w:rsid w:val="00C13BB7"/>
    <w:rsid w:val="00C21420"/>
    <w:rsid w:val="00C21A06"/>
    <w:rsid w:val="00C54D52"/>
    <w:rsid w:val="00C5665B"/>
    <w:rsid w:val="00C80DAB"/>
    <w:rsid w:val="00C84120"/>
    <w:rsid w:val="00C95D3D"/>
    <w:rsid w:val="00CB4622"/>
    <w:rsid w:val="00CC1C6C"/>
    <w:rsid w:val="00CC5510"/>
    <w:rsid w:val="00CF72D9"/>
    <w:rsid w:val="00D054A0"/>
    <w:rsid w:val="00D202FA"/>
    <w:rsid w:val="00D330C3"/>
    <w:rsid w:val="00D40043"/>
    <w:rsid w:val="00D40A5D"/>
    <w:rsid w:val="00D45252"/>
    <w:rsid w:val="00D468F7"/>
    <w:rsid w:val="00D54A8B"/>
    <w:rsid w:val="00D578B1"/>
    <w:rsid w:val="00D71B4D"/>
    <w:rsid w:val="00D93A49"/>
    <w:rsid w:val="00D93D55"/>
    <w:rsid w:val="00DC74CF"/>
    <w:rsid w:val="00DD5390"/>
    <w:rsid w:val="00DF0DEC"/>
    <w:rsid w:val="00DF49FB"/>
    <w:rsid w:val="00E014D5"/>
    <w:rsid w:val="00E159B4"/>
    <w:rsid w:val="00E335FE"/>
    <w:rsid w:val="00E44FD5"/>
    <w:rsid w:val="00E51987"/>
    <w:rsid w:val="00E530F6"/>
    <w:rsid w:val="00E76B13"/>
    <w:rsid w:val="00E806B0"/>
    <w:rsid w:val="00E80D18"/>
    <w:rsid w:val="00E829F1"/>
    <w:rsid w:val="00E82FA4"/>
    <w:rsid w:val="00E90CE1"/>
    <w:rsid w:val="00EB4E3A"/>
    <w:rsid w:val="00EB67E1"/>
    <w:rsid w:val="00EC3AA3"/>
    <w:rsid w:val="00EC4E49"/>
    <w:rsid w:val="00EC5760"/>
    <w:rsid w:val="00ED0FB6"/>
    <w:rsid w:val="00ED77FB"/>
    <w:rsid w:val="00EE45FA"/>
    <w:rsid w:val="00EE6700"/>
    <w:rsid w:val="00EF66E0"/>
    <w:rsid w:val="00F17AC9"/>
    <w:rsid w:val="00F25101"/>
    <w:rsid w:val="00F34103"/>
    <w:rsid w:val="00F431A2"/>
    <w:rsid w:val="00F6604D"/>
    <w:rsid w:val="00F66152"/>
    <w:rsid w:val="00F864DB"/>
    <w:rsid w:val="00FA4709"/>
    <w:rsid w:val="00FB4662"/>
    <w:rsid w:val="00FD2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3BB7"/>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rsid w:val="00A713CD"/>
    <w:pPr>
      <w:spacing w:after="120" w:line="260" w:lineRule="atLeast"/>
      <w:ind w:left="5534"/>
      <w:contextualSpacing/>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rsid w:val="00A713CD"/>
    <w:rPr>
      <w:color w:val="0000FF"/>
      <w:u w:val="single"/>
    </w:rPr>
  </w:style>
  <w:style w:type="character" w:styleId="FollowedHyperlink">
    <w:name w:val="FollowedHyperlink"/>
    <w:basedOn w:val="DefaultParagraphFont"/>
    <w:rsid w:val="00E014D5"/>
    <w:rPr>
      <w:color w:val="800080"/>
      <w:u w:val="single"/>
    </w:rPr>
  </w:style>
  <w:style w:type="character" w:styleId="FootnoteReference">
    <w:name w:val="footnote reference"/>
    <w:basedOn w:val="DefaultParagraphFont"/>
    <w:semiHidden/>
    <w:rsid w:val="00E530F6"/>
    <w:rPr>
      <w:vertAlign w:val="superscript"/>
    </w:rPr>
  </w:style>
  <w:style w:type="paragraph" w:styleId="ListParagraph">
    <w:name w:val="List Paragraph"/>
    <w:basedOn w:val="Normal"/>
    <w:uiPriority w:val="34"/>
    <w:qFormat/>
    <w:rsid w:val="000C379F"/>
    <w:pPr>
      <w:ind w:left="720"/>
      <w:contextualSpacing/>
    </w:pPr>
  </w:style>
  <w:style w:type="paragraph" w:customStyle="1" w:styleId="DecisionInvitingPara">
    <w:name w:val="Decision Inviting Para."/>
    <w:basedOn w:val="Normal"/>
    <w:rsid w:val="00101E60"/>
    <w:pPr>
      <w:spacing w:after="120" w:line="260" w:lineRule="atLeast"/>
      <w:ind w:left="5534"/>
      <w:contextualSpacing/>
    </w:pPr>
    <w:rPr>
      <w:rFonts w:eastAsia="Times New Roman" w:cs="Times New Roman"/>
      <w:i/>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3BB7"/>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rsid w:val="00A713CD"/>
    <w:pPr>
      <w:spacing w:after="120" w:line="260" w:lineRule="atLeast"/>
      <w:ind w:left="5534"/>
      <w:contextualSpacing/>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rsid w:val="00A713CD"/>
    <w:rPr>
      <w:color w:val="0000FF"/>
      <w:u w:val="single"/>
    </w:rPr>
  </w:style>
  <w:style w:type="character" w:styleId="FollowedHyperlink">
    <w:name w:val="FollowedHyperlink"/>
    <w:basedOn w:val="DefaultParagraphFont"/>
    <w:rsid w:val="00E014D5"/>
    <w:rPr>
      <w:color w:val="800080"/>
      <w:u w:val="single"/>
    </w:rPr>
  </w:style>
  <w:style w:type="character" w:styleId="FootnoteReference">
    <w:name w:val="footnote reference"/>
    <w:basedOn w:val="DefaultParagraphFont"/>
    <w:semiHidden/>
    <w:rsid w:val="00E530F6"/>
    <w:rPr>
      <w:vertAlign w:val="superscript"/>
    </w:rPr>
  </w:style>
  <w:style w:type="paragraph" w:styleId="ListParagraph">
    <w:name w:val="List Paragraph"/>
    <w:basedOn w:val="Normal"/>
    <w:uiPriority w:val="34"/>
    <w:qFormat/>
    <w:rsid w:val="000C379F"/>
    <w:pPr>
      <w:ind w:left="720"/>
      <w:contextualSpacing/>
    </w:pPr>
  </w:style>
  <w:style w:type="paragraph" w:customStyle="1" w:styleId="DecisionInvitingPara">
    <w:name w:val="Decision Inviting Para."/>
    <w:basedOn w:val="Normal"/>
    <w:rsid w:val="00101E60"/>
    <w:pPr>
      <w:spacing w:after="120" w:line="260" w:lineRule="atLeast"/>
      <w:ind w:left="5534"/>
      <w:contextualSpacing/>
    </w:pPr>
    <w:rPr>
      <w:rFonts w:eastAsia="Times New Roman" w:cs="Times New Roman"/>
      <w:i/>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eb2.wipo.int/nef/en/project/1437/CE252" TargetMode="External"/><Relationship Id="rId18" Type="http://schemas.openxmlformats.org/officeDocument/2006/relationships/hyperlink" Target="http://web2.wipo.int/nef/en/project/1437/CE252"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web2.wipo.int/nef/nef-projects/ce252/ce252-a06_ibmi.docx" TargetMode="External"/><Relationship Id="rId7" Type="http://schemas.openxmlformats.org/officeDocument/2006/relationships/endnotes" Target="endnotes.xml"/><Relationship Id="rId12" Type="http://schemas.openxmlformats.org/officeDocument/2006/relationships/hyperlink" Target="http://web2.wipo.int/nef/nef-projects/ce252/ce252-a02_ibcl.docx" TargetMode="External"/><Relationship Id="rId17" Type="http://schemas.openxmlformats.org/officeDocument/2006/relationships/hyperlink" Target="http://web2.wipo.int/nef/nef-projects/ce252/ce252-a04_ibta.docx" TargetMode="External"/><Relationship Id="rId25" Type="http://schemas.openxmlformats.org/officeDocument/2006/relationships/hyperlink" Target="http://web2.wipo.int/nef/nef-projects/ce252/ce252-a08_ibsp.xlsx" TargetMode="External"/><Relationship Id="rId2" Type="http://schemas.openxmlformats.org/officeDocument/2006/relationships/styles" Target="styles.xml"/><Relationship Id="rId16" Type="http://schemas.openxmlformats.org/officeDocument/2006/relationships/hyperlink" Target="http://web2.wipo.int/nef/en/project/1437/CE252" TargetMode="External"/><Relationship Id="rId20" Type="http://schemas.openxmlformats.org/officeDocument/2006/relationships/hyperlink" Target="http://web2.wipo.int/nef/en/project/1437/CE25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eb2.wipo.int/nef/en/project/1437/CE252" TargetMode="External"/><Relationship Id="rId24" Type="http://schemas.openxmlformats.org/officeDocument/2006/relationships/hyperlink" Target="http://web2.wipo.int/nef/en/project/1437/CE252" TargetMode="External"/><Relationship Id="rId5" Type="http://schemas.openxmlformats.org/officeDocument/2006/relationships/webSettings" Target="webSettings.xml"/><Relationship Id="rId15" Type="http://schemas.openxmlformats.org/officeDocument/2006/relationships/hyperlink" Target="http://web2.wipo.int/nef/nef-projects/ce252/upload_ce252-a03_ibex.pdf" TargetMode="External"/><Relationship Id="rId23" Type="http://schemas.openxmlformats.org/officeDocument/2006/relationships/hyperlink" Target="http://web2.wipo.int/nef/nef-projects/ce252/ce252-a07_ibte.docx" TargetMode="External"/><Relationship Id="rId28" Type="http://schemas.openxmlformats.org/officeDocument/2006/relationships/theme" Target="theme/theme1.xml"/><Relationship Id="rId10" Type="http://schemas.openxmlformats.org/officeDocument/2006/relationships/hyperlink" Target="http://web2.wipo.int/nef/nef-projects/ce252/ce252-a01_ibva.docx" TargetMode="External"/><Relationship Id="rId19" Type="http://schemas.openxmlformats.org/officeDocument/2006/relationships/hyperlink" Target="http://web2.wipo.int/nef/nef-projects/ce252/ce252-a05_ibel.docx" TargetMode="External"/><Relationship Id="rId4" Type="http://schemas.openxmlformats.org/officeDocument/2006/relationships/settings" Target="settings.xml"/><Relationship Id="rId9" Type="http://schemas.openxmlformats.org/officeDocument/2006/relationships/hyperlink" Target="http://web2.wipo.int/nef/en/project/1437/CE252" TargetMode="External"/><Relationship Id="rId14" Type="http://schemas.openxmlformats.org/officeDocument/2006/relationships/hyperlink" Target="http://web2.wipo.int/nef/nef-projects/ce252/ce252-a09_chex.docx" TargetMode="External"/><Relationship Id="rId22" Type="http://schemas.openxmlformats.org/officeDocument/2006/relationships/hyperlink" Target="http://web2.wipo.int/nef/en/project/1437/CE25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1635</Words>
  <Characters>10404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CLIM/CE/25/2</vt:lpstr>
    </vt:vector>
  </TitlesOfParts>
  <Company>WIPO</Company>
  <LinksUpToDate>false</LinksUpToDate>
  <CharactersWithSpaces>12015</CharactersWithSpaces>
  <SharedDoc>false</SharedDoc>
  <HLinks>
    <vt:vector size="36" baseType="variant">
      <vt:variant>
        <vt:i4>1048614</vt:i4>
      </vt:variant>
      <vt:variant>
        <vt:i4>53</vt:i4>
      </vt:variant>
      <vt:variant>
        <vt:i4>0</vt:i4>
      </vt:variant>
      <vt:variant>
        <vt:i4>5</vt:i4>
      </vt:variant>
      <vt:variant>
        <vt:lpwstr>http://web2.wipo.int/nef/nef-projects/ce235/ce235-a02_iba2.doc</vt:lpwstr>
      </vt:variant>
      <vt:variant>
        <vt:lpwstr/>
      </vt:variant>
      <vt:variant>
        <vt:i4>4915237</vt:i4>
      </vt:variant>
      <vt:variant>
        <vt:i4>50</vt:i4>
      </vt:variant>
      <vt:variant>
        <vt:i4>0</vt:i4>
      </vt:variant>
      <vt:variant>
        <vt:i4>5</vt:i4>
      </vt:variant>
      <vt:variant>
        <vt:lpwstr>http://web2.wipo.int/nef/nef-projects/ce235/ce235-a01_ibai.doc</vt:lpwstr>
      </vt:variant>
      <vt:variant>
        <vt:lpwstr/>
      </vt:variant>
      <vt:variant>
        <vt:i4>5111844</vt:i4>
      </vt:variant>
      <vt:variant>
        <vt:i4>41</vt:i4>
      </vt:variant>
      <vt:variant>
        <vt:i4>0</vt:i4>
      </vt:variant>
      <vt:variant>
        <vt:i4>5</vt:i4>
      </vt:variant>
      <vt:variant>
        <vt:lpwstr>http://web2.wipo.int/nef/nef-projects/ce234/ce234-a02_ibcl.doc</vt:lpwstr>
      </vt:variant>
      <vt:variant>
        <vt:lpwstr/>
      </vt:variant>
      <vt:variant>
        <vt:i4>5111841</vt:i4>
      </vt:variant>
      <vt:variant>
        <vt:i4>30</vt:i4>
      </vt:variant>
      <vt:variant>
        <vt:i4>0</vt:i4>
      </vt:variant>
      <vt:variant>
        <vt:i4>5</vt:i4>
      </vt:variant>
      <vt:variant>
        <vt:lpwstr>http://web2.wipo.int/nef/nef-projects/ce234/ce234-a01_ibel.doc</vt:lpwstr>
      </vt:variant>
      <vt:variant>
        <vt:lpwstr/>
      </vt:variant>
      <vt:variant>
        <vt:i4>5701687</vt:i4>
      </vt:variant>
      <vt:variant>
        <vt:i4>23</vt:i4>
      </vt:variant>
      <vt:variant>
        <vt:i4>0</vt:i4>
      </vt:variant>
      <vt:variant>
        <vt:i4>5</vt:i4>
      </vt:variant>
      <vt:variant>
        <vt:lpwstr>http://web2.wipo.int/nef/nef-projects/ce233/ce233-a01_ibsu.doc</vt:lpwstr>
      </vt:variant>
      <vt:variant>
        <vt:lpwstr/>
      </vt:variant>
      <vt:variant>
        <vt:i4>5701687</vt:i4>
      </vt:variant>
      <vt:variant>
        <vt:i4>16</vt:i4>
      </vt:variant>
      <vt:variant>
        <vt:i4>0</vt:i4>
      </vt:variant>
      <vt:variant>
        <vt:i4>5</vt:i4>
      </vt:variant>
      <vt:variant>
        <vt:lpwstr>http://web2.wipo.int/nef/nef-projects/ce232/ce232-a01_ibsu.doc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CLIM/CE/25/2</dc:title>
  <dc:subject>Draft Report</dc:subject>
  <dc:creator>Carminati</dc:creator>
  <cp:lastModifiedBy>Carminati Christine</cp:lastModifiedBy>
  <cp:revision>7</cp:revision>
  <cp:lastPrinted>2015-05-12T09:55:00Z</cp:lastPrinted>
  <dcterms:created xsi:type="dcterms:W3CDTF">2015-05-27T09:21:00Z</dcterms:created>
  <dcterms:modified xsi:type="dcterms:W3CDTF">2015-06-09T10:24:00Z</dcterms:modified>
</cp:coreProperties>
</file>