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03948">
        <w:trPr>
          <w:trHeight w:val="2336"/>
        </w:trPr>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B336B" w:rsidP="00916EE2">
            <w:r>
              <w:rPr>
                <w:noProof/>
                <w:lang w:eastAsia="en-US"/>
              </w:rPr>
              <w:drawing>
                <wp:inline distT="0" distB="0" distL="0" distR="0" wp14:anchorId="7903CBD4" wp14:editId="21AF8232">
                  <wp:extent cx="1859280" cy="1325880"/>
                  <wp:effectExtent l="0" t="0" r="7620" b="762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774943">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903948">
              <w:rPr>
                <w:rFonts w:ascii="Arial Black" w:hAnsi="Arial Black"/>
                <w:caps/>
                <w:sz w:val="15"/>
              </w:rPr>
              <w:t>C</w:t>
            </w:r>
            <w:r w:rsidR="008B5E94">
              <w:rPr>
                <w:rFonts w:ascii="Arial Black" w:hAnsi="Arial Black"/>
                <w:caps/>
                <w:sz w:val="15"/>
              </w:rPr>
              <w:t>e</w:t>
            </w:r>
            <w:r w:rsidR="00903948">
              <w:rPr>
                <w:rFonts w:ascii="Arial Black" w:hAnsi="Arial Black"/>
                <w:caps/>
                <w:sz w:val="15"/>
              </w:rPr>
              <w:t>L/</w:t>
            </w:r>
            <w:r w:rsidR="008B5E94">
              <w:rPr>
                <w:rFonts w:ascii="Arial Black" w:hAnsi="Arial Black"/>
                <w:caps/>
                <w:sz w:val="15"/>
              </w:rPr>
              <w:t>1</w:t>
            </w:r>
            <w:r w:rsidR="00D32DCD">
              <w:rPr>
                <w:rFonts w:ascii="Arial Black" w:hAnsi="Arial Black"/>
                <w:caps/>
                <w:sz w:val="15"/>
              </w:rPr>
              <w:t>3</w:t>
            </w:r>
            <w:r w:rsidR="00903948">
              <w:rPr>
                <w:rFonts w:ascii="Arial Black" w:hAnsi="Arial Black"/>
                <w:caps/>
                <w:sz w:val="15"/>
              </w:rPr>
              <w:t>/2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90394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DD2E9D">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D32DCD">
              <w:rPr>
                <w:rFonts w:ascii="Arial Black" w:hAnsi="Arial Black"/>
                <w:caps/>
                <w:sz w:val="15"/>
              </w:rPr>
              <w:t xml:space="preserve">December </w:t>
            </w:r>
            <w:r w:rsidR="00DD2E9D">
              <w:rPr>
                <w:rFonts w:ascii="Arial Black" w:hAnsi="Arial Black"/>
                <w:caps/>
                <w:sz w:val="15"/>
              </w:rPr>
              <w:t>22</w:t>
            </w:r>
            <w:r w:rsidR="00903948">
              <w:rPr>
                <w:rFonts w:ascii="Arial Black" w:hAnsi="Arial Black"/>
                <w:caps/>
                <w:sz w:val="15"/>
              </w:rPr>
              <w:t>, 201</w:t>
            </w:r>
            <w:r w:rsidR="00D32DCD">
              <w:rPr>
                <w:rFonts w:ascii="Arial Black" w:hAnsi="Arial Black"/>
                <w:caps/>
                <w:sz w:val="15"/>
              </w:rPr>
              <w:t>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8B5E94" w:rsidP="008B2CC1">
      <w:pPr>
        <w:rPr>
          <w:b/>
          <w:sz w:val="28"/>
          <w:szCs w:val="28"/>
        </w:rPr>
      </w:pPr>
      <w:r w:rsidRPr="008B5E94">
        <w:rPr>
          <w:b/>
          <w:sz w:val="28"/>
          <w:szCs w:val="28"/>
        </w:rPr>
        <w:t>Special Union for the International Classification for Industrial Designs (Locarno Union)</w:t>
      </w:r>
    </w:p>
    <w:p w:rsidR="00903948" w:rsidRDefault="00903948" w:rsidP="008B2CC1">
      <w:pPr>
        <w:rPr>
          <w:b/>
          <w:sz w:val="28"/>
          <w:szCs w:val="28"/>
        </w:rPr>
      </w:pPr>
    </w:p>
    <w:p w:rsidR="00903948" w:rsidRPr="003845C1" w:rsidRDefault="00903948" w:rsidP="008B2CC1">
      <w:pPr>
        <w:rPr>
          <w:b/>
          <w:sz w:val="28"/>
          <w:szCs w:val="28"/>
        </w:rPr>
      </w:pPr>
      <w:r>
        <w:rPr>
          <w:b/>
          <w:sz w:val="28"/>
          <w:szCs w:val="28"/>
        </w:rPr>
        <w:t>Committee of Experts</w:t>
      </w:r>
    </w:p>
    <w:p w:rsidR="003845C1" w:rsidRDefault="003845C1" w:rsidP="003845C1"/>
    <w:p w:rsidR="003845C1" w:rsidRDefault="003845C1" w:rsidP="003845C1"/>
    <w:p w:rsidR="008B2CC1" w:rsidRPr="003845C1" w:rsidRDefault="00D32DCD" w:rsidP="008B2CC1">
      <w:pPr>
        <w:rPr>
          <w:b/>
          <w:sz w:val="24"/>
          <w:szCs w:val="24"/>
        </w:rPr>
      </w:pPr>
      <w:r w:rsidRPr="00D32DCD">
        <w:rPr>
          <w:b/>
          <w:sz w:val="24"/>
          <w:szCs w:val="24"/>
        </w:rPr>
        <w:t xml:space="preserve">Thirteenth </w:t>
      </w:r>
      <w:r w:rsidR="003845C1" w:rsidRPr="003845C1">
        <w:rPr>
          <w:b/>
          <w:sz w:val="24"/>
          <w:szCs w:val="24"/>
        </w:rPr>
        <w:t>Session</w:t>
      </w:r>
    </w:p>
    <w:p w:rsidR="008B2CC1" w:rsidRPr="003845C1" w:rsidRDefault="00903948" w:rsidP="008B2CC1">
      <w:pPr>
        <w:rPr>
          <w:b/>
          <w:sz w:val="24"/>
          <w:szCs w:val="24"/>
        </w:rPr>
      </w:pPr>
      <w:r>
        <w:rPr>
          <w:b/>
          <w:sz w:val="24"/>
          <w:szCs w:val="24"/>
        </w:rPr>
        <w:t xml:space="preserve">Geneva, </w:t>
      </w:r>
      <w:r w:rsidR="00D32DCD" w:rsidRPr="00D32DCD">
        <w:rPr>
          <w:b/>
          <w:sz w:val="24"/>
          <w:szCs w:val="24"/>
        </w:rPr>
        <w:t>November 27 to December 1,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903948" w:rsidP="008B2CC1">
      <w:pPr>
        <w:rPr>
          <w:caps/>
          <w:sz w:val="24"/>
        </w:rPr>
      </w:pPr>
      <w:bookmarkStart w:id="3" w:name="TitleOfDoc"/>
      <w:bookmarkEnd w:id="3"/>
      <w:r>
        <w:rPr>
          <w:caps/>
          <w:sz w:val="24"/>
        </w:rPr>
        <w:t>REPORT</w:t>
      </w:r>
    </w:p>
    <w:p w:rsidR="008B2CC1" w:rsidRPr="008B2CC1" w:rsidRDefault="008B2CC1" w:rsidP="008B2CC1"/>
    <w:p w:rsidR="008B2CC1" w:rsidRPr="008B2CC1" w:rsidRDefault="00774943" w:rsidP="008B2CC1">
      <w:pPr>
        <w:rPr>
          <w:i/>
        </w:rPr>
      </w:pPr>
      <w:bookmarkStart w:id="4" w:name="Prepared"/>
      <w:bookmarkEnd w:id="4"/>
      <w:r w:rsidRPr="00774943">
        <w:rPr>
          <w:i/>
        </w:rPr>
        <w:t>adopted by the Committee of Experts</w:t>
      </w:r>
    </w:p>
    <w:p w:rsidR="00AC205C" w:rsidRDefault="00AC205C"/>
    <w:p w:rsidR="000F5E56" w:rsidRDefault="000F5E56"/>
    <w:p w:rsidR="002928D3" w:rsidRDefault="002928D3"/>
    <w:p w:rsidR="002928D3" w:rsidRDefault="002928D3" w:rsidP="0053057A"/>
    <w:p w:rsidR="00903948" w:rsidRPr="00A713CD" w:rsidRDefault="00903948" w:rsidP="00A713CD">
      <w:pPr>
        <w:spacing w:line="260" w:lineRule="exact"/>
        <w:rPr>
          <w:b/>
        </w:rPr>
      </w:pPr>
      <w:r w:rsidRPr="00A713CD">
        <w:rPr>
          <w:b/>
        </w:rPr>
        <w:t>INTRODUCTION</w:t>
      </w:r>
    </w:p>
    <w:p w:rsidR="00A713CD" w:rsidRPr="00A713CD" w:rsidRDefault="00A713CD" w:rsidP="00A713CD"/>
    <w:p w:rsidR="00A713CD" w:rsidRDefault="00903948"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of Experts of the </w:t>
      </w:r>
      <w:r w:rsidR="00727ADB" w:rsidRPr="00727ADB">
        <w:rPr>
          <w:szCs w:val="22"/>
        </w:rPr>
        <w:t xml:space="preserve">Locarno </w:t>
      </w:r>
      <w:r w:rsidRPr="003A58E4">
        <w:rPr>
          <w:szCs w:val="22"/>
        </w:rPr>
        <w:t xml:space="preserve">Union (hereinafter referred to as “the Committee”) held its </w:t>
      </w:r>
      <w:r w:rsidR="00D32DCD">
        <w:rPr>
          <w:szCs w:val="22"/>
        </w:rPr>
        <w:t>thirteenth</w:t>
      </w:r>
      <w:r w:rsidRPr="003A58E4">
        <w:rPr>
          <w:szCs w:val="22"/>
        </w:rPr>
        <w:t xml:space="preserve"> session in Geneva from </w:t>
      </w:r>
      <w:r w:rsidR="00D32DCD">
        <w:rPr>
          <w:szCs w:val="22"/>
        </w:rPr>
        <w:t>November 27 to December 1, 2017</w:t>
      </w:r>
      <w:r w:rsidRPr="003A58E4">
        <w:rPr>
          <w:szCs w:val="22"/>
        </w:rPr>
        <w:t>.  The following members of the Committee were represented at the session:</w:t>
      </w:r>
      <w:r w:rsidRPr="00504DF2">
        <w:rPr>
          <w:szCs w:val="22"/>
        </w:rPr>
        <w:t xml:space="preserve">  China, </w:t>
      </w:r>
      <w:r w:rsidR="00E83A39" w:rsidRPr="00504DF2">
        <w:rPr>
          <w:szCs w:val="22"/>
        </w:rPr>
        <w:t xml:space="preserve">Croatia, </w:t>
      </w:r>
      <w:r w:rsidR="00A914CE" w:rsidRPr="00504DF2">
        <w:rPr>
          <w:szCs w:val="22"/>
        </w:rPr>
        <w:t xml:space="preserve">Czech Republic, </w:t>
      </w:r>
      <w:r w:rsidR="00E83A39" w:rsidRPr="00504DF2">
        <w:rPr>
          <w:szCs w:val="22"/>
        </w:rPr>
        <w:t xml:space="preserve">Denmark, </w:t>
      </w:r>
      <w:r w:rsidR="003453FA" w:rsidRPr="00504DF2">
        <w:rPr>
          <w:szCs w:val="22"/>
        </w:rPr>
        <w:t xml:space="preserve">France, </w:t>
      </w:r>
      <w:r w:rsidRPr="00504DF2">
        <w:rPr>
          <w:szCs w:val="22"/>
        </w:rPr>
        <w:t xml:space="preserve">Germany, </w:t>
      </w:r>
      <w:r w:rsidR="00E83A39" w:rsidRPr="00504DF2">
        <w:rPr>
          <w:szCs w:val="22"/>
        </w:rPr>
        <w:t xml:space="preserve">Greece, Hungary, Italy, </w:t>
      </w:r>
      <w:r w:rsidRPr="00504DF2">
        <w:rPr>
          <w:szCs w:val="22"/>
        </w:rPr>
        <w:t xml:space="preserve">Japan, Netherlands, Norway, </w:t>
      </w:r>
      <w:r w:rsidR="00A914CE" w:rsidRPr="00504DF2">
        <w:rPr>
          <w:szCs w:val="22"/>
        </w:rPr>
        <w:t xml:space="preserve">Poland, </w:t>
      </w:r>
      <w:r w:rsidR="00E83A39" w:rsidRPr="00504DF2">
        <w:rPr>
          <w:szCs w:val="22"/>
        </w:rPr>
        <w:t xml:space="preserve">Republic of Korea, </w:t>
      </w:r>
      <w:r w:rsidR="00C908B4" w:rsidRPr="00504DF2">
        <w:rPr>
          <w:szCs w:val="22"/>
        </w:rPr>
        <w:t xml:space="preserve">Romania, </w:t>
      </w:r>
      <w:r w:rsidRPr="00504DF2">
        <w:rPr>
          <w:szCs w:val="22"/>
        </w:rPr>
        <w:t xml:space="preserve">Russian Federation, </w:t>
      </w:r>
      <w:r w:rsidR="00E83A39" w:rsidRPr="00504DF2">
        <w:rPr>
          <w:szCs w:val="22"/>
        </w:rPr>
        <w:t xml:space="preserve">Spain, </w:t>
      </w:r>
      <w:r w:rsidRPr="00504DF2">
        <w:rPr>
          <w:szCs w:val="22"/>
        </w:rPr>
        <w:t>Sweden, Switzerland</w:t>
      </w:r>
      <w:r w:rsidR="00727ADB" w:rsidRPr="00504DF2">
        <w:rPr>
          <w:szCs w:val="22"/>
        </w:rPr>
        <w:t xml:space="preserve"> and</w:t>
      </w:r>
      <w:r w:rsidR="003216E2" w:rsidRPr="00504DF2">
        <w:rPr>
          <w:szCs w:val="22"/>
        </w:rPr>
        <w:t xml:space="preserve"> </w:t>
      </w:r>
      <w:r w:rsidRPr="00504DF2">
        <w:rPr>
          <w:szCs w:val="22"/>
        </w:rPr>
        <w:t>United Kingdom (</w:t>
      </w:r>
      <w:r w:rsidR="00A81624" w:rsidRPr="00504DF2">
        <w:rPr>
          <w:szCs w:val="22"/>
        </w:rPr>
        <w:t>2</w:t>
      </w:r>
      <w:r w:rsidR="00504DF2">
        <w:rPr>
          <w:szCs w:val="22"/>
        </w:rPr>
        <w:t>0</w:t>
      </w:r>
      <w:r w:rsidRPr="00504DF2">
        <w:rPr>
          <w:szCs w:val="22"/>
        </w:rPr>
        <w:t>).  The following States were represented by observe</w:t>
      </w:r>
      <w:r w:rsidRPr="003A58E4">
        <w:rPr>
          <w:szCs w:val="22"/>
        </w:rPr>
        <w:t xml:space="preserve">rs:  </w:t>
      </w:r>
      <w:r w:rsidR="00055B5F">
        <w:rPr>
          <w:szCs w:val="22"/>
        </w:rPr>
        <w:t xml:space="preserve">Israel, </w:t>
      </w:r>
      <w:r w:rsidR="001F7FD7">
        <w:rPr>
          <w:szCs w:val="22"/>
        </w:rPr>
        <w:t>Saudi</w:t>
      </w:r>
      <w:r w:rsidR="000E3CA1">
        <w:rPr>
          <w:szCs w:val="22"/>
        </w:rPr>
        <w:t> </w:t>
      </w:r>
      <w:r w:rsidR="001F7FD7">
        <w:rPr>
          <w:szCs w:val="22"/>
        </w:rPr>
        <w:t>Arabia</w:t>
      </w:r>
      <w:r w:rsidR="00E83A39">
        <w:rPr>
          <w:szCs w:val="22"/>
        </w:rPr>
        <w:t xml:space="preserve">, </w:t>
      </w:r>
      <w:r w:rsidR="000E3CA1">
        <w:rPr>
          <w:szCs w:val="22"/>
        </w:rPr>
        <w:t>Thailand</w:t>
      </w:r>
      <w:r w:rsidR="00727ADB" w:rsidRPr="003A58E4">
        <w:rPr>
          <w:szCs w:val="22"/>
        </w:rPr>
        <w:t xml:space="preserve"> </w:t>
      </w:r>
      <w:r w:rsidR="004161CE">
        <w:rPr>
          <w:szCs w:val="22"/>
        </w:rPr>
        <w:t xml:space="preserve">and </w:t>
      </w:r>
      <w:r w:rsidR="00727ADB" w:rsidRPr="003A58E4">
        <w:rPr>
          <w:szCs w:val="22"/>
        </w:rPr>
        <w:t xml:space="preserve">United States of America </w:t>
      </w:r>
      <w:r w:rsidRPr="003A58E4">
        <w:rPr>
          <w:szCs w:val="22"/>
        </w:rPr>
        <w:t>(</w:t>
      </w:r>
      <w:r w:rsidR="000E3CA1">
        <w:rPr>
          <w:szCs w:val="22"/>
        </w:rPr>
        <w:t>4</w:t>
      </w:r>
      <w:r w:rsidRPr="003A58E4">
        <w:rPr>
          <w:szCs w:val="22"/>
        </w:rPr>
        <w:t>).  Representatives of the following international intergovernmental organizations took part in the session in an observer capacity:  Benelux </w:t>
      </w:r>
      <w:r w:rsidR="00071219">
        <w:rPr>
          <w:szCs w:val="22"/>
        </w:rPr>
        <w:t>O</w:t>
      </w:r>
      <w:r w:rsidR="00E76B13">
        <w:rPr>
          <w:szCs w:val="22"/>
        </w:rPr>
        <w:t>ffice</w:t>
      </w:r>
      <w:r w:rsidRPr="003A58E4">
        <w:rPr>
          <w:szCs w:val="22"/>
        </w:rPr>
        <w:t xml:space="preserve"> for Intellectual Property (BOIP)</w:t>
      </w:r>
      <w:r w:rsidR="00970617">
        <w:rPr>
          <w:szCs w:val="22"/>
        </w:rPr>
        <w:t xml:space="preserve"> and</w:t>
      </w:r>
      <w:r w:rsidRPr="003A58E4">
        <w:rPr>
          <w:szCs w:val="22"/>
        </w:rPr>
        <w:t xml:space="preserve"> European Union (EU).  </w:t>
      </w:r>
      <w:r w:rsidR="001D01C2">
        <w:rPr>
          <w:szCs w:val="22"/>
        </w:rPr>
        <w:t>A</w:t>
      </w:r>
      <w:r w:rsidR="00970617">
        <w:rPr>
          <w:szCs w:val="22"/>
        </w:rPr>
        <w:t> </w:t>
      </w:r>
      <w:r w:rsidR="001D01C2">
        <w:rPr>
          <w:szCs w:val="22"/>
        </w:rPr>
        <w:t>r</w:t>
      </w:r>
      <w:r w:rsidR="001D01C2" w:rsidRPr="00104941">
        <w:rPr>
          <w:szCs w:val="22"/>
        </w:rPr>
        <w:t xml:space="preserve">epresentative of the following non-governmental organization attended the session in an observer capacity:  </w:t>
      </w:r>
      <w:r w:rsidR="001D01C2">
        <w:rPr>
          <w:szCs w:val="22"/>
        </w:rPr>
        <w:t>Confederacy of Patent Information User Groups</w:t>
      </w:r>
      <w:r w:rsidR="001D01C2" w:rsidRPr="00104941">
        <w:rPr>
          <w:szCs w:val="22"/>
        </w:rPr>
        <w:t xml:space="preserve"> (</w:t>
      </w:r>
      <w:r w:rsidR="001D01C2">
        <w:rPr>
          <w:szCs w:val="22"/>
        </w:rPr>
        <w:t>CEPIUG</w:t>
      </w:r>
      <w:r w:rsidR="001D01C2" w:rsidRPr="00104941">
        <w:rPr>
          <w:szCs w:val="22"/>
        </w:rPr>
        <w:t>).</w:t>
      </w:r>
      <w:r w:rsidR="001D01C2">
        <w:rPr>
          <w:szCs w:val="22"/>
        </w:rPr>
        <w:t xml:space="preserve">  </w:t>
      </w:r>
      <w:r w:rsidRPr="003A58E4">
        <w:rPr>
          <w:szCs w:val="22"/>
        </w:rPr>
        <w:t>The list of participants appears as Annex I to this report.</w:t>
      </w:r>
    </w:p>
    <w:p w:rsidR="00903948" w:rsidRPr="003A58E4" w:rsidRDefault="00903948" w:rsidP="00A713CD">
      <w:pPr>
        <w:spacing w:line="260" w:lineRule="exact"/>
        <w:rPr>
          <w:szCs w:val="22"/>
        </w:rPr>
      </w:pPr>
    </w:p>
    <w:p w:rsidR="00A713CD" w:rsidRDefault="00903948" w:rsidP="00A713CD">
      <w:pPr>
        <w:spacing w:line="260" w:lineRule="exact"/>
      </w:pPr>
      <w:r w:rsidRPr="003A58E4">
        <w:fldChar w:fldCharType="begin"/>
      </w:r>
      <w:r w:rsidRPr="003A58E4">
        <w:instrText xml:space="preserve"> AUTONUM </w:instrText>
      </w:r>
      <w:r w:rsidRPr="003A58E4">
        <w:fldChar w:fldCharType="end"/>
      </w:r>
      <w:r w:rsidRPr="003A58E4">
        <w:tab/>
        <w:t xml:space="preserve">The session was opened by </w:t>
      </w:r>
      <w:r w:rsidR="00D33D37" w:rsidRPr="00D33D37">
        <w:t>Mr. Kunihiko Fushimi, Director, International Classifications and Standards Division, WIPO,</w:t>
      </w:r>
      <w:r w:rsidR="00C0589C">
        <w:t xml:space="preserve"> </w:t>
      </w:r>
      <w:r w:rsidRPr="003A58E4">
        <w:t xml:space="preserve">who welcomed the participants on </w:t>
      </w:r>
      <w:r w:rsidR="0024387E">
        <w:t>behalf of the Director General.</w:t>
      </w:r>
    </w:p>
    <w:p w:rsidR="00A713CD" w:rsidRDefault="00A713CD" w:rsidP="00A713CD">
      <w:pPr>
        <w:spacing w:line="260" w:lineRule="exact"/>
      </w:pPr>
    </w:p>
    <w:p w:rsidR="00A713CD" w:rsidRDefault="00A713CD" w:rsidP="00A713CD">
      <w:pPr>
        <w:spacing w:line="260" w:lineRule="exact"/>
      </w:pPr>
    </w:p>
    <w:p w:rsidR="00A713CD" w:rsidRDefault="008F3443" w:rsidP="00A713CD">
      <w:pPr>
        <w:spacing w:line="260" w:lineRule="exact"/>
        <w:rPr>
          <w:b/>
        </w:rPr>
      </w:pPr>
      <w:r>
        <w:rPr>
          <w:b/>
        </w:rPr>
        <w:br w:type="page"/>
      </w:r>
      <w:r w:rsidR="00A713CD" w:rsidRPr="003A58E4">
        <w:rPr>
          <w:b/>
        </w:rPr>
        <w:lastRenderedPageBreak/>
        <w:t>OFFICERS</w:t>
      </w:r>
    </w:p>
    <w:p w:rsidR="00A713CD" w:rsidRPr="00A713CD" w:rsidRDefault="00A713CD" w:rsidP="00A713CD">
      <w:pPr>
        <w:spacing w:line="260" w:lineRule="exact"/>
      </w:pPr>
    </w:p>
    <w:p w:rsidR="000E0B4B"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727ADB" w:rsidRPr="00D41707">
        <w:rPr>
          <w:szCs w:val="22"/>
        </w:rPr>
        <w:t>The Committee unanimously elected M</w:t>
      </w:r>
      <w:r w:rsidR="001D01C2">
        <w:rPr>
          <w:szCs w:val="22"/>
        </w:rPr>
        <w:t>s</w:t>
      </w:r>
      <w:r w:rsidR="00727ADB" w:rsidRPr="00D41707">
        <w:rPr>
          <w:szCs w:val="22"/>
        </w:rPr>
        <w:t xml:space="preserve">. </w:t>
      </w:r>
      <w:r w:rsidR="00795C20">
        <w:rPr>
          <w:szCs w:val="22"/>
        </w:rPr>
        <w:t>Mar</w:t>
      </w:r>
      <w:r w:rsidR="00412DCC">
        <w:rPr>
          <w:szCs w:val="22"/>
        </w:rPr>
        <w:t>ie-Louise Orre</w:t>
      </w:r>
      <w:r w:rsidR="00727ADB" w:rsidRPr="00D41707">
        <w:rPr>
          <w:szCs w:val="22"/>
        </w:rPr>
        <w:t xml:space="preserve"> (</w:t>
      </w:r>
      <w:r w:rsidR="00412DCC">
        <w:rPr>
          <w:szCs w:val="22"/>
        </w:rPr>
        <w:t>Sweden</w:t>
      </w:r>
      <w:r w:rsidR="00727ADB" w:rsidRPr="00D41707">
        <w:rPr>
          <w:szCs w:val="22"/>
        </w:rPr>
        <w:t>) as Chair, and Ms. </w:t>
      </w:r>
      <w:r w:rsidR="00901B2A">
        <w:rPr>
          <w:szCs w:val="22"/>
        </w:rPr>
        <w:t>Andrea Kordic</w:t>
      </w:r>
      <w:r w:rsidR="00727ADB" w:rsidRPr="003A58E4">
        <w:rPr>
          <w:szCs w:val="22"/>
        </w:rPr>
        <w:t xml:space="preserve"> </w:t>
      </w:r>
      <w:r w:rsidR="00727ADB" w:rsidRPr="00D41707">
        <w:rPr>
          <w:szCs w:val="22"/>
        </w:rPr>
        <w:t>(</w:t>
      </w:r>
      <w:r w:rsidR="00901B2A">
        <w:rPr>
          <w:szCs w:val="22"/>
        </w:rPr>
        <w:t>Croatia</w:t>
      </w:r>
      <w:r w:rsidR="00727ADB" w:rsidRPr="00D41707">
        <w:rPr>
          <w:szCs w:val="22"/>
        </w:rPr>
        <w:t>) and M</w:t>
      </w:r>
      <w:r w:rsidR="00901B2A">
        <w:rPr>
          <w:szCs w:val="22"/>
        </w:rPr>
        <w:t>r</w:t>
      </w:r>
      <w:r w:rsidR="00727ADB" w:rsidRPr="00D41707">
        <w:rPr>
          <w:szCs w:val="22"/>
        </w:rPr>
        <w:t xml:space="preserve">. </w:t>
      </w:r>
      <w:r w:rsidR="00901B2A">
        <w:rPr>
          <w:szCs w:val="22"/>
        </w:rPr>
        <w:t>Kosuke Omagari</w:t>
      </w:r>
      <w:r w:rsidR="00727ADB">
        <w:rPr>
          <w:szCs w:val="22"/>
        </w:rPr>
        <w:t xml:space="preserve"> </w:t>
      </w:r>
      <w:r w:rsidR="00727ADB" w:rsidRPr="00D41707">
        <w:rPr>
          <w:szCs w:val="22"/>
        </w:rPr>
        <w:t>(</w:t>
      </w:r>
      <w:r w:rsidR="00901B2A">
        <w:rPr>
          <w:szCs w:val="22"/>
        </w:rPr>
        <w:t>Japan</w:t>
      </w:r>
      <w:r w:rsidR="00727ADB" w:rsidRPr="00D41707">
        <w:rPr>
          <w:szCs w:val="22"/>
        </w:rPr>
        <w:t>) as Vice</w:t>
      </w:r>
      <w:r w:rsidR="00727ADB" w:rsidRPr="00D41707">
        <w:rPr>
          <w:szCs w:val="22"/>
        </w:rPr>
        <w:noBreakHyphen/>
        <w:t>Chairs.</w:t>
      </w:r>
    </w:p>
    <w:p w:rsidR="00A713CD" w:rsidRPr="003A58E4" w:rsidRDefault="008F3443" w:rsidP="00A713CD">
      <w:pPr>
        <w:spacing w:line="260" w:lineRule="exact"/>
        <w:rPr>
          <w:szCs w:val="22"/>
        </w:rPr>
      </w:pPr>
      <w:r>
        <w:rPr>
          <w:szCs w:val="22"/>
        </w:rPr>
        <w:t xml:space="preserve"> </w:t>
      </w:r>
    </w:p>
    <w:p w:rsidR="00A713CD" w:rsidRPr="003A58E4"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M</w:t>
      </w:r>
      <w:r w:rsidR="000B4323">
        <w:rPr>
          <w:szCs w:val="22"/>
        </w:rPr>
        <w:t>s.</w:t>
      </w:r>
      <w:r w:rsidRPr="003A58E4">
        <w:rPr>
          <w:szCs w:val="22"/>
        </w:rPr>
        <w:t xml:space="preserve"> </w:t>
      </w:r>
      <w:r w:rsidR="000B4323">
        <w:rPr>
          <w:szCs w:val="22"/>
        </w:rPr>
        <w:t>Belkis</w:t>
      </w:r>
      <w:r w:rsidRPr="003A58E4">
        <w:rPr>
          <w:szCs w:val="22"/>
        </w:rPr>
        <w:t xml:space="preserve"> Fa</w:t>
      </w:r>
      <w:r w:rsidR="000B4323">
        <w:rPr>
          <w:szCs w:val="22"/>
        </w:rPr>
        <w:t>v</w:t>
      </w:r>
      <w:r w:rsidRPr="003A58E4">
        <w:rPr>
          <w:szCs w:val="22"/>
        </w:rPr>
        <w:t>a (WIPO) acted as Secretary of the session.</w:t>
      </w:r>
    </w:p>
    <w:p w:rsidR="00A713CD" w:rsidRDefault="00A713CD" w:rsidP="00A713CD">
      <w:pPr>
        <w:spacing w:line="260" w:lineRule="exact"/>
        <w:rPr>
          <w:szCs w:val="22"/>
        </w:rPr>
      </w:pPr>
    </w:p>
    <w:p w:rsidR="00A713CD" w:rsidRPr="003A58E4" w:rsidRDefault="00A713CD" w:rsidP="00A713CD">
      <w:pPr>
        <w:spacing w:line="260" w:lineRule="exact"/>
        <w:rPr>
          <w:szCs w:val="22"/>
        </w:rPr>
      </w:pPr>
    </w:p>
    <w:p w:rsidR="00A713CD" w:rsidRDefault="00A713CD" w:rsidP="00A713CD">
      <w:pPr>
        <w:spacing w:line="260" w:lineRule="exact"/>
        <w:rPr>
          <w:b/>
        </w:rPr>
      </w:pPr>
      <w:r w:rsidRPr="00A713CD">
        <w:rPr>
          <w:b/>
        </w:rPr>
        <w:t>ADOPTION OF THE AGENDA</w:t>
      </w:r>
    </w:p>
    <w:p w:rsidR="00A713CD" w:rsidRPr="00A713CD" w:rsidRDefault="00A713CD" w:rsidP="00A713CD">
      <w:pPr>
        <w:spacing w:line="260" w:lineRule="exact"/>
      </w:pPr>
    </w:p>
    <w:p w:rsidR="00A713CD" w:rsidRPr="003A58E4" w:rsidRDefault="00A713CD" w:rsidP="00A713CD">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The Committee unanimously adopted the agenda, which appears as Annex II to this report.</w:t>
      </w:r>
    </w:p>
    <w:p w:rsidR="00A713CD" w:rsidRDefault="00A713CD" w:rsidP="00A713CD">
      <w:pPr>
        <w:spacing w:line="260" w:lineRule="exact"/>
        <w:rPr>
          <w:szCs w:val="22"/>
        </w:rPr>
      </w:pPr>
    </w:p>
    <w:p w:rsidR="00A713CD" w:rsidRPr="003A58E4" w:rsidRDefault="00A713CD" w:rsidP="00A713CD">
      <w:pPr>
        <w:spacing w:line="260" w:lineRule="exact"/>
        <w:rPr>
          <w:szCs w:val="22"/>
        </w:rPr>
      </w:pPr>
    </w:p>
    <w:p w:rsidR="00A713CD" w:rsidRDefault="00A713CD" w:rsidP="00A713CD">
      <w:pPr>
        <w:spacing w:line="260" w:lineRule="exact"/>
        <w:rPr>
          <w:b/>
        </w:rPr>
      </w:pPr>
      <w:r w:rsidRPr="00A713CD">
        <w:rPr>
          <w:b/>
        </w:rPr>
        <w:t>DISCUSSIONS, CONCLUSIONS AND DECISIONS</w:t>
      </w:r>
    </w:p>
    <w:p w:rsidR="00A713CD" w:rsidRPr="00A713CD" w:rsidRDefault="00A713CD" w:rsidP="00A713CD">
      <w:pPr>
        <w:spacing w:line="260" w:lineRule="exact"/>
        <w:rPr>
          <w:szCs w:val="22"/>
        </w:rPr>
      </w:pPr>
    </w:p>
    <w:p w:rsidR="00A713CD" w:rsidRPr="003A58E4" w:rsidRDefault="00A713CD" w:rsidP="00A713CD">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As decided by the Governing Bodies of WIPO at their tenth series of meetings held from September 24 to October 2, 1979 (see document AB/X/32, paragraphs 51 and 52), the report of this session reflects only the conclusions of the Committee (decisions, recommendations, opinions, etc.) and does not, in particular, reflect the statements made by any participant, except where a reservation in relation to any specific conclusion of the Committee was expressed or repeated after the conclusion was reached. </w:t>
      </w:r>
    </w:p>
    <w:p w:rsidR="00A713CD" w:rsidRDefault="00A713CD" w:rsidP="00A713CD">
      <w:pPr>
        <w:spacing w:line="260" w:lineRule="exact"/>
        <w:rPr>
          <w:szCs w:val="22"/>
        </w:rPr>
      </w:pPr>
    </w:p>
    <w:p w:rsidR="00A713CD" w:rsidRPr="00A823EC" w:rsidRDefault="00A713CD" w:rsidP="00A713CD">
      <w:pPr>
        <w:spacing w:line="260" w:lineRule="exact"/>
        <w:rPr>
          <w:szCs w:val="22"/>
        </w:rPr>
      </w:pPr>
    </w:p>
    <w:p w:rsidR="00A713CD" w:rsidRDefault="006D3ABC" w:rsidP="00A713CD">
      <w:pPr>
        <w:rPr>
          <w:b/>
          <w:szCs w:val="22"/>
        </w:rPr>
      </w:pPr>
      <w:r w:rsidRPr="006D3ABC">
        <w:rPr>
          <w:b/>
          <w:szCs w:val="22"/>
        </w:rPr>
        <w:t xml:space="preserve">PROCEDURE FOR ADOPTION OF AMENDMENTS AND ADDITIONS TO THE </w:t>
      </w:r>
      <w:r w:rsidR="00127BC5">
        <w:rPr>
          <w:b/>
          <w:szCs w:val="22"/>
        </w:rPr>
        <w:t>ELEV</w:t>
      </w:r>
      <w:r w:rsidR="00A00079">
        <w:rPr>
          <w:b/>
          <w:szCs w:val="22"/>
        </w:rPr>
        <w:t>E</w:t>
      </w:r>
      <w:r w:rsidRPr="006D3ABC">
        <w:rPr>
          <w:b/>
          <w:szCs w:val="22"/>
        </w:rPr>
        <w:t>NTH EDITION OF THE LOCARNO CLASSIFICATION</w:t>
      </w:r>
    </w:p>
    <w:p w:rsidR="006D3ABC" w:rsidRPr="00A823EC" w:rsidRDefault="006D3ABC" w:rsidP="00A713CD"/>
    <w:p w:rsidR="006D3ABC" w:rsidRDefault="006D3ABC" w:rsidP="006D3ABC">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Pr="00CE69B9">
        <w:rPr>
          <w:szCs w:val="22"/>
        </w:rPr>
        <w:t>Discussions took place on the understanding that:</w:t>
      </w:r>
    </w:p>
    <w:p w:rsidR="006D3ABC" w:rsidRPr="00CE69B9" w:rsidRDefault="006D3ABC" w:rsidP="006D3ABC">
      <w:pPr>
        <w:spacing w:line="260" w:lineRule="exact"/>
        <w:rPr>
          <w:szCs w:val="22"/>
        </w:rPr>
      </w:pPr>
    </w:p>
    <w:p w:rsidR="00DA1299" w:rsidRPr="00DA1299" w:rsidRDefault="006D3ABC" w:rsidP="00DA1299">
      <w:pPr>
        <w:pStyle w:val="ListParagraph"/>
        <w:numPr>
          <w:ilvl w:val="0"/>
          <w:numId w:val="22"/>
        </w:numPr>
        <w:rPr>
          <w:szCs w:val="22"/>
        </w:rPr>
      </w:pPr>
      <w:r w:rsidRPr="00DA1299">
        <w:rPr>
          <w:szCs w:val="22"/>
        </w:rPr>
        <w:t>for amendments and additions to the Locarno Classification (hereinafter referred to as the “Classification”) not entailing a transfer of goods from one class to another, a simple majority of the countries of the Locarno Union was required under Article 3(4) of the Locarno Agreement;</w:t>
      </w:r>
      <w:r w:rsidR="00DA1299" w:rsidRPr="00DA1299">
        <w:rPr>
          <w:szCs w:val="22"/>
        </w:rPr>
        <w:br/>
      </w:r>
    </w:p>
    <w:p w:rsidR="006D3ABC" w:rsidRPr="00DA1299" w:rsidRDefault="006D3ABC" w:rsidP="00DA1299">
      <w:pPr>
        <w:pStyle w:val="ListParagraph"/>
        <w:numPr>
          <w:ilvl w:val="0"/>
          <w:numId w:val="22"/>
        </w:numPr>
        <w:rPr>
          <w:szCs w:val="22"/>
        </w:rPr>
      </w:pPr>
      <w:r w:rsidRPr="00DA1299">
        <w:rPr>
          <w:szCs w:val="22"/>
        </w:rPr>
        <w:t>for the transfer of goods from one class to another, unanimity among the countries of the Locarno Union was required under the same Article 3(4).</w:t>
      </w:r>
      <w:r w:rsidR="00DA1299">
        <w:rPr>
          <w:szCs w:val="22"/>
        </w:rPr>
        <w:br/>
      </w:r>
    </w:p>
    <w:p w:rsidR="006D3ABC" w:rsidRPr="00CE69B9" w:rsidRDefault="006D3ABC" w:rsidP="006D3ABC">
      <w:pPr>
        <w:spacing w:line="260" w:lineRule="exact"/>
        <w:rPr>
          <w:szCs w:val="22"/>
        </w:rPr>
      </w:pPr>
      <w:r w:rsidRPr="00CE69B9">
        <w:rPr>
          <w:szCs w:val="22"/>
        </w:rPr>
        <w:fldChar w:fldCharType="begin"/>
      </w:r>
      <w:r w:rsidRPr="00CE69B9">
        <w:rPr>
          <w:szCs w:val="22"/>
        </w:rPr>
        <w:instrText xml:space="preserve"> AUTONUM  </w:instrText>
      </w:r>
      <w:r w:rsidRPr="00CE69B9">
        <w:rPr>
          <w:szCs w:val="22"/>
        </w:rPr>
        <w:fldChar w:fldCharType="end"/>
      </w:r>
      <w:r w:rsidRPr="00CE69B9">
        <w:rPr>
          <w:szCs w:val="22"/>
        </w:rPr>
        <w:tab/>
        <w:t xml:space="preserve">The Committee noted that countries of the Union not represented at the session or not having expressed their vote during the session or within the period prescribed by the Rules of Procedure of the Committee were considered to have accepted the decisions of the Committee, as set forth in Article 3(6) of the Locarno Agreement. </w:t>
      </w:r>
    </w:p>
    <w:p w:rsidR="006D3ABC" w:rsidRDefault="006D3ABC" w:rsidP="006D3ABC">
      <w:pPr>
        <w:rPr>
          <w:szCs w:val="22"/>
        </w:rPr>
      </w:pPr>
    </w:p>
    <w:p w:rsidR="006D3ABC" w:rsidRPr="0040336A" w:rsidRDefault="006D3ABC" w:rsidP="006D3ABC">
      <w:pPr>
        <w:rPr>
          <w:szCs w:val="22"/>
        </w:rPr>
      </w:pPr>
    </w:p>
    <w:p w:rsidR="0086631E" w:rsidRDefault="0086631E" w:rsidP="0086631E">
      <w:pPr>
        <w:spacing w:line="260" w:lineRule="exact"/>
        <w:rPr>
          <w:b/>
          <w:caps/>
          <w:szCs w:val="22"/>
        </w:rPr>
      </w:pPr>
      <w:r w:rsidRPr="0086631E">
        <w:rPr>
          <w:b/>
          <w:caps/>
          <w:szCs w:val="22"/>
        </w:rPr>
        <w:t xml:space="preserve">CONSIDERATION OF PROPOSALS FOR AMENDMENTS AND ADDITIONS TO THE </w:t>
      </w:r>
      <w:r w:rsidR="00127BC5">
        <w:rPr>
          <w:b/>
          <w:caps/>
          <w:szCs w:val="22"/>
        </w:rPr>
        <w:t>ELEV</w:t>
      </w:r>
      <w:r>
        <w:rPr>
          <w:b/>
          <w:caps/>
          <w:szCs w:val="22"/>
        </w:rPr>
        <w:t>E</w:t>
      </w:r>
      <w:r w:rsidRPr="0086631E">
        <w:rPr>
          <w:b/>
          <w:caps/>
          <w:szCs w:val="22"/>
        </w:rPr>
        <w:t>NTH EDITION OF THE LOCARNO CLASSIFICATION</w:t>
      </w:r>
    </w:p>
    <w:p w:rsidR="0086631E" w:rsidRDefault="0086631E" w:rsidP="0086631E">
      <w:pPr>
        <w:spacing w:line="260" w:lineRule="exact"/>
        <w:rPr>
          <w:b/>
          <w:caps/>
          <w:szCs w:val="22"/>
        </w:rPr>
      </w:pPr>
    </w:p>
    <w:p w:rsidR="0086631E" w:rsidRDefault="0086631E" w:rsidP="0086631E">
      <w:pPr>
        <w:spacing w:line="260" w:lineRule="exact"/>
        <w:rPr>
          <w:b/>
          <w:caps/>
          <w:szCs w:val="22"/>
        </w:rPr>
      </w:pPr>
      <w:r w:rsidRPr="00554081">
        <w:rPr>
          <w:b/>
          <w:caps/>
          <w:szCs w:val="22"/>
        </w:rPr>
        <w:t>(</w:t>
      </w:r>
      <w:r w:rsidRPr="00554081">
        <w:rPr>
          <w:b/>
          <w:szCs w:val="22"/>
        </w:rPr>
        <w:t>a</w:t>
      </w:r>
      <w:r w:rsidRPr="00554081">
        <w:rPr>
          <w:b/>
          <w:caps/>
          <w:szCs w:val="22"/>
        </w:rPr>
        <w:t>)</w:t>
      </w:r>
      <w:r w:rsidRPr="00554081">
        <w:rPr>
          <w:b/>
          <w:caps/>
          <w:szCs w:val="22"/>
        </w:rPr>
        <w:tab/>
      </w:r>
      <w:r>
        <w:rPr>
          <w:b/>
          <w:caps/>
          <w:szCs w:val="22"/>
        </w:rPr>
        <w:t>VARIOUS PROPOSALS</w:t>
      </w:r>
    </w:p>
    <w:p w:rsidR="0086631E" w:rsidRPr="00013EC7" w:rsidRDefault="0086631E" w:rsidP="0086631E">
      <w:pPr>
        <w:spacing w:line="260" w:lineRule="exact"/>
        <w:rPr>
          <w:szCs w:val="22"/>
        </w:rPr>
      </w:pPr>
    </w:p>
    <w:p w:rsidR="00A713CD" w:rsidRDefault="00A713CD" w:rsidP="00013EC7">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0" w:history="1">
        <w:r w:rsidR="0086631E" w:rsidRPr="00CE5AC9">
          <w:rPr>
            <w:rStyle w:val="Hyperlink"/>
            <w:szCs w:val="22"/>
          </w:rPr>
          <w:t>LO1</w:t>
        </w:r>
        <w:r w:rsidR="00127BC5" w:rsidRPr="00CE5AC9">
          <w:rPr>
            <w:rStyle w:val="Hyperlink"/>
            <w:szCs w:val="22"/>
          </w:rPr>
          <w:t>3</w:t>
        </w:r>
        <w:r w:rsidR="0086631E" w:rsidRPr="00CE5AC9">
          <w:rPr>
            <w:rStyle w:val="Hyperlink"/>
            <w:szCs w:val="22"/>
          </w:rPr>
          <w:t>2</w:t>
        </w:r>
      </w:hyperlink>
      <w:r w:rsidR="00616F1F">
        <w:rPr>
          <w:szCs w:val="22"/>
        </w:rPr>
        <w:t xml:space="preserve">, </w:t>
      </w:r>
      <w:hyperlink r:id="rId11" w:history="1">
        <w:r w:rsidR="00616F1F" w:rsidRPr="0034384A">
          <w:rPr>
            <w:rStyle w:val="Hyperlink"/>
            <w:szCs w:val="22"/>
          </w:rPr>
          <w:t xml:space="preserve">Annex </w:t>
        </w:r>
        <w:r w:rsidR="0022236E" w:rsidRPr="0034384A">
          <w:rPr>
            <w:rStyle w:val="Hyperlink"/>
            <w:szCs w:val="22"/>
          </w:rPr>
          <w:t>1</w:t>
        </w:r>
      </w:hyperlink>
      <w:r w:rsidR="00616F1F">
        <w:rPr>
          <w:szCs w:val="22"/>
        </w:rPr>
        <w:t xml:space="preserve">, </w:t>
      </w:r>
      <w:r w:rsidR="00616F1F" w:rsidRPr="003A58E4">
        <w:rPr>
          <w:szCs w:val="22"/>
        </w:rPr>
        <w:t xml:space="preserve">which </w:t>
      </w:r>
      <w:r w:rsidR="00616F1F">
        <w:rPr>
          <w:szCs w:val="22"/>
        </w:rPr>
        <w:t>contained</w:t>
      </w:r>
      <w:r w:rsidR="00616F1F" w:rsidRPr="003A58E4">
        <w:rPr>
          <w:szCs w:val="22"/>
        </w:rPr>
        <w:t xml:space="preserve"> </w:t>
      </w:r>
      <w:r w:rsidR="00616F1F">
        <w:rPr>
          <w:szCs w:val="22"/>
        </w:rPr>
        <w:t>a</w:t>
      </w:r>
      <w:r w:rsidR="00616F1F" w:rsidRPr="003A58E4">
        <w:rPr>
          <w:szCs w:val="22"/>
        </w:rPr>
        <w:t xml:space="preserve"> </w:t>
      </w:r>
      <w:r w:rsidR="00616F1F">
        <w:rPr>
          <w:szCs w:val="22"/>
        </w:rPr>
        <w:t xml:space="preserve">summary table of proposals for </w:t>
      </w:r>
      <w:r w:rsidR="0086631E" w:rsidRPr="0086631E">
        <w:rPr>
          <w:szCs w:val="22"/>
        </w:rPr>
        <w:t>amendments and additions to the current (</w:t>
      </w:r>
      <w:r w:rsidR="00127BC5">
        <w:rPr>
          <w:szCs w:val="22"/>
        </w:rPr>
        <w:t>elev</w:t>
      </w:r>
      <w:r w:rsidR="0086631E">
        <w:rPr>
          <w:szCs w:val="22"/>
        </w:rPr>
        <w:t>e</w:t>
      </w:r>
      <w:r w:rsidR="0086631E" w:rsidRPr="0086631E">
        <w:rPr>
          <w:szCs w:val="22"/>
        </w:rPr>
        <w:t>nth) edition of the Classification</w:t>
      </w:r>
      <w:r w:rsidRPr="003A58E4">
        <w:rPr>
          <w:szCs w:val="22"/>
        </w:rPr>
        <w:t>.</w:t>
      </w:r>
    </w:p>
    <w:p w:rsidR="00013EC7" w:rsidRPr="003A58E4" w:rsidRDefault="00013EC7" w:rsidP="009E51A9">
      <w:pPr>
        <w:tabs>
          <w:tab w:val="left" w:pos="4120"/>
        </w:tabs>
        <w:spacing w:line="260" w:lineRule="exact"/>
        <w:rPr>
          <w:szCs w:val="22"/>
        </w:rPr>
      </w:pPr>
    </w:p>
    <w:p w:rsidR="00A713CD" w:rsidRPr="003A58E4" w:rsidRDefault="00A713CD" w:rsidP="00013EC7">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A93AE9" w:rsidRPr="003A58E4">
        <w:rPr>
          <w:szCs w:val="22"/>
        </w:rPr>
        <w:t xml:space="preserve">The Committee adopted </w:t>
      </w:r>
      <w:r w:rsidR="00A93AE9">
        <w:rPr>
          <w:szCs w:val="22"/>
        </w:rPr>
        <w:t>an important number of</w:t>
      </w:r>
      <w:r w:rsidR="00A93AE9" w:rsidRPr="003A58E4">
        <w:rPr>
          <w:szCs w:val="22"/>
        </w:rPr>
        <w:t xml:space="preserve"> changes</w:t>
      </w:r>
      <w:r w:rsidR="00A93AE9">
        <w:rPr>
          <w:szCs w:val="22"/>
        </w:rPr>
        <w:t xml:space="preserve"> to the Classification.  The decisions of the Committee are available on the electronic forum, project </w:t>
      </w:r>
      <w:hyperlink r:id="rId12" w:history="1">
        <w:r w:rsidR="00A93AE9" w:rsidRPr="006E69E4">
          <w:rPr>
            <w:rStyle w:val="Hyperlink"/>
            <w:szCs w:val="22"/>
          </w:rPr>
          <w:t>LO130</w:t>
        </w:r>
      </w:hyperlink>
      <w:r w:rsidRPr="003A58E4">
        <w:rPr>
          <w:szCs w:val="22"/>
        </w:rPr>
        <w:t>.</w:t>
      </w:r>
    </w:p>
    <w:p w:rsidR="00A713CD" w:rsidRDefault="00A713CD" w:rsidP="00013EC7">
      <w:pPr>
        <w:spacing w:line="260" w:lineRule="exact"/>
        <w:rPr>
          <w:szCs w:val="22"/>
        </w:rPr>
      </w:pPr>
    </w:p>
    <w:p w:rsidR="005048D2" w:rsidRDefault="005048D2" w:rsidP="005048D2">
      <w:pPr>
        <w:spacing w:line="260" w:lineRule="exact"/>
        <w:rPr>
          <w:b/>
          <w:caps/>
          <w:szCs w:val="22"/>
        </w:rPr>
      </w:pPr>
      <w:r w:rsidRPr="00554081">
        <w:rPr>
          <w:b/>
          <w:caps/>
          <w:szCs w:val="22"/>
        </w:rPr>
        <w:lastRenderedPageBreak/>
        <w:t>(</w:t>
      </w:r>
      <w:r>
        <w:rPr>
          <w:b/>
          <w:szCs w:val="22"/>
        </w:rPr>
        <w:t>b</w:t>
      </w:r>
      <w:r w:rsidRPr="00554081">
        <w:rPr>
          <w:b/>
          <w:caps/>
          <w:szCs w:val="22"/>
        </w:rPr>
        <w:t>)</w:t>
      </w:r>
      <w:r w:rsidRPr="00554081">
        <w:rPr>
          <w:b/>
          <w:caps/>
          <w:szCs w:val="22"/>
        </w:rPr>
        <w:tab/>
      </w:r>
      <w:r w:rsidR="0086631E" w:rsidRPr="0086631E">
        <w:rPr>
          <w:b/>
          <w:caps/>
          <w:szCs w:val="22"/>
        </w:rPr>
        <w:t xml:space="preserve">Changes concerning </w:t>
      </w:r>
      <w:r w:rsidR="00127BC5">
        <w:rPr>
          <w:b/>
          <w:caps/>
          <w:szCs w:val="22"/>
        </w:rPr>
        <w:t>THE CREATION OF NEW SUB</w:t>
      </w:r>
      <w:r w:rsidR="0086631E" w:rsidRPr="0086631E">
        <w:rPr>
          <w:b/>
          <w:caps/>
          <w:szCs w:val="22"/>
        </w:rPr>
        <w:t>Classes</w:t>
      </w:r>
    </w:p>
    <w:p w:rsidR="008A02A1" w:rsidRPr="003A58E4" w:rsidRDefault="008A02A1" w:rsidP="008A02A1">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3" w:history="1">
        <w:r w:rsidR="008724A1" w:rsidRPr="00CE5AC9">
          <w:rPr>
            <w:rStyle w:val="Hyperlink"/>
            <w:szCs w:val="22"/>
          </w:rPr>
          <w:t>LO1</w:t>
        </w:r>
        <w:r w:rsidR="00127BC5" w:rsidRPr="00CE5AC9">
          <w:rPr>
            <w:rStyle w:val="Hyperlink"/>
            <w:szCs w:val="22"/>
          </w:rPr>
          <w:t>3</w:t>
        </w:r>
        <w:r w:rsidR="008724A1" w:rsidRPr="00CE5AC9">
          <w:rPr>
            <w:rStyle w:val="Hyperlink"/>
            <w:szCs w:val="22"/>
          </w:rPr>
          <w:t>2</w:t>
        </w:r>
      </w:hyperlink>
      <w:r>
        <w:rPr>
          <w:szCs w:val="22"/>
        </w:rPr>
        <w:t xml:space="preserve">, </w:t>
      </w:r>
      <w:hyperlink r:id="rId14" w:history="1">
        <w:r w:rsidR="00D578B1" w:rsidRPr="0034384A">
          <w:rPr>
            <w:rStyle w:val="Hyperlink"/>
            <w:szCs w:val="22"/>
          </w:rPr>
          <w:t>Annex</w:t>
        </w:r>
        <w:r w:rsidR="00C677BF" w:rsidRPr="0034384A">
          <w:rPr>
            <w:rStyle w:val="Hyperlink"/>
            <w:szCs w:val="22"/>
          </w:rPr>
          <w:t xml:space="preserve"> 2 </w:t>
        </w:r>
        <w:r w:rsidR="0034384A" w:rsidRPr="0034384A">
          <w:rPr>
            <w:rStyle w:val="Hyperlink"/>
            <w:szCs w:val="22"/>
          </w:rPr>
          <w:t>Rev.</w:t>
        </w:r>
      </w:hyperlink>
      <w:r w:rsidR="00027DBE">
        <w:rPr>
          <w:rStyle w:val="Hyperlink"/>
          <w:szCs w:val="22"/>
        </w:rPr>
        <w:t>,</w:t>
      </w:r>
      <w:r w:rsidR="0034384A">
        <w:rPr>
          <w:szCs w:val="22"/>
        </w:rPr>
        <w:t xml:space="preserve"> </w:t>
      </w:r>
      <w:r w:rsidR="001F1590">
        <w:rPr>
          <w:szCs w:val="22"/>
        </w:rPr>
        <w:t>submitted by France, Spain and Sweden</w:t>
      </w:r>
      <w:r w:rsidR="00027DBE">
        <w:rPr>
          <w:szCs w:val="22"/>
        </w:rPr>
        <w:t>,</w:t>
      </w:r>
      <w:r w:rsidR="001F1590">
        <w:rPr>
          <w:szCs w:val="22"/>
        </w:rPr>
        <w:t xml:space="preserve"> and </w:t>
      </w:r>
      <w:hyperlink r:id="rId15" w:history="1">
        <w:r w:rsidR="001F1590" w:rsidRPr="001F1590">
          <w:rPr>
            <w:rStyle w:val="Hyperlink"/>
            <w:szCs w:val="22"/>
          </w:rPr>
          <w:t xml:space="preserve">Annex </w:t>
        </w:r>
        <w:r w:rsidR="00127BC5" w:rsidRPr="001F1590">
          <w:rPr>
            <w:rStyle w:val="Hyperlink"/>
            <w:szCs w:val="22"/>
          </w:rPr>
          <w:t>3</w:t>
        </w:r>
      </w:hyperlink>
      <w:r w:rsidR="00DC74CF">
        <w:rPr>
          <w:szCs w:val="22"/>
        </w:rPr>
        <w:t>,</w:t>
      </w:r>
      <w:r>
        <w:rPr>
          <w:szCs w:val="22"/>
        </w:rPr>
        <w:t xml:space="preserve"> submitted by </w:t>
      </w:r>
      <w:r w:rsidR="00C677BF">
        <w:rPr>
          <w:szCs w:val="22"/>
        </w:rPr>
        <w:t>China</w:t>
      </w:r>
      <w:r w:rsidRPr="003A58E4">
        <w:rPr>
          <w:szCs w:val="22"/>
        </w:rPr>
        <w:t>.</w:t>
      </w:r>
      <w:r w:rsidR="00363AEA">
        <w:rPr>
          <w:szCs w:val="22"/>
        </w:rPr>
        <w:t xml:space="preserve"> </w:t>
      </w:r>
      <w:r w:rsidR="00B3289C">
        <w:rPr>
          <w:szCs w:val="22"/>
        </w:rPr>
        <w:t xml:space="preserve"> </w:t>
      </w:r>
      <w:r w:rsidR="00363AEA">
        <w:rPr>
          <w:szCs w:val="22"/>
        </w:rPr>
        <w:t xml:space="preserve">The proposals </w:t>
      </w:r>
      <w:r w:rsidR="00027DBE">
        <w:rPr>
          <w:szCs w:val="22"/>
        </w:rPr>
        <w:t xml:space="preserve">in </w:t>
      </w:r>
      <w:hyperlink r:id="rId16" w:history="1">
        <w:r w:rsidR="00027DBE" w:rsidRPr="00027DBE">
          <w:rPr>
            <w:rStyle w:val="Hyperlink"/>
            <w:szCs w:val="22"/>
          </w:rPr>
          <w:t>Annex 2</w:t>
        </w:r>
      </w:hyperlink>
      <w:r w:rsidR="00027DBE">
        <w:rPr>
          <w:szCs w:val="22"/>
        </w:rPr>
        <w:t xml:space="preserve"> </w:t>
      </w:r>
      <w:r w:rsidR="00363AEA">
        <w:rPr>
          <w:szCs w:val="22"/>
        </w:rPr>
        <w:t xml:space="preserve">aimed at </w:t>
      </w:r>
      <w:r w:rsidR="001F1590">
        <w:rPr>
          <w:szCs w:val="22"/>
        </w:rPr>
        <w:t>creat</w:t>
      </w:r>
      <w:r w:rsidR="00363AEA">
        <w:rPr>
          <w:szCs w:val="22"/>
        </w:rPr>
        <w:t xml:space="preserve">ing </w:t>
      </w:r>
      <w:r w:rsidR="00FC6878">
        <w:rPr>
          <w:szCs w:val="22"/>
        </w:rPr>
        <w:t xml:space="preserve">a certain number of </w:t>
      </w:r>
      <w:r w:rsidR="001F1590">
        <w:rPr>
          <w:szCs w:val="22"/>
        </w:rPr>
        <w:t xml:space="preserve">new </w:t>
      </w:r>
      <w:r w:rsidR="00363AEA">
        <w:rPr>
          <w:szCs w:val="22"/>
        </w:rPr>
        <w:t>subclasses</w:t>
      </w:r>
      <w:r w:rsidR="00FC6878">
        <w:rPr>
          <w:szCs w:val="22"/>
        </w:rPr>
        <w:t xml:space="preserve"> </w:t>
      </w:r>
      <w:r w:rsidR="00027DBE">
        <w:rPr>
          <w:szCs w:val="22"/>
        </w:rPr>
        <w:t>in different classes, and moving</w:t>
      </w:r>
      <w:r w:rsidR="00FC6878">
        <w:rPr>
          <w:szCs w:val="22"/>
        </w:rPr>
        <w:t xml:space="preserve"> goods with similar characteristics that are in the miscellaneous subclasses 99</w:t>
      </w:r>
      <w:r w:rsidR="00027DBE">
        <w:rPr>
          <w:szCs w:val="22"/>
        </w:rPr>
        <w:t xml:space="preserve"> to the new subclasses</w:t>
      </w:r>
      <w:r w:rsidR="00D562D7">
        <w:rPr>
          <w:szCs w:val="22"/>
        </w:rPr>
        <w:t xml:space="preserve"> or to existing subclasses</w:t>
      </w:r>
      <w:r w:rsidR="00363AEA">
        <w:rPr>
          <w:szCs w:val="22"/>
        </w:rPr>
        <w:t>.</w:t>
      </w:r>
      <w:r w:rsidR="00027DBE">
        <w:rPr>
          <w:szCs w:val="22"/>
        </w:rPr>
        <w:t xml:space="preserve">  The proposals in </w:t>
      </w:r>
      <w:hyperlink r:id="rId17" w:history="1">
        <w:r w:rsidR="00027DBE" w:rsidRPr="00FD62CE">
          <w:rPr>
            <w:rStyle w:val="Hyperlink"/>
            <w:szCs w:val="22"/>
          </w:rPr>
          <w:t>Annex 3</w:t>
        </w:r>
      </w:hyperlink>
      <w:r w:rsidR="00FD62CE">
        <w:rPr>
          <w:szCs w:val="22"/>
        </w:rPr>
        <w:t xml:space="preserve"> </w:t>
      </w:r>
      <w:r w:rsidR="00FD62CE" w:rsidRPr="00FD62CE">
        <w:rPr>
          <w:szCs w:val="22"/>
        </w:rPr>
        <w:t>followed a similar pattern except that, for Class 23, they concerned groups of similar goods that are in subclass 02.</w:t>
      </w:r>
    </w:p>
    <w:p w:rsidR="00C13BB7" w:rsidRDefault="00C13BB7" w:rsidP="00C13BB7">
      <w:pPr>
        <w:spacing w:line="260" w:lineRule="exact"/>
        <w:rPr>
          <w:szCs w:val="22"/>
        </w:rPr>
      </w:pPr>
      <w:bookmarkStart w:id="5" w:name="_GoBack"/>
      <w:bookmarkEnd w:id="5"/>
    </w:p>
    <w:p w:rsidR="00C13BB7" w:rsidRDefault="00A93AE9" w:rsidP="00A93AE9">
      <w:pPr>
        <w:spacing w:line="260" w:lineRule="exact"/>
        <w:ind w:left="567"/>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adopted </w:t>
      </w:r>
      <w:r w:rsidRPr="0086631E">
        <w:rPr>
          <w:szCs w:val="22"/>
        </w:rPr>
        <w:t>a certain number of amendments and additions</w:t>
      </w:r>
      <w:r>
        <w:rPr>
          <w:szCs w:val="22"/>
        </w:rPr>
        <w:t xml:space="preserve">. </w:t>
      </w:r>
      <w:r w:rsidRPr="003A58E4">
        <w:rPr>
          <w:szCs w:val="22"/>
        </w:rPr>
        <w:t xml:space="preserve"> </w:t>
      </w:r>
      <w:r w:rsidRPr="00A93AE9">
        <w:rPr>
          <w:szCs w:val="22"/>
        </w:rPr>
        <w:t xml:space="preserve">The decisions of the Committee are available on the electronic forum, project </w:t>
      </w:r>
      <w:hyperlink r:id="rId18" w:history="1">
        <w:r w:rsidRPr="006E69E4">
          <w:rPr>
            <w:rStyle w:val="Hyperlink"/>
            <w:szCs w:val="22"/>
          </w:rPr>
          <w:t>LO130</w:t>
        </w:r>
      </w:hyperlink>
      <w:r w:rsidRPr="00A93AE9">
        <w:rPr>
          <w:szCs w:val="22"/>
        </w:rPr>
        <w:t>.</w:t>
      </w:r>
    </w:p>
    <w:p w:rsidR="00A93AE9" w:rsidRDefault="00A93AE9" w:rsidP="00C13BB7">
      <w:pPr>
        <w:spacing w:line="260" w:lineRule="exact"/>
        <w:rPr>
          <w:szCs w:val="22"/>
        </w:rPr>
      </w:pPr>
    </w:p>
    <w:p w:rsidR="005048D2" w:rsidRDefault="005048D2" w:rsidP="005048D2">
      <w:pPr>
        <w:spacing w:line="260" w:lineRule="exact"/>
        <w:rPr>
          <w:b/>
          <w:caps/>
          <w:szCs w:val="22"/>
        </w:rPr>
      </w:pPr>
      <w:r w:rsidRPr="00554081">
        <w:rPr>
          <w:b/>
          <w:caps/>
          <w:szCs w:val="22"/>
        </w:rPr>
        <w:t>(</w:t>
      </w:r>
      <w:r>
        <w:rPr>
          <w:b/>
          <w:szCs w:val="22"/>
        </w:rPr>
        <w:t>c</w:t>
      </w:r>
      <w:r w:rsidRPr="00554081">
        <w:rPr>
          <w:b/>
          <w:caps/>
          <w:szCs w:val="22"/>
        </w:rPr>
        <w:t>)</w:t>
      </w:r>
      <w:r w:rsidRPr="00554081">
        <w:rPr>
          <w:b/>
          <w:caps/>
          <w:szCs w:val="22"/>
        </w:rPr>
        <w:tab/>
      </w:r>
      <w:r w:rsidR="00A51C03" w:rsidRPr="00A51C03">
        <w:rPr>
          <w:b/>
          <w:caps/>
          <w:szCs w:val="22"/>
        </w:rPr>
        <w:t>Changes concerning the use of “</w:t>
      </w:r>
      <w:r w:rsidR="00127BC5">
        <w:rPr>
          <w:b/>
          <w:caps/>
          <w:szCs w:val="22"/>
        </w:rPr>
        <w:t>EXCEPT FOR</w:t>
      </w:r>
      <w:r w:rsidR="00A51C03" w:rsidRPr="00A51C03">
        <w:rPr>
          <w:b/>
          <w:caps/>
          <w:szCs w:val="22"/>
        </w:rPr>
        <w:t>”</w:t>
      </w:r>
      <w:r w:rsidR="00127BC5">
        <w:rPr>
          <w:b/>
          <w:caps/>
          <w:szCs w:val="22"/>
        </w:rPr>
        <w:t xml:space="preserve">, </w:t>
      </w:r>
      <w:r w:rsidR="00127BC5" w:rsidRPr="00A51C03">
        <w:rPr>
          <w:b/>
          <w:caps/>
          <w:szCs w:val="22"/>
        </w:rPr>
        <w:t>“</w:t>
      </w:r>
      <w:r w:rsidR="00127BC5">
        <w:rPr>
          <w:b/>
          <w:caps/>
          <w:szCs w:val="22"/>
        </w:rPr>
        <w:t>OTHER THAN</w:t>
      </w:r>
      <w:r w:rsidR="00127BC5" w:rsidRPr="00A51C03">
        <w:rPr>
          <w:b/>
          <w:caps/>
          <w:szCs w:val="22"/>
        </w:rPr>
        <w:t>”</w:t>
      </w:r>
      <w:r w:rsidR="00127BC5">
        <w:rPr>
          <w:b/>
          <w:caps/>
          <w:szCs w:val="22"/>
        </w:rPr>
        <w:t xml:space="preserve"> AND SQUARE BRACKETS</w:t>
      </w:r>
    </w:p>
    <w:p w:rsidR="005048D2" w:rsidRPr="003A58E4" w:rsidRDefault="005048D2" w:rsidP="005048D2">
      <w:pPr>
        <w:spacing w:line="260" w:lineRule="exact"/>
        <w:rPr>
          <w:szCs w:val="22"/>
        </w:rPr>
      </w:pPr>
    </w:p>
    <w:p w:rsidR="005048D2" w:rsidRDefault="005048D2" w:rsidP="005048D2">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19" w:history="1">
        <w:r w:rsidR="009B0B6C" w:rsidRPr="00CE5AC9">
          <w:rPr>
            <w:rStyle w:val="Hyperlink"/>
            <w:szCs w:val="22"/>
          </w:rPr>
          <w:t>LO1</w:t>
        </w:r>
        <w:r w:rsidR="00127BC5" w:rsidRPr="00CE5AC9">
          <w:rPr>
            <w:rStyle w:val="Hyperlink"/>
            <w:szCs w:val="22"/>
          </w:rPr>
          <w:t>3</w:t>
        </w:r>
        <w:r w:rsidR="009B0B6C" w:rsidRPr="00CE5AC9">
          <w:rPr>
            <w:rStyle w:val="Hyperlink"/>
            <w:szCs w:val="22"/>
          </w:rPr>
          <w:t>2</w:t>
        </w:r>
      </w:hyperlink>
      <w:r>
        <w:rPr>
          <w:szCs w:val="22"/>
        </w:rPr>
        <w:t xml:space="preserve">, </w:t>
      </w:r>
      <w:hyperlink r:id="rId20" w:history="1">
        <w:r w:rsidRPr="0034384A">
          <w:rPr>
            <w:rStyle w:val="Hyperlink"/>
            <w:szCs w:val="22"/>
          </w:rPr>
          <w:t xml:space="preserve">Annex </w:t>
        </w:r>
        <w:r w:rsidR="002620A7" w:rsidRPr="0034384A">
          <w:rPr>
            <w:rStyle w:val="Hyperlink"/>
            <w:szCs w:val="22"/>
          </w:rPr>
          <w:t>4</w:t>
        </w:r>
      </w:hyperlink>
      <w:r>
        <w:rPr>
          <w:szCs w:val="22"/>
        </w:rPr>
        <w:t xml:space="preserve">, </w:t>
      </w:r>
      <w:r w:rsidR="00400099">
        <w:rPr>
          <w:szCs w:val="22"/>
        </w:rPr>
        <w:t xml:space="preserve">submitted by the International Bureau (IB), </w:t>
      </w:r>
      <w:r w:rsidR="00630DDD" w:rsidRPr="003A58E4">
        <w:rPr>
          <w:szCs w:val="22"/>
        </w:rPr>
        <w:t xml:space="preserve">which </w:t>
      </w:r>
      <w:r w:rsidR="00630DDD">
        <w:rPr>
          <w:szCs w:val="22"/>
        </w:rPr>
        <w:t xml:space="preserve">contained a </w:t>
      </w:r>
      <w:r w:rsidR="00F431A2">
        <w:rPr>
          <w:szCs w:val="22"/>
        </w:rPr>
        <w:t xml:space="preserve">proposal </w:t>
      </w:r>
      <w:r w:rsidR="00400099">
        <w:rPr>
          <w:szCs w:val="22"/>
        </w:rPr>
        <w:t xml:space="preserve">that aimed at consistently using the expression “other than” without square brackets throughout the list of goods, instead of inconsistently using </w:t>
      </w:r>
      <w:r w:rsidR="009B0B6C">
        <w:rPr>
          <w:szCs w:val="22"/>
        </w:rPr>
        <w:t>“</w:t>
      </w:r>
      <w:r w:rsidR="002620A7">
        <w:rPr>
          <w:szCs w:val="22"/>
        </w:rPr>
        <w:t>except for</w:t>
      </w:r>
      <w:r w:rsidR="009B0B6C">
        <w:rPr>
          <w:szCs w:val="22"/>
        </w:rPr>
        <w:t xml:space="preserve">” </w:t>
      </w:r>
      <w:r w:rsidR="00400099">
        <w:rPr>
          <w:szCs w:val="22"/>
        </w:rPr>
        <w:t>or</w:t>
      </w:r>
      <w:r w:rsidR="00CB6359">
        <w:rPr>
          <w:szCs w:val="22"/>
        </w:rPr>
        <w:t xml:space="preserve"> </w:t>
      </w:r>
      <w:r w:rsidR="009B0B6C">
        <w:rPr>
          <w:szCs w:val="22"/>
        </w:rPr>
        <w:t>“</w:t>
      </w:r>
      <w:r w:rsidR="002620A7">
        <w:rPr>
          <w:szCs w:val="22"/>
        </w:rPr>
        <w:t>other than</w:t>
      </w:r>
      <w:r w:rsidR="009B0B6C">
        <w:rPr>
          <w:szCs w:val="22"/>
        </w:rPr>
        <w:t>”</w:t>
      </w:r>
      <w:r w:rsidR="00400099">
        <w:rPr>
          <w:szCs w:val="22"/>
        </w:rPr>
        <w:t>, in square brackets or not</w:t>
      </w:r>
      <w:r w:rsidR="00630DDD">
        <w:rPr>
          <w:szCs w:val="22"/>
        </w:rPr>
        <w:t>.</w:t>
      </w:r>
    </w:p>
    <w:p w:rsidR="005048D2" w:rsidRDefault="005048D2" w:rsidP="005048D2">
      <w:pPr>
        <w:spacing w:line="260" w:lineRule="exact"/>
        <w:rPr>
          <w:szCs w:val="22"/>
        </w:rPr>
      </w:pPr>
    </w:p>
    <w:p w:rsidR="000B07D9" w:rsidRPr="003A58E4" w:rsidRDefault="000B07D9" w:rsidP="000B07D9">
      <w:pPr>
        <w:spacing w:line="260" w:lineRule="exact"/>
        <w:ind w:left="550"/>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A93AE9" w:rsidRPr="003A58E4">
        <w:rPr>
          <w:szCs w:val="22"/>
        </w:rPr>
        <w:t xml:space="preserve">The Committee adopted </w:t>
      </w:r>
      <w:r w:rsidR="00A93AE9" w:rsidRPr="0086631E">
        <w:rPr>
          <w:szCs w:val="22"/>
        </w:rPr>
        <w:t>a certain number of amendments</w:t>
      </w:r>
      <w:r w:rsidR="00A93AE9">
        <w:rPr>
          <w:szCs w:val="22"/>
        </w:rPr>
        <w:t xml:space="preserve">. </w:t>
      </w:r>
      <w:r w:rsidR="00A93AE9" w:rsidRPr="003A58E4">
        <w:rPr>
          <w:szCs w:val="22"/>
        </w:rPr>
        <w:t xml:space="preserve"> </w:t>
      </w:r>
      <w:r w:rsidR="00CB6359">
        <w:rPr>
          <w:szCs w:val="22"/>
        </w:rPr>
        <w:t xml:space="preserve">However, the Committee indicated that </w:t>
      </w:r>
      <w:r w:rsidR="00305639">
        <w:rPr>
          <w:szCs w:val="22"/>
        </w:rPr>
        <w:t xml:space="preserve">harmonization in terminology should rather tend towards the use of “except for” instead of “other than”, and that </w:t>
      </w:r>
      <w:r w:rsidR="00CB6359">
        <w:rPr>
          <w:szCs w:val="22"/>
        </w:rPr>
        <w:t>the use of square brackets should be maintained</w:t>
      </w:r>
      <w:r w:rsidR="00305639">
        <w:rPr>
          <w:szCs w:val="22"/>
        </w:rPr>
        <w:t xml:space="preserve">.  </w:t>
      </w:r>
      <w:r w:rsidR="00A93AE9" w:rsidRPr="00A93AE9">
        <w:rPr>
          <w:szCs w:val="22"/>
        </w:rPr>
        <w:t xml:space="preserve">The decisions of the Committee are available on the electronic forum, project </w:t>
      </w:r>
      <w:hyperlink r:id="rId21" w:history="1">
        <w:r w:rsidR="00A93AE9" w:rsidRPr="006E69E4">
          <w:rPr>
            <w:rStyle w:val="Hyperlink"/>
            <w:szCs w:val="22"/>
          </w:rPr>
          <w:t>LO130</w:t>
        </w:r>
      </w:hyperlink>
      <w:r w:rsidR="00A93AE9" w:rsidRPr="00A93AE9">
        <w:rPr>
          <w:szCs w:val="22"/>
        </w:rPr>
        <w:t>.</w:t>
      </w:r>
    </w:p>
    <w:p w:rsidR="00B22E15" w:rsidRDefault="00B22E15" w:rsidP="00B22E15">
      <w:pPr>
        <w:rPr>
          <w:szCs w:val="22"/>
        </w:rPr>
      </w:pPr>
    </w:p>
    <w:p w:rsidR="00B22E15" w:rsidRPr="0040336A" w:rsidRDefault="00B22E15" w:rsidP="00B22E15">
      <w:pPr>
        <w:rPr>
          <w:szCs w:val="22"/>
        </w:rPr>
      </w:pPr>
    </w:p>
    <w:p w:rsidR="002620A7" w:rsidRDefault="002620A7" w:rsidP="002620A7">
      <w:pPr>
        <w:spacing w:line="260" w:lineRule="exact"/>
        <w:rPr>
          <w:b/>
          <w:caps/>
          <w:szCs w:val="22"/>
        </w:rPr>
      </w:pPr>
      <w:r w:rsidRPr="0086631E">
        <w:rPr>
          <w:b/>
          <w:caps/>
          <w:szCs w:val="22"/>
        </w:rPr>
        <w:t xml:space="preserve">CONSIDERATION OF </w:t>
      </w:r>
      <w:r>
        <w:rPr>
          <w:b/>
          <w:caps/>
          <w:szCs w:val="22"/>
        </w:rPr>
        <w:t xml:space="preserve">a </w:t>
      </w:r>
      <w:r w:rsidRPr="0086631E">
        <w:rPr>
          <w:b/>
          <w:caps/>
          <w:szCs w:val="22"/>
        </w:rPr>
        <w:t xml:space="preserve">PROPOSAL FOR </w:t>
      </w:r>
      <w:r>
        <w:rPr>
          <w:b/>
          <w:caps/>
          <w:szCs w:val="22"/>
        </w:rPr>
        <w:t xml:space="preserve">modifications to the guide TO </w:t>
      </w:r>
      <w:r w:rsidRPr="0086631E">
        <w:rPr>
          <w:b/>
          <w:caps/>
          <w:szCs w:val="22"/>
        </w:rPr>
        <w:t>THE LOCARNO CLASSIFICATION</w:t>
      </w:r>
    </w:p>
    <w:p w:rsidR="002620A7" w:rsidRPr="00FC2666" w:rsidRDefault="002620A7" w:rsidP="002620A7">
      <w:pPr>
        <w:spacing w:line="260" w:lineRule="exact"/>
        <w:rPr>
          <w:caps/>
          <w:szCs w:val="22"/>
        </w:rPr>
      </w:pPr>
    </w:p>
    <w:p w:rsidR="002620A7" w:rsidRDefault="002620A7" w:rsidP="002620A7">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22" w:history="1">
        <w:r w:rsidRPr="00CE5AC9">
          <w:rPr>
            <w:rStyle w:val="Hyperlink"/>
            <w:szCs w:val="22"/>
          </w:rPr>
          <w:t>LO132</w:t>
        </w:r>
      </w:hyperlink>
      <w:r>
        <w:rPr>
          <w:szCs w:val="22"/>
        </w:rPr>
        <w:t xml:space="preserve">, </w:t>
      </w:r>
      <w:hyperlink r:id="rId23" w:history="1">
        <w:r w:rsidRPr="0034384A">
          <w:rPr>
            <w:rStyle w:val="Hyperlink"/>
            <w:szCs w:val="22"/>
          </w:rPr>
          <w:t>Annex 5</w:t>
        </w:r>
      </w:hyperlink>
      <w:r>
        <w:rPr>
          <w:szCs w:val="22"/>
        </w:rPr>
        <w:t xml:space="preserve">, </w:t>
      </w:r>
      <w:r w:rsidRPr="003A58E4">
        <w:rPr>
          <w:szCs w:val="22"/>
        </w:rPr>
        <w:t xml:space="preserve">which </w:t>
      </w:r>
      <w:r>
        <w:rPr>
          <w:szCs w:val="22"/>
        </w:rPr>
        <w:t>contained</w:t>
      </w:r>
      <w:r w:rsidRPr="003A58E4">
        <w:rPr>
          <w:szCs w:val="22"/>
        </w:rPr>
        <w:t xml:space="preserve"> </w:t>
      </w:r>
      <w:r>
        <w:rPr>
          <w:szCs w:val="22"/>
        </w:rPr>
        <w:t>a</w:t>
      </w:r>
      <w:r w:rsidRPr="003A58E4">
        <w:rPr>
          <w:szCs w:val="22"/>
        </w:rPr>
        <w:t xml:space="preserve"> </w:t>
      </w:r>
      <w:r>
        <w:rPr>
          <w:szCs w:val="22"/>
        </w:rPr>
        <w:t xml:space="preserve">proposal for </w:t>
      </w:r>
      <w:r w:rsidR="009532AB">
        <w:rPr>
          <w:szCs w:val="22"/>
        </w:rPr>
        <w:t xml:space="preserve">modifications to the </w:t>
      </w:r>
      <w:r w:rsidR="00400099">
        <w:rPr>
          <w:szCs w:val="22"/>
        </w:rPr>
        <w:t xml:space="preserve">Guidance for the User </w:t>
      </w:r>
      <w:r w:rsidR="009532AB">
        <w:rPr>
          <w:szCs w:val="22"/>
        </w:rPr>
        <w:t xml:space="preserve">of the Locarno </w:t>
      </w:r>
      <w:r w:rsidRPr="0086631E">
        <w:rPr>
          <w:szCs w:val="22"/>
        </w:rPr>
        <w:t>Classification</w:t>
      </w:r>
      <w:r w:rsidR="00944D42">
        <w:rPr>
          <w:szCs w:val="22"/>
        </w:rPr>
        <w:t>, submitted by China</w:t>
      </w:r>
      <w:r w:rsidRPr="003A58E4">
        <w:rPr>
          <w:szCs w:val="22"/>
        </w:rPr>
        <w:t>.</w:t>
      </w:r>
    </w:p>
    <w:p w:rsidR="002620A7" w:rsidRPr="003A58E4" w:rsidRDefault="002620A7" w:rsidP="002620A7">
      <w:pPr>
        <w:tabs>
          <w:tab w:val="left" w:pos="4120"/>
        </w:tabs>
        <w:spacing w:line="260" w:lineRule="exact"/>
        <w:rPr>
          <w:szCs w:val="22"/>
        </w:rPr>
      </w:pPr>
    </w:p>
    <w:p w:rsidR="0019476D" w:rsidRPr="003A58E4" w:rsidRDefault="002620A7" w:rsidP="00305639">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400099">
        <w:rPr>
          <w:szCs w:val="22"/>
        </w:rPr>
        <w:t>Following the presentation on the new electronic publication of the Classification (LOCPUB) made by the IB, which now contains an updated version of the Guidance for the User, t</w:t>
      </w:r>
      <w:r w:rsidR="00001461" w:rsidRPr="00001461">
        <w:rPr>
          <w:szCs w:val="22"/>
        </w:rPr>
        <w:t xml:space="preserve">he </w:t>
      </w:r>
      <w:r w:rsidR="00001461">
        <w:rPr>
          <w:szCs w:val="22"/>
        </w:rPr>
        <w:t xml:space="preserve">delegation of China </w:t>
      </w:r>
      <w:r w:rsidR="00400099">
        <w:rPr>
          <w:szCs w:val="22"/>
        </w:rPr>
        <w:t xml:space="preserve">expressed its satisfaction with the text of that Guidance </w:t>
      </w:r>
      <w:r w:rsidR="00001461">
        <w:rPr>
          <w:szCs w:val="22"/>
        </w:rPr>
        <w:t xml:space="preserve">and </w:t>
      </w:r>
      <w:r w:rsidR="00001461" w:rsidRPr="00001461">
        <w:rPr>
          <w:szCs w:val="22"/>
        </w:rPr>
        <w:t>therefore withdr</w:t>
      </w:r>
      <w:r w:rsidR="00001461">
        <w:rPr>
          <w:szCs w:val="22"/>
        </w:rPr>
        <w:t>e</w:t>
      </w:r>
      <w:r w:rsidR="00001461" w:rsidRPr="00001461">
        <w:rPr>
          <w:szCs w:val="22"/>
        </w:rPr>
        <w:t>w</w:t>
      </w:r>
      <w:r w:rsidR="00001461">
        <w:rPr>
          <w:szCs w:val="22"/>
        </w:rPr>
        <w:t xml:space="preserve"> proposals CN2, CN3 and CN4</w:t>
      </w:r>
      <w:r w:rsidR="00001461" w:rsidRPr="00001461">
        <w:rPr>
          <w:szCs w:val="22"/>
        </w:rPr>
        <w:t>.</w:t>
      </w:r>
      <w:r w:rsidR="00400099">
        <w:rPr>
          <w:szCs w:val="22"/>
        </w:rPr>
        <w:t xml:space="preserve">  </w:t>
      </w:r>
      <w:r w:rsidR="0019476D">
        <w:rPr>
          <w:szCs w:val="22"/>
        </w:rPr>
        <w:t>However, the delegation of China stated that it would be very useful to include in the publication the dates of entry into force of each edition of the Classification.</w:t>
      </w:r>
    </w:p>
    <w:p w:rsidR="002620A7" w:rsidRDefault="002620A7" w:rsidP="002620A7">
      <w:pPr>
        <w:spacing w:line="260" w:lineRule="exact"/>
        <w:rPr>
          <w:szCs w:val="22"/>
        </w:rPr>
      </w:pPr>
    </w:p>
    <w:p w:rsidR="003A47EA" w:rsidRDefault="003A47EA" w:rsidP="002620A7">
      <w:pPr>
        <w:spacing w:line="260" w:lineRule="exact"/>
        <w:rPr>
          <w:szCs w:val="22"/>
        </w:rPr>
      </w:pPr>
    </w:p>
    <w:p w:rsidR="008173D9" w:rsidRDefault="008173D9" w:rsidP="008173D9">
      <w:pPr>
        <w:spacing w:line="260" w:lineRule="exact"/>
        <w:rPr>
          <w:b/>
          <w:caps/>
          <w:szCs w:val="22"/>
        </w:rPr>
      </w:pPr>
      <w:r w:rsidRPr="0086631E">
        <w:rPr>
          <w:b/>
          <w:caps/>
          <w:szCs w:val="22"/>
        </w:rPr>
        <w:t xml:space="preserve">CONSIDERATION OF </w:t>
      </w:r>
      <w:r>
        <w:rPr>
          <w:b/>
          <w:caps/>
          <w:szCs w:val="22"/>
        </w:rPr>
        <w:t xml:space="preserve">A </w:t>
      </w:r>
      <w:r w:rsidRPr="0086631E">
        <w:rPr>
          <w:b/>
          <w:caps/>
          <w:szCs w:val="22"/>
        </w:rPr>
        <w:t xml:space="preserve">PROPOSAL </w:t>
      </w:r>
      <w:r>
        <w:rPr>
          <w:b/>
          <w:caps/>
          <w:szCs w:val="22"/>
        </w:rPr>
        <w:t>CONCERNING THE INTRODUCTION OF A MORE DETAILED HIERARCHY IN</w:t>
      </w:r>
      <w:r w:rsidRPr="0086631E">
        <w:rPr>
          <w:b/>
          <w:caps/>
          <w:szCs w:val="22"/>
        </w:rPr>
        <w:t xml:space="preserve"> THE LOCARNO CLASSIFICATION</w:t>
      </w:r>
    </w:p>
    <w:p w:rsidR="008173D9" w:rsidRPr="00FC2666" w:rsidRDefault="008173D9" w:rsidP="008173D9">
      <w:pPr>
        <w:spacing w:line="260" w:lineRule="exact"/>
        <w:rPr>
          <w:caps/>
          <w:szCs w:val="22"/>
        </w:rPr>
      </w:pPr>
    </w:p>
    <w:p w:rsidR="008173D9" w:rsidRDefault="008173D9" w:rsidP="008173D9">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24" w:history="1">
        <w:r w:rsidRPr="00CE5AC9">
          <w:rPr>
            <w:rStyle w:val="Hyperlink"/>
            <w:szCs w:val="22"/>
          </w:rPr>
          <w:t>LO132</w:t>
        </w:r>
      </w:hyperlink>
      <w:r>
        <w:rPr>
          <w:szCs w:val="22"/>
        </w:rPr>
        <w:t xml:space="preserve">, </w:t>
      </w:r>
      <w:hyperlink r:id="rId25" w:history="1">
        <w:r w:rsidRPr="0034384A">
          <w:rPr>
            <w:rStyle w:val="Hyperlink"/>
            <w:szCs w:val="22"/>
          </w:rPr>
          <w:t xml:space="preserve">Annex </w:t>
        </w:r>
        <w:r w:rsidR="009D6C04" w:rsidRPr="0034384A">
          <w:rPr>
            <w:rStyle w:val="Hyperlink"/>
            <w:szCs w:val="22"/>
          </w:rPr>
          <w:t>6</w:t>
        </w:r>
      </w:hyperlink>
      <w:r>
        <w:rPr>
          <w:szCs w:val="22"/>
        </w:rPr>
        <w:t xml:space="preserve">, </w:t>
      </w:r>
      <w:r w:rsidRPr="003A58E4">
        <w:rPr>
          <w:szCs w:val="22"/>
        </w:rPr>
        <w:t xml:space="preserve">which </w:t>
      </w:r>
      <w:r>
        <w:rPr>
          <w:szCs w:val="22"/>
        </w:rPr>
        <w:t>contained</w:t>
      </w:r>
      <w:r w:rsidRPr="003A58E4">
        <w:rPr>
          <w:szCs w:val="22"/>
        </w:rPr>
        <w:t xml:space="preserve"> </w:t>
      </w:r>
      <w:r>
        <w:rPr>
          <w:szCs w:val="22"/>
        </w:rPr>
        <w:t>a</w:t>
      </w:r>
      <w:r w:rsidRPr="003A58E4">
        <w:rPr>
          <w:szCs w:val="22"/>
        </w:rPr>
        <w:t xml:space="preserve"> </w:t>
      </w:r>
      <w:r w:rsidR="00944D42">
        <w:rPr>
          <w:szCs w:val="22"/>
        </w:rPr>
        <w:t>proposal</w:t>
      </w:r>
      <w:r>
        <w:rPr>
          <w:szCs w:val="22"/>
        </w:rPr>
        <w:t xml:space="preserve"> for </w:t>
      </w:r>
      <w:r w:rsidR="00F14988">
        <w:rPr>
          <w:szCs w:val="22"/>
        </w:rPr>
        <w:t>extending the Locarno Classification to include</w:t>
      </w:r>
      <w:r w:rsidR="000D1070">
        <w:rPr>
          <w:szCs w:val="22"/>
        </w:rPr>
        <w:t>, in addition to EPIC (Extended Product Indication Classification),</w:t>
      </w:r>
      <w:r w:rsidR="00F14988">
        <w:rPr>
          <w:szCs w:val="22"/>
        </w:rPr>
        <w:t xml:space="preserve"> a Locarno+ tool that would contain all the terms of the EUIPO Designview database</w:t>
      </w:r>
      <w:r w:rsidR="00944D42">
        <w:rPr>
          <w:szCs w:val="22"/>
        </w:rPr>
        <w:t xml:space="preserve">, submitted by the </w:t>
      </w:r>
      <w:r w:rsidR="00F14988">
        <w:rPr>
          <w:szCs w:val="22"/>
        </w:rPr>
        <w:t>Netherlands</w:t>
      </w:r>
      <w:r w:rsidRPr="003A58E4">
        <w:rPr>
          <w:szCs w:val="22"/>
        </w:rPr>
        <w:t>.</w:t>
      </w:r>
    </w:p>
    <w:p w:rsidR="008173D9" w:rsidRPr="003A58E4" w:rsidRDefault="008173D9" w:rsidP="008173D9">
      <w:pPr>
        <w:tabs>
          <w:tab w:val="left" w:pos="4120"/>
        </w:tabs>
        <w:spacing w:line="260" w:lineRule="exact"/>
        <w:rPr>
          <w:szCs w:val="22"/>
        </w:rPr>
      </w:pPr>
    </w:p>
    <w:p w:rsidR="008173D9" w:rsidRDefault="008173D9" w:rsidP="00037B2E">
      <w:pPr>
        <w:spacing w:line="260" w:lineRule="exact"/>
        <w:ind w:left="567"/>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The Committee</w:t>
      </w:r>
      <w:r w:rsidR="000D44F3">
        <w:rPr>
          <w:szCs w:val="22"/>
        </w:rPr>
        <w:t xml:space="preserve"> was of the opinion that the Classification is an international system created and periodically revised by a Committee of Experts that counts among its members countries that do not belong to the European Union.  The </w:t>
      </w:r>
      <w:r w:rsidR="00944B0D">
        <w:rPr>
          <w:szCs w:val="22"/>
        </w:rPr>
        <w:t>Committee agreed</w:t>
      </w:r>
      <w:r w:rsidR="000D44F3">
        <w:rPr>
          <w:szCs w:val="22"/>
        </w:rPr>
        <w:t xml:space="preserve"> therefore </w:t>
      </w:r>
      <w:r w:rsidR="00944B0D">
        <w:rPr>
          <w:szCs w:val="22"/>
        </w:rPr>
        <w:t xml:space="preserve">that the Classification </w:t>
      </w:r>
      <w:r w:rsidR="000D44F3">
        <w:rPr>
          <w:szCs w:val="22"/>
        </w:rPr>
        <w:t>contain only those terms that have been approved by the Committee</w:t>
      </w:r>
      <w:r w:rsidRPr="003A58E4">
        <w:rPr>
          <w:szCs w:val="22"/>
        </w:rPr>
        <w:t>.</w:t>
      </w:r>
    </w:p>
    <w:p w:rsidR="00286326" w:rsidRDefault="00286326" w:rsidP="002B21C2">
      <w:pPr>
        <w:spacing w:line="260" w:lineRule="exact"/>
        <w:rPr>
          <w:szCs w:val="22"/>
        </w:rPr>
      </w:pPr>
    </w:p>
    <w:p w:rsidR="00286326" w:rsidRDefault="00286326" w:rsidP="002B21C2">
      <w:pPr>
        <w:spacing w:line="260" w:lineRule="exact"/>
        <w:rPr>
          <w:szCs w:val="22"/>
        </w:rPr>
      </w:pPr>
    </w:p>
    <w:p w:rsidR="00286326" w:rsidRDefault="00286326" w:rsidP="00286326">
      <w:pPr>
        <w:spacing w:line="260" w:lineRule="exact"/>
        <w:rPr>
          <w:b/>
          <w:caps/>
          <w:szCs w:val="22"/>
        </w:rPr>
      </w:pPr>
      <w:r>
        <w:rPr>
          <w:b/>
          <w:caps/>
          <w:szCs w:val="22"/>
        </w:rPr>
        <w:t>NEW ELECTRONIC PUBLICATION</w:t>
      </w:r>
    </w:p>
    <w:p w:rsidR="00286326" w:rsidRPr="00037B2E" w:rsidRDefault="00286326" w:rsidP="00286326">
      <w:pPr>
        <w:spacing w:line="260" w:lineRule="exact"/>
        <w:rPr>
          <w:caps/>
          <w:szCs w:val="22"/>
        </w:rPr>
      </w:pPr>
    </w:p>
    <w:p w:rsidR="00286326" w:rsidRPr="00286326" w:rsidRDefault="00757D2D" w:rsidP="00286326">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r>
      <w:r w:rsidR="00286326" w:rsidRPr="00286326">
        <w:rPr>
          <w:szCs w:val="22"/>
        </w:rPr>
        <w:t xml:space="preserve">In accordance with the decisions made by the Committee at its 12th session (see document </w:t>
      </w:r>
      <w:hyperlink r:id="rId26" w:history="1">
        <w:r w:rsidR="00286326" w:rsidRPr="00286326">
          <w:rPr>
            <w:rStyle w:val="Hyperlink"/>
            <w:szCs w:val="22"/>
          </w:rPr>
          <w:t>CEL/12/2</w:t>
        </w:r>
      </w:hyperlink>
      <w:r w:rsidR="00286326" w:rsidRPr="00286326">
        <w:rPr>
          <w:szCs w:val="22"/>
        </w:rPr>
        <w:t>, paragraphs 16 and 17), the IB presented the new electronic publication of the Locarno Classification (LOCPUB).</w:t>
      </w:r>
    </w:p>
    <w:p w:rsidR="00286326" w:rsidRPr="00286326" w:rsidRDefault="00286326" w:rsidP="00286326">
      <w:pPr>
        <w:spacing w:line="260" w:lineRule="exact"/>
        <w:rPr>
          <w:szCs w:val="22"/>
        </w:rPr>
      </w:pPr>
    </w:p>
    <w:p w:rsidR="00286326" w:rsidRDefault="00757D2D" w:rsidP="00286326">
      <w:pPr>
        <w:spacing w:line="260" w:lineRule="exact"/>
        <w:rPr>
          <w:szCs w:val="22"/>
        </w:rPr>
      </w:pPr>
      <w:r>
        <w:rPr>
          <w:szCs w:val="22"/>
        </w:rPr>
        <w:fldChar w:fldCharType="begin"/>
      </w:r>
      <w:r>
        <w:rPr>
          <w:szCs w:val="22"/>
        </w:rPr>
        <w:instrText xml:space="preserve"> AUTONUM  </w:instrText>
      </w:r>
      <w:r>
        <w:rPr>
          <w:szCs w:val="22"/>
        </w:rPr>
        <w:fldChar w:fldCharType="end"/>
      </w:r>
      <w:r>
        <w:rPr>
          <w:szCs w:val="22"/>
        </w:rPr>
        <w:tab/>
      </w:r>
      <w:r w:rsidR="00286326" w:rsidRPr="00286326">
        <w:rPr>
          <w:szCs w:val="22"/>
        </w:rPr>
        <w:t>With the exception mentioned in paragraph 16 above concerning the dates of entry into force of each edition of the Classification, the Committee expressed satisfaction with the new electronic publication and noted that LOCPUB will go live before the end of the year.</w:t>
      </w:r>
    </w:p>
    <w:p w:rsidR="0021449D" w:rsidRDefault="0021449D" w:rsidP="00286326">
      <w:pPr>
        <w:spacing w:line="260" w:lineRule="exact"/>
        <w:rPr>
          <w:szCs w:val="22"/>
        </w:rPr>
      </w:pPr>
    </w:p>
    <w:p w:rsidR="008173D9" w:rsidRPr="00FC2666" w:rsidRDefault="008173D9" w:rsidP="00B22E15">
      <w:pPr>
        <w:spacing w:line="260" w:lineRule="exact"/>
        <w:rPr>
          <w:caps/>
          <w:szCs w:val="22"/>
        </w:rPr>
      </w:pPr>
    </w:p>
    <w:p w:rsidR="003C6DCB" w:rsidRDefault="003C6DCB" w:rsidP="003C6DCB">
      <w:pPr>
        <w:spacing w:line="260" w:lineRule="exact"/>
        <w:rPr>
          <w:b/>
          <w:caps/>
          <w:szCs w:val="22"/>
        </w:rPr>
      </w:pPr>
      <w:r>
        <w:rPr>
          <w:b/>
          <w:caps/>
          <w:szCs w:val="22"/>
        </w:rPr>
        <w:t>TRANSMISSION</w:t>
      </w:r>
      <w:r w:rsidRPr="0086631E">
        <w:rPr>
          <w:b/>
          <w:caps/>
          <w:szCs w:val="22"/>
        </w:rPr>
        <w:t xml:space="preserve"> OF PROPOSALS </w:t>
      </w:r>
      <w:r>
        <w:rPr>
          <w:b/>
          <w:caps/>
          <w:szCs w:val="22"/>
        </w:rPr>
        <w:t>FROM OFFICES AND FROM THE INTERNATIONAL BUREAU TO THE MEMBERS OF THE COMMITTEE OF EXPERTS (ARTICLE 3(3) OF THE LOCARNO AGREEMENT)</w:t>
      </w:r>
    </w:p>
    <w:p w:rsidR="003C6DCB" w:rsidRPr="00013EC7" w:rsidRDefault="003C6DCB" w:rsidP="003C6DCB">
      <w:pPr>
        <w:spacing w:line="260" w:lineRule="exact"/>
        <w:rPr>
          <w:szCs w:val="22"/>
        </w:rPr>
      </w:pPr>
    </w:p>
    <w:p w:rsidR="003C6DCB" w:rsidRDefault="003C6DCB" w:rsidP="003C6DCB">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27" w:history="1">
        <w:r w:rsidRPr="00CE5AC9">
          <w:rPr>
            <w:rStyle w:val="Hyperlink"/>
            <w:szCs w:val="22"/>
          </w:rPr>
          <w:t>LO132</w:t>
        </w:r>
      </w:hyperlink>
      <w:r>
        <w:rPr>
          <w:szCs w:val="22"/>
        </w:rPr>
        <w:t xml:space="preserve">, </w:t>
      </w:r>
      <w:hyperlink r:id="rId28" w:history="1">
        <w:r w:rsidRPr="0034384A">
          <w:rPr>
            <w:rStyle w:val="Hyperlink"/>
            <w:szCs w:val="22"/>
          </w:rPr>
          <w:t>Annex 7</w:t>
        </w:r>
      </w:hyperlink>
      <w:r>
        <w:rPr>
          <w:szCs w:val="22"/>
        </w:rPr>
        <w:t xml:space="preserve">, </w:t>
      </w:r>
      <w:r w:rsidRPr="003A58E4">
        <w:rPr>
          <w:szCs w:val="22"/>
        </w:rPr>
        <w:t xml:space="preserve">which </w:t>
      </w:r>
      <w:r>
        <w:rPr>
          <w:szCs w:val="22"/>
        </w:rPr>
        <w:t>contained</w:t>
      </w:r>
      <w:r w:rsidRPr="003A58E4">
        <w:rPr>
          <w:szCs w:val="22"/>
        </w:rPr>
        <w:t xml:space="preserve"> </w:t>
      </w:r>
      <w:r>
        <w:rPr>
          <w:szCs w:val="22"/>
        </w:rPr>
        <w:t>a</w:t>
      </w:r>
      <w:r w:rsidRPr="003A58E4">
        <w:rPr>
          <w:szCs w:val="22"/>
        </w:rPr>
        <w:t xml:space="preserve"> </w:t>
      </w:r>
      <w:r>
        <w:rPr>
          <w:szCs w:val="22"/>
        </w:rPr>
        <w:t xml:space="preserve">proposal </w:t>
      </w:r>
      <w:r w:rsidR="007D0F69">
        <w:rPr>
          <w:szCs w:val="22"/>
        </w:rPr>
        <w:t xml:space="preserve">for modifications to the procedure </w:t>
      </w:r>
      <w:r w:rsidR="000D44F3">
        <w:rPr>
          <w:szCs w:val="22"/>
        </w:rPr>
        <w:t xml:space="preserve">for the </w:t>
      </w:r>
      <w:r w:rsidR="007D0F69">
        <w:rPr>
          <w:szCs w:val="22"/>
        </w:rPr>
        <w:t>transmission of proposals</w:t>
      </w:r>
      <w:r w:rsidR="000D44F3">
        <w:rPr>
          <w:szCs w:val="22"/>
        </w:rPr>
        <w:t xml:space="preserve"> to the members of the Committee by the </w:t>
      </w:r>
      <w:r w:rsidR="00400099">
        <w:rPr>
          <w:szCs w:val="22"/>
        </w:rPr>
        <w:t>IB</w:t>
      </w:r>
      <w:r w:rsidRPr="003A58E4">
        <w:rPr>
          <w:szCs w:val="22"/>
        </w:rPr>
        <w:t>.</w:t>
      </w:r>
    </w:p>
    <w:p w:rsidR="003C6DCB" w:rsidRPr="003A58E4" w:rsidRDefault="003C6DCB" w:rsidP="003C6DCB">
      <w:pPr>
        <w:tabs>
          <w:tab w:val="left" w:pos="4120"/>
        </w:tabs>
        <w:spacing w:line="260" w:lineRule="exact"/>
        <w:rPr>
          <w:szCs w:val="22"/>
        </w:rPr>
      </w:pPr>
      <w:r>
        <w:rPr>
          <w:szCs w:val="22"/>
        </w:rPr>
        <w:tab/>
      </w:r>
    </w:p>
    <w:p w:rsidR="003C6DCB" w:rsidRPr="003A58E4" w:rsidRDefault="003C6DCB" w:rsidP="00037B2E">
      <w:pPr>
        <w:spacing w:line="260" w:lineRule="exact"/>
        <w:ind w:left="567"/>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3A7A1D" w:rsidRPr="003A58E4">
        <w:rPr>
          <w:szCs w:val="22"/>
        </w:rPr>
        <w:t xml:space="preserve">The </w:t>
      </w:r>
      <w:r w:rsidR="000D44F3">
        <w:rPr>
          <w:szCs w:val="22"/>
        </w:rPr>
        <w:t xml:space="preserve"> Committee </w:t>
      </w:r>
      <w:r w:rsidR="00757D2D">
        <w:rPr>
          <w:szCs w:val="22"/>
        </w:rPr>
        <w:t>decided</w:t>
      </w:r>
      <w:r w:rsidR="000D44F3">
        <w:rPr>
          <w:szCs w:val="22"/>
        </w:rPr>
        <w:t xml:space="preserve"> that the final version of the working documents for a given session of the Committee continue to be made available on the electronic forum two months before the date of the session</w:t>
      </w:r>
      <w:r w:rsidR="008C09FF">
        <w:rPr>
          <w:szCs w:val="22"/>
        </w:rPr>
        <w:t xml:space="preserve">. </w:t>
      </w:r>
    </w:p>
    <w:p w:rsidR="003C6DCB" w:rsidRDefault="003C6DCB" w:rsidP="003C6DCB">
      <w:pPr>
        <w:spacing w:line="260" w:lineRule="exact"/>
        <w:rPr>
          <w:szCs w:val="22"/>
        </w:rPr>
      </w:pPr>
    </w:p>
    <w:p w:rsidR="00B30146" w:rsidRPr="00FC2666" w:rsidRDefault="00B30146" w:rsidP="00B22E15">
      <w:pPr>
        <w:spacing w:line="260" w:lineRule="exact"/>
        <w:rPr>
          <w:caps/>
          <w:szCs w:val="22"/>
        </w:rPr>
      </w:pPr>
    </w:p>
    <w:p w:rsidR="00B22E15" w:rsidRPr="00B22E15" w:rsidRDefault="003C6DCB" w:rsidP="00B22E15">
      <w:pPr>
        <w:spacing w:line="260" w:lineRule="exact"/>
        <w:rPr>
          <w:b/>
          <w:caps/>
          <w:szCs w:val="22"/>
        </w:rPr>
      </w:pPr>
      <w:r>
        <w:rPr>
          <w:b/>
          <w:caps/>
          <w:szCs w:val="22"/>
        </w:rPr>
        <w:t>periodicity of the session</w:t>
      </w:r>
      <w:r w:rsidR="006A71DB">
        <w:rPr>
          <w:b/>
          <w:caps/>
          <w:szCs w:val="22"/>
        </w:rPr>
        <w:t>S</w:t>
      </w:r>
      <w:r>
        <w:rPr>
          <w:b/>
          <w:caps/>
          <w:szCs w:val="22"/>
        </w:rPr>
        <w:t xml:space="preserve"> of the committee of experts</w:t>
      </w:r>
    </w:p>
    <w:p w:rsidR="00B22E15" w:rsidRPr="00FC2666" w:rsidRDefault="00B22E15" w:rsidP="00B22E15">
      <w:pPr>
        <w:spacing w:line="260" w:lineRule="exact"/>
        <w:rPr>
          <w:caps/>
          <w:szCs w:val="22"/>
        </w:rPr>
      </w:pPr>
    </w:p>
    <w:p w:rsidR="00400D57" w:rsidRDefault="00400D57" w:rsidP="00400D57">
      <w:pPr>
        <w:spacing w:line="260" w:lineRule="exact"/>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Discussions were based on project </w:t>
      </w:r>
      <w:hyperlink r:id="rId29" w:history="1">
        <w:r w:rsidRPr="00CE5AC9">
          <w:rPr>
            <w:rStyle w:val="Hyperlink"/>
            <w:szCs w:val="22"/>
          </w:rPr>
          <w:t>LO1</w:t>
        </w:r>
        <w:r w:rsidR="003C6DCB" w:rsidRPr="00CE5AC9">
          <w:rPr>
            <w:rStyle w:val="Hyperlink"/>
            <w:szCs w:val="22"/>
          </w:rPr>
          <w:t>32</w:t>
        </w:r>
      </w:hyperlink>
      <w:r>
        <w:rPr>
          <w:szCs w:val="22"/>
        </w:rPr>
        <w:t xml:space="preserve">, </w:t>
      </w:r>
      <w:hyperlink r:id="rId30" w:history="1">
        <w:r w:rsidRPr="0034384A">
          <w:rPr>
            <w:rStyle w:val="Hyperlink"/>
            <w:szCs w:val="22"/>
          </w:rPr>
          <w:t xml:space="preserve">Annex </w:t>
        </w:r>
        <w:r w:rsidR="003C6DCB" w:rsidRPr="0034384A">
          <w:rPr>
            <w:rStyle w:val="Hyperlink"/>
            <w:szCs w:val="22"/>
          </w:rPr>
          <w:t>8</w:t>
        </w:r>
      </w:hyperlink>
      <w:r w:rsidRPr="003A58E4">
        <w:rPr>
          <w:szCs w:val="22"/>
        </w:rPr>
        <w:t xml:space="preserve"> </w:t>
      </w:r>
      <w:r>
        <w:rPr>
          <w:szCs w:val="22"/>
        </w:rPr>
        <w:t xml:space="preserve">concerning </w:t>
      </w:r>
      <w:r w:rsidR="007D0F69">
        <w:rPr>
          <w:szCs w:val="22"/>
        </w:rPr>
        <w:t>the periodicity of the sessions of the Committee of Experts</w:t>
      </w:r>
      <w:r w:rsidRPr="003A58E4">
        <w:rPr>
          <w:szCs w:val="22"/>
        </w:rPr>
        <w:t>.</w:t>
      </w:r>
    </w:p>
    <w:p w:rsidR="003C6DCB" w:rsidRDefault="003C6DCB" w:rsidP="00013EC7">
      <w:pPr>
        <w:spacing w:line="260" w:lineRule="exact"/>
        <w:rPr>
          <w:b/>
          <w:caps/>
          <w:szCs w:val="22"/>
        </w:rPr>
      </w:pPr>
    </w:p>
    <w:p w:rsidR="007D0F69" w:rsidRPr="003A58E4" w:rsidRDefault="007D0F69" w:rsidP="00037B2E">
      <w:pPr>
        <w:spacing w:line="260" w:lineRule="exact"/>
        <w:ind w:left="567"/>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r>
      <w:r w:rsidR="003A7A1D" w:rsidRPr="003A58E4">
        <w:rPr>
          <w:szCs w:val="22"/>
        </w:rPr>
        <w:t xml:space="preserve">The </w:t>
      </w:r>
      <w:r w:rsidR="003A7A1D">
        <w:rPr>
          <w:szCs w:val="22"/>
        </w:rPr>
        <w:t xml:space="preserve">Committee </w:t>
      </w:r>
      <w:r w:rsidR="00757D2D">
        <w:rPr>
          <w:szCs w:val="22"/>
        </w:rPr>
        <w:t>agreed</w:t>
      </w:r>
      <w:r w:rsidR="00C51072">
        <w:rPr>
          <w:szCs w:val="22"/>
        </w:rPr>
        <w:t xml:space="preserve"> </w:t>
      </w:r>
      <w:r w:rsidR="00757D2D">
        <w:rPr>
          <w:szCs w:val="22"/>
        </w:rPr>
        <w:t>that it would</w:t>
      </w:r>
      <w:r w:rsidR="00C51072">
        <w:rPr>
          <w:szCs w:val="22"/>
        </w:rPr>
        <w:t xml:space="preserve"> </w:t>
      </w:r>
      <w:r w:rsidR="003A7A1D">
        <w:rPr>
          <w:szCs w:val="22"/>
        </w:rPr>
        <w:t xml:space="preserve">hold its sessions </w:t>
      </w:r>
      <w:r w:rsidR="00C51072">
        <w:rPr>
          <w:szCs w:val="22"/>
        </w:rPr>
        <w:t xml:space="preserve">in principle </w:t>
      </w:r>
      <w:r w:rsidR="003A7A1D">
        <w:rPr>
          <w:szCs w:val="22"/>
        </w:rPr>
        <w:t>once every two years</w:t>
      </w:r>
      <w:r w:rsidR="00C51072">
        <w:rPr>
          <w:szCs w:val="22"/>
        </w:rPr>
        <w:t xml:space="preserve">, </w:t>
      </w:r>
      <w:r w:rsidR="00395530">
        <w:rPr>
          <w:szCs w:val="22"/>
        </w:rPr>
        <w:t>keeping open</w:t>
      </w:r>
      <w:r w:rsidR="00C51072">
        <w:rPr>
          <w:szCs w:val="22"/>
        </w:rPr>
        <w:t xml:space="preserve"> the possibility of </w:t>
      </w:r>
      <w:r w:rsidR="00395530">
        <w:rPr>
          <w:szCs w:val="22"/>
        </w:rPr>
        <w:t>modifying the periodicity of the sessions</w:t>
      </w:r>
      <w:r w:rsidR="00C51072">
        <w:rPr>
          <w:szCs w:val="22"/>
        </w:rPr>
        <w:t xml:space="preserve"> if necessary</w:t>
      </w:r>
      <w:r w:rsidR="003A7A1D">
        <w:rPr>
          <w:szCs w:val="22"/>
        </w:rPr>
        <w:t xml:space="preserve">.  </w:t>
      </w:r>
    </w:p>
    <w:p w:rsidR="003C6DCB" w:rsidRPr="00FC2666" w:rsidRDefault="003C6DCB" w:rsidP="00013EC7">
      <w:pPr>
        <w:spacing w:line="260" w:lineRule="exact"/>
        <w:rPr>
          <w:caps/>
          <w:szCs w:val="22"/>
        </w:rPr>
      </w:pPr>
    </w:p>
    <w:p w:rsidR="007D0F69" w:rsidRPr="00FC2666" w:rsidRDefault="007D0F69" w:rsidP="00013EC7">
      <w:pPr>
        <w:spacing w:line="260" w:lineRule="exact"/>
        <w:rPr>
          <w:caps/>
          <w:szCs w:val="22"/>
        </w:rPr>
      </w:pPr>
    </w:p>
    <w:p w:rsidR="00A713CD" w:rsidRDefault="00A713CD" w:rsidP="00013EC7">
      <w:pPr>
        <w:spacing w:line="260" w:lineRule="exact"/>
        <w:rPr>
          <w:b/>
          <w:caps/>
          <w:szCs w:val="22"/>
        </w:rPr>
      </w:pPr>
      <w:r w:rsidRPr="00013EC7">
        <w:rPr>
          <w:b/>
          <w:caps/>
          <w:szCs w:val="22"/>
        </w:rPr>
        <w:t>NEXT SESSION OF THE committee</w:t>
      </w:r>
      <w:r w:rsidR="003C6DCB">
        <w:rPr>
          <w:b/>
          <w:caps/>
          <w:szCs w:val="22"/>
        </w:rPr>
        <w:t xml:space="preserve"> of experts</w:t>
      </w:r>
      <w:r w:rsidR="005D4778">
        <w:rPr>
          <w:b/>
          <w:caps/>
          <w:szCs w:val="22"/>
        </w:rPr>
        <w:t xml:space="preserve">. </w:t>
      </w:r>
      <w:r w:rsidR="005D4778" w:rsidRPr="005D4778">
        <w:rPr>
          <w:b/>
          <w:szCs w:val="22"/>
        </w:rPr>
        <w:t xml:space="preserve"> </w:t>
      </w:r>
      <w:r w:rsidR="005D4778" w:rsidRPr="0064562E">
        <w:rPr>
          <w:b/>
          <w:szCs w:val="22"/>
        </w:rPr>
        <w:t>ENTRY INTO FORCE OF THE</w:t>
      </w:r>
      <w:r w:rsidR="005D4778">
        <w:rPr>
          <w:b/>
          <w:szCs w:val="22"/>
        </w:rPr>
        <w:t xml:space="preserve"> NEXT EDITION</w:t>
      </w:r>
    </w:p>
    <w:p w:rsidR="00511E07" w:rsidRDefault="00511E07" w:rsidP="00511E07">
      <w:pPr>
        <w:spacing w:line="260" w:lineRule="exact"/>
        <w:rPr>
          <w:caps/>
          <w:szCs w:val="22"/>
        </w:rPr>
      </w:pPr>
    </w:p>
    <w:p w:rsidR="0064562E" w:rsidRDefault="00E6559E" w:rsidP="003C6DCB">
      <w:pPr>
        <w:spacing w:line="260" w:lineRule="exact"/>
        <w:ind w:left="550"/>
        <w:rPr>
          <w:b/>
          <w:caps/>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ab/>
        <w:t xml:space="preserve">The Committee </w:t>
      </w:r>
      <w:r>
        <w:rPr>
          <w:szCs w:val="22"/>
        </w:rPr>
        <w:t xml:space="preserve">agreed </w:t>
      </w:r>
      <w:r w:rsidRPr="000922FE">
        <w:rPr>
          <w:szCs w:val="22"/>
        </w:rPr>
        <w:t>that</w:t>
      </w:r>
      <w:r>
        <w:rPr>
          <w:szCs w:val="22"/>
        </w:rPr>
        <w:t xml:space="preserve"> the next (</w:t>
      </w:r>
      <w:r w:rsidR="00220BFF">
        <w:rPr>
          <w:szCs w:val="22"/>
        </w:rPr>
        <w:t>fourteen</w:t>
      </w:r>
      <w:r>
        <w:rPr>
          <w:szCs w:val="22"/>
        </w:rPr>
        <w:t xml:space="preserve">th) session would be held in Geneva in the </w:t>
      </w:r>
      <w:r w:rsidR="00C45D04">
        <w:rPr>
          <w:szCs w:val="22"/>
        </w:rPr>
        <w:t>fall</w:t>
      </w:r>
      <w:r>
        <w:rPr>
          <w:szCs w:val="22"/>
        </w:rPr>
        <w:t xml:space="preserve"> of 201</w:t>
      </w:r>
      <w:r w:rsidR="00220BFF">
        <w:rPr>
          <w:szCs w:val="22"/>
        </w:rPr>
        <w:t>9</w:t>
      </w:r>
      <w:r>
        <w:rPr>
          <w:szCs w:val="22"/>
        </w:rPr>
        <w:t>.</w:t>
      </w:r>
    </w:p>
    <w:p w:rsidR="0064562E" w:rsidRDefault="0064562E" w:rsidP="00013EC7">
      <w:pPr>
        <w:spacing w:line="260" w:lineRule="exact"/>
        <w:rPr>
          <w:caps/>
          <w:szCs w:val="22"/>
        </w:rPr>
      </w:pPr>
    </w:p>
    <w:p w:rsidR="005D4778" w:rsidRDefault="005D4778" w:rsidP="005D4778">
      <w:pPr>
        <w:rPr>
          <w:szCs w:val="22"/>
        </w:rPr>
      </w:pPr>
      <w:r>
        <w:rPr>
          <w:szCs w:val="22"/>
        </w:rPr>
        <w:fldChar w:fldCharType="begin"/>
      </w:r>
      <w:r>
        <w:rPr>
          <w:szCs w:val="22"/>
        </w:rPr>
        <w:instrText xml:space="preserve"> AUTONUM  </w:instrText>
      </w:r>
      <w:r>
        <w:rPr>
          <w:szCs w:val="22"/>
        </w:rPr>
        <w:fldChar w:fldCharType="end"/>
      </w:r>
      <w:r>
        <w:rPr>
          <w:szCs w:val="22"/>
        </w:rPr>
        <w:tab/>
        <w:t xml:space="preserve">The Committee noted that the IB would prepare and publish online the new (twelfth) edition of the Classification, in English and in French, in December 2018 and that the notification </w:t>
      </w:r>
      <w:r w:rsidR="00400099">
        <w:rPr>
          <w:szCs w:val="22"/>
        </w:rPr>
        <w:t xml:space="preserve">of entry into force </w:t>
      </w:r>
      <w:r>
        <w:rPr>
          <w:szCs w:val="22"/>
        </w:rPr>
        <w:t xml:space="preserve">would be sent </w:t>
      </w:r>
      <w:r w:rsidR="00400099">
        <w:rPr>
          <w:szCs w:val="22"/>
        </w:rPr>
        <w:t xml:space="preserve">by the end of </w:t>
      </w:r>
      <w:r>
        <w:rPr>
          <w:szCs w:val="22"/>
        </w:rPr>
        <w:t>June 2018.</w:t>
      </w:r>
    </w:p>
    <w:p w:rsidR="005D4778" w:rsidRDefault="005D4778" w:rsidP="005D4778">
      <w:pPr>
        <w:rPr>
          <w:szCs w:val="22"/>
        </w:rPr>
      </w:pPr>
    </w:p>
    <w:p w:rsidR="005D4778" w:rsidRDefault="005D4778" w:rsidP="005D4778">
      <w:pPr>
        <w:ind w:left="567"/>
        <w:rPr>
          <w:szCs w:val="22"/>
        </w:rPr>
      </w:pPr>
      <w:r>
        <w:rPr>
          <w:szCs w:val="22"/>
        </w:rPr>
        <w:fldChar w:fldCharType="begin"/>
      </w:r>
      <w:r>
        <w:rPr>
          <w:szCs w:val="22"/>
        </w:rPr>
        <w:instrText xml:space="preserve"> AUTONUM  </w:instrText>
      </w:r>
      <w:r>
        <w:rPr>
          <w:szCs w:val="22"/>
        </w:rPr>
        <w:fldChar w:fldCharType="end"/>
      </w:r>
      <w:r>
        <w:rPr>
          <w:szCs w:val="22"/>
        </w:rPr>
        <w:tab/>
        <w:t>The Committee agreed that amendments and additions to the eleventh edition of the Classification would enter into force on January 1, 2019.</w:t>
      </w:r>
    </w:p>
    <w:p w:rsidR="005D4778" w:rsidRDefault="005D4778" w:rsidP="005D4778">
      <w:pPr>
        <w:rPr>
          <w:szCs w:val="22"/>
        </w:rPr>
      </w:pPr>
    </w:p>
    <w:p w:rsidR="005D4778" w:rsidRDefault="005D4778" w:rsidP="005D4778">
      <w:pPr>
        <w:rPr>
          <w:szCs w:val="22"/>
        </w:rPr>
      </w:pPr>
    </w:p>
    <w:p w:rsidR="00A713CD" w:rsidRDefault="00A713CD" w:rsidP="00013EC7">
      <w:pPr>
        <w:spacing w:line="260" w:lineRule="exact"/>
        <w:rPr>
          <w:b/>
          <w:caps/>
          <w:szCs w:val="22"/>
        </w:rPr>
      </w:pPr>
      <w:r w:rsidRPr="00013EC7">
        <w:rPr>
          <w:b/>
          <w:caps/>
          <w:szCs w:val="22"/>
        </w:rPr>
        <w:t>closing of the SESSION</w:t>
      </w:r>
    </w:p>
    <w:p w:rsidR="00013EC7" w:rsidRPr="00013EC7" w:rsidRDefault="00013EC7" w:rsidP="00013EC7">
      <w:pPr>
        <w:spacing w:line="260" w:lineRule="exact"/>
        <w:rPr>
          <w:caps/>
          <w:szCs w:val="22"/>
        </w:rPr>
      </w:pPr>
    </w:p>
    <w:p w:rsidR="00A713CD" w:rsidRPr="003A58E4" w:rsidRDefault="00A713CD" w:rsidP="0064562E">
      <w:pPr>
        <w:rPr>
          <w:szCs w:val="22"/>
        </w:rPr>
      </w:pPr>
      <w:r w:rsidRPr="003A58E4">
        <w:rPr>
          <w:szCs w:val="22"/>
        </w:rPr>
        <w:fldChar w:fldCharType="begin"/>
      </w:r>
      <w:r w:rsidRPr="003A58E4">
        <w:rPr>
          <w:szCs w:val="22"/>
        </w:rPr>
        <w:instrText xml:space="preserve"> AUTONUM </w:instrText>
      </w:r>
      <w:r w:rsidRPr="003A58E4">
        <w:rPr>
          <w:szCs w:val="22"/>
        </w:rPr>
        <w:fldChar w:fldCharType="end"/>
      </w:r>
      <w:r w:rsidRPr="003A58E4">
        <w:rPr>
          <w:szCs w:val="22"/>
        </w:rPr>
        <w:t xml:space="preserve"> </w:t>
      </w:r>
      <w:r w:rsidRPr="003A58E4">
        <w:rPr>
          <w:szCs w:val="22"/>
        </w:rPr>
        <w:tab/>
        <w:t>The Chair closed the session.</w:t>
      </w:r>
    </w:p>
    <w:p w:rsidR="00774943" w:rsidRDefault="00774943">
      <w:pPr>
        <w:rPr>
          <w:szCs w:val="22"/>
        </w:rPr>
      </w:pPr>
      <w:r>
        <w:rPr>
          <w:szCs w:val="22"/>
        </w:rPr>
        <w:br w:type="page"/>
      </w:r>
    </w:p>
    <w:p w:rsidR="00A713CD" w:rsidRDefault="00A713CD" w:rsidP="0064562E">
      <w:pPr>
        <w:pStyle w:val="BodyText"/>
        <w:spacing w:after="0"/>
        <w:ind w:right="-1"/>
        <w:rPr>
          <w:szCs w:val="22"/>
        </w:rPr>
      </w:pPr>
    </w:p>
    <w:p w:rsidR="00774943" w:rsidRPr="00C007F4" w:rsidRDefault="00774943" w:rsidP="00774943">
      <w:pPr>
        <w:pStyle w:val="DecisionInvitingPara"/>
        <w:rPr>
          <w:sz w:val="22"/>
          <w:szCs w:val="22"/>
        </w:rPr>
      </w:pPr>
      <w:r>
        <w:rPr>
          <w:sz w:val="22"/>
          <w:szCs w:val="22"/>
        </w:rPr>
        <w:t>29</w:t>
      </w:r>
      <w:r w:rsidRPr="00C007F4">
        <w:rPr>
          <w:sz w:val="22"/>
          <w:szCs w:val="22"/>
        </w:rPr>
        <w:t>.</w:t>
      </w:r>
      <w:r w:rsidRPr="00C007F4">
        <w:rPr>
          <w:sz w:val="22"/>
          <w:szCs w:val="22"/>
        </w:rPr>
        <w:tab/>
        <w:t xml:space="preserve">The Committee of Experts unanimously adopted this report by electronic means on </w:t>
      </w:r>
      <w:r>
        <w:rPr>
          <w:sz w:val="22"/>
          <w:szCs w:val="22"/>
        </w:rPr>
        <w:t>December </w:t>
      </w:r>
      <w:r w:rsidR="00E01095">
        <w:rPr>
          <w:sz w:val="22"/>
          <w:szCs w:val="22"/>
        </w:rPr>
        <w:t>2</w:t>
      </w:r>
      <w:r w:rsidR="004E0790">
        <w:rPr>
          <w:sz w:val="22"/>
          <w:szCs w:val="22"/>
        </w:rPr>
        <w:t>2</w:t>
      </w:r>
      <w:r>
        <w:rPr>
          <w:sz w:val="22"/>
          <w:szCs w:val="22"/>
        </w:rPr>
        <w:t>, 2017</w:t>
      </w:r>
      <w:r w:rsidRPr="00C007F4">
        <w:rPr>
          <w:sz w:val="22"/>
          <w:szCs w:val="22"/>
        </w:rPr>
        <w:t>.</w:t>
      </w:r>
    </w:p>
    <w:p w:rsidR="0064562E" w:rsidRDefault="0064562E" w:rsidP="0064562E">
      <w:pPr>
        <w:pStyle w:val="BodyText"/>
        <w:spacing w:after="0"/>
        <w:ind w:right="-1"/>
        <w:rPr>
          <w:szCs w:val="22"/>
        </w:rPr>
      </w:pPr>
    </w:p>
    <w:p w:rsidR="00A713CD" w:rsidRPr="003A58E4" w:rsidRDefault="00A713CD" w:rsidP="0064562E">
      <w:pPr>
        <w:pStyle w:val="Endofdocument"/>
        <w:spacing w:after="0" w:line="240" w:lineRule="auto"/>
        <w:rPr>
          <w:sz w:val="22"/>
          <w:szCs w:val="22"/>
        </w:rPr>
      </w:pPr>
      <w:r w:rsidRPr="003A58E4">
        <w:rPr>
          <w:sz w:val="22"/>
          <w:szCs w:val="22"/>
        </w:rPr>
        <w:t>[Annexes follow]</w:t>
      </w:r>
    </w:p>
    <w:sectPr w:rsidR="00A713CD" w:rsidRPr="003A58E4" w:rsidSect="00903948">
      <w:headerReference w:type="default" r:id="rId3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3F" w:rsidRDefault="00A95D3F">
      <w:r>
        <w:separator/>
      </w:r>
    </w:p>
  </w:endnote>
  <w:endnote w:type="continuationSeparator" w:id="0">
    <w:p w:rsidR="00A95D3F" w:rsidRDefault="00A95D3F" w:rsidP="003B38C1">
      <w:r>
        <w:separator/>
      </w:r>
    </w:p>
    <w:p w:rsidR="00A95D3F" w:rsidRPr="003B38C1" w:rsidRDefault="00A95D3F" w:rsidP="003B38C1">
      <w:pPr>
        <w:spacing w:after="60"/>
        <w:rPr>
          <w:sz w:val="17"/>
        </w:rPr>
      </w:pPr>
      <w:r>
        <w:rPr>
          <w:sz w:val="17"/>
        </w:rPr>
        <w:t>[Endnote continued from previous page]</w:t>
      </w:r>
    </w:p>
  </w:endnote>
  <w:endnote w:type="continuationNotice" w:id="1">
    <w:p w:rsidR="00A95D3F" w:rsidRPr="003B38C1" w:rsidRDefault="00A95D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3F" w:rsidRDefault="00A95D3F">
      <w:r>
        <w:separator/>
      </w:r>
    </w:p>
  </w:footnote>
  <w:footnote w:type="continuationSeparator" w:id="0">
    <w:p w:rsidR="00A95D3F" w:rsidRDefault="00A95D3F" w:rsidP="008B60B2">
      <w:r>
        <w:separator/>
      </w:r>
    </w:p>
    <w:p w:rsidR="00A95D3F" w:rsidRPr="00ED77FB" w:rsidRDefault="00A95D3F" w:rsidP="008B60B2">
      <w:pPr>
        <w:spacing w:after="60"/>
        <w:rPr>
          <w:sz w:val="17"/>
          <w:szCs w:val="17"/>
        </w:rPr>
      </w:pPr>
      <w:r w:rsidRPr="00ED77FB">
        <w:rPr>
          <w:sz w:val="17"/>
          <w:szCs w:val="17"/>
        </w:rPr>
        <w:t>[Footnote continued from previous page]</w:t>
      </w:r>
    </w:p>
  </w:footnote>
  <w:footnote w:type="continuationNotice" w:id="1">
    <w:p w:rsidR="00A95D3F" w:rsidRPr="00ED77FB" w:rsidRDefault="00A95D3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AEC" w:rsidRDefault="001D3AEC" w:rsidP="00477D6B">
    <w:pPr>
      <w:jc w:val="right"/>
    </w:pPr>
    <w:bookmarkStart w:id="6" w:name="Code2"/>
    <w:bookmarkEnd w:id="6"/>
    <w:r>
      <w:t>C</w:t>
    </w:r>
    <w:r w:rsidR="004C1399">
      <w:t>EL</w:t>
    </w:r>
    <w:r>
      <w:t>/</w:t>
    </w:r>
    <w:r w:rsidR="004C1399">
      <w:t>1</w:t>
    </w:r>
    <w:r w:rsidR="00274146">
      <w:t>3</w:t>
    </w:r>
    <w:r>
      <w:t>/2</w:t>
    </w:r>
  </w:p>
  <w:p w:rsidR="001D3AEC" w:rsidRDefault="001D3AEC" w:rsidP="00477D6B">
    <w:pPr>
      <w:jc w:val="right"/>
    </w:pPr>
    <w:r>
      <w:t xml:space="preserve">page </w:t>
    </w:r>
    <w:r>
      <w:fldChar w:fldCharType="begin"/>
    </w:r>
    <w:r>
      <w:instrText xml:space="preserve"> PAGE  \* MERGEFORMAT </w:instrText>
    </w:r>
    <w:r>
      <w:fldChar w:fldCharType="separate"/>
    </w:r>
    <w:r w:rsidR="00E215F0">
      <w:rPr>
        <w:noProof/>
      </w:rPr>
      <w:t>3</w:t>
    </w:r>
    <w:r>
      <w:fldChar w:fldCharType="end"/>
    </w:r>
  </w:p>
  <w:p w:rsidR="001D3AEC" w:rsidRDefault="001D3AE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B90AB0"/>
    <w:multiLevelType w:val="multilevel"/>
    <w:tmpl w:val="6412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3BB0FEF"/>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621204"/>
    <w:multiLevelType w:val="hybridMultilevel"/>
    <w:tmpl w:val="E9DE87F8"/>
    <w:lvl w:ilvl="0" w:tplc="D45A3C3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1B547A5"/>
    <w:multiLevelType w:val="hybridMultilevel"/>
    <w:tmpl w:val="96BC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429AB"/>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6C179AA"/>
    <w:multiLevelType w:val="hybridMultilevel"/>
    <w:tmpl w:val="2536F58E"/>
    <w:lvl w:ilvl="0" w:tplc="D4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AF54C1"/>
    <w:multiLevelType w:val="multilevel"/>
    <w:tmpl w:val="73DC4A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B4B72C0"/>
    <w:multiLevelType w:val="hybridMultilevel"/>
    <w:tmpl w:val="FD20629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401F2102"/>
    <w:multiLevelType w:val="multilevel"/>
    <w:tmpl w:val="980C9F38"/>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1702"/>
        </w:tabs>
        <w:ind w:left="1702" w:hanging="567"/>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B858F3"/>
    <w:multiLevelType w:val="multilevel"/>
    <w:tmpl w:val="971A3E5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3663502"/>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37C117C"/>
    <w:multiLevelType w:val="hybridMultilevel"/>
    <w:tmpl w:val="BCEEA7C2"/>
    <w:lvl w:ilvl="0" w:tplc="CDC0BE5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596532E1"/>
    <w:multiLevelType w:val="hybridMultilevel"/>
    <w:tmpl w:val="7A00D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C7962E2"/>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0E90676"/>
    <w:multiLevelType w:val="multilevel"/>
    <w:tmpl w:val="5F0486FC"/>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sz w:val="22"/>
      </w:rPr>
    </w:lvl>
    <w:lvl w:ilvl="2">
      <w:start w:val="1"/>
      <w:numFmt w:val="lowerRoman"/>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1702"/>
        </w:tabs>
        <w:ind w:left="1702" w:hanging="567"/>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66F0550D"/>
    <w:multiLevelType w:val="hybridMultilevel"/>
    <w:tmpl w:val="7D521CC2"/>
    <w:lvl w:ilvl="0" w:tplc="374EF952">
      <w:start w:val="1"/>
      <w:numFmt w:val="lowerRoman"/>
      <w:lvlRestart w:val="0"/>
      <w:lvlText w:val="(%1)"/>
      <w:lvlJc w:val="left"/>
      <w:pPr>
        <w:tabs>
          <w:tab w:val="num" w:pos="1134"/>
        </w:tabs>
        <w:ind w:left="1134" w:hanging="567"/>
      </w:pPr>
      <w:rPr>
        <w:rFonts w:hint="default"/>
        <w:sz w:val="22"/>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nsid w:val="708314EC"/>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38875B8"/>
    <w:multiLevelType w:val="hybridMultilevel"/>
    <w:tmpl w:val="4462F342"/>
    <w:lvl w:ilvl="0" w:tplc="0409001B">
      <w:start w:val="1"/>
      <w:numFmt w:val="lowerRoman"/>
      <w:lvlText w:val="%1."/>
      <w:lvlJc w:val="righ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4"/>
  </w:num>
  <w:num w:numId="2">
    <w:abstractNumId w:val="14"/>
  </w:num>
  <w:num w:numId="3">
    <w:abstractNumId w:val="0"/>
  </w:num>
  <w:num w:numId="4">
    <w:abstractNumId w:val="16"/>
  </w:num>
  <w:num w:numId="5">
    <w:abstractNumId w:val="1"/>
  </w:num>
  <w:num w:numId="6">
    <w:abstractNumId w:val="5"/>
  </w:num>
  <w:num w:numId="7">
    <w:abstractNumId w:val="2"/>
  </w:num>
  <w:num w:numId="8">
    <w:abstractNumId w:val="18"/>
  </w:num>
  <w:num w:numId="9">
    <w:abstractNumId w:val="3"/>
  </w:num>
  <w:num w:numId="10">
    <w:abstractNumId w:val="17"/>
  </w:num>
  <w:num w:numId="11">
    <w:abstractNumId w:val="21"/>
  </w:num>
  <w:num w:numId="12">
    <w:abstractNumId w:val="24"/>
  </w:num>
  <w:num w:numId="13">
    <w:abstractNumId w:val="8"/>
  </w:num>
  <w:num w:numId="14">
    <w:abstractNumId w:val="15"/>
  </w:num>
  <w:num w:numId="15">
    <w:abstractNumId w:val="7"/>
  </w:num>
  <w:num w:numId="16">
    <w:abstractNumId w:val="12"/>
  </w:num>
  <w:num w:numId="17">
    <w:abstractNumId w:val="10"/>
  </w:num>
  <w:num w:numId="18">
    <w:abstractNumId w:val="20"/>
  </w:num>
  <w:num w:numId="19">
    <w:abstractNumId w:val="6"/>
  </w:num>
  <w:num w:numId="20">
    <w:abstractNumId w:val="19"/>
  </w:num>
  <w:num w:numId="21">
    <w:abstractNumId w:val="9"/>
  </w:num>
  <w:num w:numId="22">
    <w:abstractNumId w:val="23"/>
  </w:num>
  <w:num w:numId="23">
    <w:abstractNumId w:val="11"/>
  </w:num>
  <w:num w:numId="24">
    <w:abstractNumId w:val="25"/>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894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48"/>
    <w:rsid w:val="00001461"/>
    <w:rsid w:val="000042C0"/>
    <w:rsid w:val="0000576F"/>
    <w:rsid w:val="00012BDF"/>
    <w:rsid w:val="00013EC7"/>
    <w:rsid w:val="00023BE3"/>
    <w:rsid w:val="00025858"/>
    <w:rsid w:val="00027DBE"/>
    <w:rsid w:val="000331EA"/>
    <w:rsid w:val="000352DF"/>
    <w:rsid w:val="00037B2E"/>
    <w:rsid w:val="00043CAA"/>
    <w:rsid w:val="0005216A"/>
    <w:rsid w:val="00053C6C"/>
    <w:rsid w:val="00055B5F"/>
    <w:rsid w:val="000655CA"/>
    <w:rsid w:val="00065C74"/>
    <w:rsid w:val="00066DA5"/>
    <w:rsid w:val="00067B36"/>
    <w:rsid w:val="00067CFD"/>
    <w:rsid w:val="00070280"/>
    <w:rsid w:val="00071219"/>
    <w:rsid w:val="00075432"/>
    <w:rsid w:val="00075FA3"/>
    <w:rsid w:val="000809E9"/>
    <w:rsid w:val="00081689"/>
    <w:rsid w:val="0008373D"/>
    <w:rsid w:val="00092141"/>
    <w:rsid w:val="000922FE"/>
    <w:rsid w:val="0009471F"/>
    <w:rsid w:val="000968ED"/>
    <w:rsid w:val="000B0218"/>
    <w:rsid w:val="000B07D9"/>
    <w:rsid w:val="000B4323"/>
    <w:rsid w:val="000C065E"/>
    <w:rsid w:val="000C379F"/>
    <w:rsid w:val="000D1070"/>
    <w:rsid w:val="000D44F3"/>
    <w:rsid w:val="000D4DC3"/>
    <w:rsid w:val="000E0B4B"/>
    <w:rsid w:val="000E3CA1"/>
    <w:rsid w:val="000E6B59"/>
    <w:rsid w:val="000F5E56"/>
    <w:rsid w:val="000F6970"/>
    <w:rsid w:val="00125B5F"/>
    <w:rsid w:val="00127BC5"/>
    <w:rsid w:val="0013284B"/>
    <w:rsid w:val="00133089"/>
    <w:rsid w:val="001362EE"/>
    <w:rsid w:val="00142529"/>
    <w:rsid w:val="001442B8"/>
    <w:rsid w:val="00155FEF"/>
    <w:rsid w:val="00157411"/>
    <w:rsid w:val="001601F2"/>
    <w:rsid w:val="001832A6"/>
    <w:rsid w:val="0019476D"/>
    <w:rsid w:val="001952B5"/>
    <w:rsid w:val="001C3FE2"/>
    <w:rsid w:val="001C613E"/>
    <w:rsid w:val="001C6DCF"/>
    <w:rsid w:val="001D01C2"/>
    <w:rsid w:val="001D3752"/>
    <w:rsid w:val="001D3AEC"/>
    <w:rsid w:val="001E4C8B"/>
    <w:rsid w:val="001E6781"/>
    <w:rsid w:val="001F1590"/>
    <w:rsid w:val="001F47FF"/>
    <w:rsid w:val="001F7FD7"/>
    <w:rsid w:val="00201F06"/>
    <w:rsid w:val="00207F22"/>
    <w:rsid w:val="00211569"/>
    <w:rsid w:val="0021449D"/>
    <w:rsid w:val="00214A27"/>
    <w:rsid w:val="002150AF"/>
    <w:rsid w:val="00215AB6"/>
    <w:rsid w:val="00220BFF"/>
    <w:rsid w:val="0022236E"/>
    <w:rsid w:val="0022248E"/>
    <w:rsid w:val="002231C9"/>
    <w:rsid w:val="00230AC0"/>
    <w:rsid w:val="002363A7"/>
    <w:rsid w:val="002426FF"/>
    <w:rsid w:val="002427A9"/>
    <w:rsid w:val="002434A8"/>
    <w:rsid w:val="0024387E"/>
    <w:rsid w:val="00245BD4"/>
    <w:rsid w:val="002620A7"/>
    <w:rsid w:val="0026253B"/>
    <w:rsid w:val="002634C4"/>
    <w:rsid w:val="00265674"/>
    <w:rsid w:val="002734E5"/>
    <w:rsid w:val="00274146"/>
    <w:rsid w:val="00275D85"/>
    <w:rsid w:val="00282D4F"/>
    <w:rsid w:val="00286326"/>
    <w:rsid w:val="00287F88"/>
    <w:rsid w:val="002928D3"/>
    <w:rsid w:val="002B21C2"/>
    <w:rsid w:val="002B4787"/>
    <w:rsid w:val="002D108C"/>
    <w:rsid w:val="002D1A71"/>
    <w:rsid w:val="002F1FE6"/>
    <w:rsid w:val="002F2C59"/>
    <w:rsid w:val="002F3D61"/>
    <w:rsid w:val="002F4E68"/>
    <w:rsid w:val="0030487C"/>
    <w:rsid w:val="00305576"/>
    <w:rsid w:val="00305639"/>
    <w:rsid w:val="00305875"/>
    <w:rsid w:val="00312F7F"/>
    <w:rsid w:val="00313249"/>
    <w:rsid w:val="003216E2"/>
    <w:rsid w:val="00322243"/>
    <w:rsid w:val="00322D5F"/>
    <w:rsid w:val="00325E22"/>
    <w:rsid w:val="00330E60"/>
    <w:rsid w:val="00341970"/>
    <w:rsid w:val="0034384A"/>
    <w:rsid w:val="00343F38"/>
    <w:rsid w:val="00344B09"/>
    <w:rsid w:val="003453FA"/>
    <w:rsid w:val="00347976"/>
    <w:rsid w:val="00357A6C"/>
    <w:rsid w:val="00361450"/>
    <w:rsid w:val="00363AEA"/>
    <w:rsid w:val="003673CF"/>
    <w:rsid w:val="003742F7"/>
    <w:rsid w:val="003845C1"/>
    <w:rsid w:val="00395530"/>
    <w:rsid w:val="003A18EE"/>
    <w:rsid w:val="003A47EA"/>
    <w:rsid w:val="003A6F89"/>
    <w:rsid w:val="003A7A1D"/>
    <w:rsid w:val="003B25D6"/>
    <w:rsid w:val="003B38C1"/>
    <w:rsid w:val="003C4968"/>
    <w:rsid w:val="003C6DCB"/>
    <w:rsid w:val="003C6E56"/>
    <w:rsid w:val="003F48A2"/>
    <w:rsid w:val="00400099"/>
    <w:rsid w:val="00400D57"/>
    <w:rsid w:val="00401E0C"/>
    <w:rsid w:val="004079F5"/>
    <w:rsid w:val="00412DCC"/>
    <w:rsid w:val="004161CE"/>
    <w:rsid w:val="0042289E"/>
    <w:rsid w:val="00423E3E"/>
    <w:rsid w:val="0042407D"/>
    <w:rsid w:val="00424961"/>
    <w:rsid w:val="00427AF4"/>
    <w:rsid w:val="00432ECA"/>
    <w:rsid w:val="00437A9A"/>
    <w:rsid w:val="00440C1C"/>
    <w:rsid w:val="00446AF2"/>
    <w:rsid w:val="004647DA"/>
    <w:rsid w:val="004719A2"/>
    <w:rsid w:val="00474062"/>
    <w:rsid w:val="00477D6B"/>
    <w:rsid w:val="00481560"/>
    <w:rsid w:val="00484380"/>
    <w:rsid w:val="004845A0"/>
    <w:rsid w:val="00493533"/>
    <w:rsid w:val="004A3EF8"/>
    <w:rsid w:val="004A44A6"/>
    <w:rsid w:val="004A6335"/>
    <w:rsid w:val="004B0C63"/>
    <w:rsid w:val="004C1399"/>
    <w:rsid w:val="004C6FDF"/>
    <w:rsid w:val="004D3AF2"/>
    <w:rsid w:val="004D7984"/>
    <w:rsid w:val="004E0790"/>
    <w:rsid w:val="004E44EE"/>
    <w:rsid w:val="004E5FDD"/>
    <w:rsid w:val="004F31B1"/>
    <w:rsid w:val="004F5A85"/>
    <w:rsid w:val="004F78C3"/>
    <w:rsid w:val="005019FF"/>
    <w:rsid w:val="005048D2"/>
    <w:rsid w:val="00504DF2"/>
    <w:rsid w:val="005068C2"/>
    <w:rsid w:val="0050710B"/>
    <w:rsid w:val="00511E07"/>
    <w:rsid w:val="005225BE"/>
    <w:rsid w:val="00524741"/>
    <w:rsid w:val="0053057A"/>
    <w:rsid w:val="005315FF"/>
    <w:rsid w:val="0053203A"/>
    <w:rsid w:val="00540FE1"/>
    <w:rsid w:val="00547F14"/>
    <w:rsid w:val="00553FCE"/>
    <w:rsid w:val="00554081"/>
    <w:rsid w:val="00560A29"/>
    <w:rsid w:val="00563846"/>
    <w:rsid w:val="0057033B"/>
    <w:rsid w:val="00574D82"/>
    <w:rsid w:val="00581AD5"/>
    <w:rsid w:val="005907E5"/>
    <w:rsid w:val="005A2AE7"/>
    <w:rsid w:val="005A33B2"/>
    <w:rsid w:val="005A49F5"/>
    <w:rsid w:val="005A73A4"/>
    <w:rsid w:val="005B243C"/>
    <w:rsid w:val="005B31FF"/>
    <w:rsid w:val="005B6775"/>
    <w:rsid w:val="005C474D"/>
    <w:rsid w:val="005C6649"/>
    <w:rsid w:val="005D1B88"/>
    <w:rsid w:val="005D4778"/>
    <w:rsid w:val="005D544B"/>
    <w:rsid w:val="005D69EC"/>
    <w:rsid w:val="005E33FA"/>
    <w:rsid w:val="005E45A3"/>
    <w:rsid w:val="006007B1"/>
    <w:rsid w:val="006010CC"/>
    <w:rsid w:val="006029A3"/>
    <w:rsid w:val="00603863"/>
    <w:rsid w:val="006044B5"/>
    <w:rsid w:val="00604B40"/>
    <w:rsid w:val="00605273"/>
    <w:rsid w:val="00605827"/>
    <w:rsid w:val="00614B14"/>
    <w:rsid w:val="00614B29"/>
    <w:rsid w:val="00616F1F"/>
    <w:rsid w:val="00625DED"/>
    <w:rsid w:val="00630DDD"/>
    <w:rsid w:val="006334F0"/>
    <w:rsid w:val="00636735"/>
    <w:rsid w:val="00642DB5"/>
    <w:rsid w:val="0064562E"/>
    <w:rsid w:val="00646050"/>
    <w:rsid w:val="006474FD"/>
    <w:rsid w:val="0066049C"/>
    <w:rsid w:val="006713CA"/>
    <w:rsid w:val="00672E13"/>
    <w:rsid w:val="00674127"/>
    <w:rsid w:val="00676C5C"/>
    <w:rsid w:val="006948DE"/>
    <w:rsid w:val="006A2DC5"/>
    <w:rsid w:val="006A3AB5"/>
    <w:rsid w:val="006A5D2B"/>
    <w:rsid w:val="006A71DB"/>
    <w:rsid w:val="006B1001"/>
    <w:rsid w:val="006B4E62"/>
    <w:rsid w:val="006B6BBE"/>
    <w:rsid w:val="006C5832"/>
    <w:rsid w:val="006D0C92"/>
    <w:rsid w:val="006D3ABC"/>
    <w:rsid w:val="006D5502"/>
    <w:rsid w:val="006E180F"/>
    <w:rsid w:val="006E69E4"/>
    <w:rsid w:val="006F648A"/>
    <w:rsid w:val="006F7852"/>
    <w:rsid w:val="00701028"/>
    <w:rsid w:val="007150B3"/>
    <w:rsid w:val="007152C8"/>
    <w:rsid w:val="00723632"/>
    <w:rsid w:val="00727ADB"/>
    <w:rsid w:val="0073171D"/>
    <w:rsid w:val="00734B29"/>
    <w:rsid w:val="007524BB"/>
    <w:rsid w:val="0075297A"/>
    <w:rsid w:val="00757D2D"/>
    <w:rsid w:val="0076043A"/>
    <w:rsid w:val="00761F97"/>
    <w:rsid w:val="00765AF5"/>
    <w:rsid w:val="00774943"/>
    <w:rsid w:val="007821C4"/>
    <w:rsid w:val="00792EF8"/>
    <w:rsid w:val="007954E3"/>
    <w:rsid w:val="00795C20"/>
    <w:rsid w:val="007A378F"/>
    <w:rsid w:val="007A5731"/>
    <w:rsid w:val="007B2B97"/>
    <w:rsid w:val="007B336B"/>
    <w:rsid w:val="007C1D04"/>
    <w:rsid w:val="007C361A"/>
    <w:rsid w:val="007C6A00"/>
    <w:rsid w:val="007D0F69"/>
    <w:rsid w:val="007D1613"/>
    <w:rsid w:val="007D2B95"/>
    <w:rsid w:val="007D556A"/>
    <w:rsid w:val="007D6F6F"/>
    <w:rsid w:val="007D7B27"/>
    <w:rsid w:val="007E1926"/>
    <w:rsid w:val="007F2833"/>
    <w:rsid w:val="007F6873"/>
    <w:rsid w:val="00801CE5"/>
    <w:rsid w:val="00804A8F"/>
    <w:rsid w:val="0081654E"/>
    <w:rsid w:val="008173D9"/>
    <w:rsid w:val="0082026C"/>
    <w:rsid w:val="00823E7F"/>
    <w:rsid w:val="008319CD"/>
    <w:rsid w:val="008378AD"/>
    <w:rsid w:val="008446C1"/>
    <w:rsid w:val="00850D69"/>
    <w:rsid w:val="00861690"/>
    <w:rsid w:val="0086280F"/>
    <w:rsid w:val="00864FAF"/>
    <w:rsid w:val="0086631E"/>
    <w:rsid w:val="008724A1"/>
    <w:rsid w:val="00872ECA"/>
    <w:rsid w:val="0087610A"/>
    <w:rsid w:val="00877335"/>
    <w:rsid w:val="00881649"/>
    <w:rsid w:val="008A02A1"/>
    <w:rsid w:val="008A18AD"/>
    <w:rsid w:val="008A434A"/>
    <w:rsid w:val="008A4ADC"/>
    <w:rsid w:val="008A4B7A"/>
    <w:rsid w:val="008A697D"/>
    <w:rsid w:val="008B0A99"/>
    <w:rsid w:val="008B2CC1"/>
    <w:rsid w:val="008B5E94"/>
    <w:rsid w:val="008B60B2"/>
    <w:rsid w:val="008B64D5"/>
    <w:rsid w:val="008B7732"/>
    <w:rsid w:val="008C09FF"/>
    <w:rsid w:val="008D1172"/>
    <w:rsid w:val="008D37C2"/>
    <w:rsid w:val="008D592C"/>
    <w:rsid w:val="008F1B3C"/>
    <w:rsid w:val="008F3443"/>
    <w:rsid w:val="008F6616"/>
    <w:rsid w:val="00901B2A"/>
    <w:rsid w:val="00902533"/>
    <w:rsid w:val="00903948"/>
    <w:rsid w:val="00906F0A"/>
    <w:rsid w:val="0090731E"/>
    <w:rsid w:val="009134B7"/>
    <w:rsid w:val="00913E99"/>
    <w:rsid w:val="00916D1C"/>
    <w:rsid w:val="00916EE2"/>
    <w:rsid w:val="0092302D"/>
    <w:rsid w:val="00944B0D"/>
    <w:rsid w:val="00944D42"/>
    <w:rsid w:val="009532AB"/>
    <w:rsid w:val="009555B8"/>
    <w:rsid w:val="00960CB7"/>
    <w:rsid w:val="00966A22"/>
    <w:rsid w:val="0096722F"/>
    <w:rsid w:val="00970337"/>
    <w:rsid w:val="00970617"/>
    <w:rsid w:val="00970F99"/>
    <w:rsid w:val="00973B20"/>
    <w:rsid w:val="00976301"/>
    <w:rsid w:val="009768A8"/>
    <w:rsid w:val="009769B8"/>
    <w:rsid w:val="00980843"/>
    <w:rsid w:val="0098383C"/>
    <w:rsid w:val="0099069A"/>
    <w:rsid w:val="0099449B"/>
    <w:rsid w:val="009B03EC"/>
    <w:rsid w:val="009B0B6C"/>
    <w:rsid w:val="009B5F14"/>
    <w:rsid w:val="009C3441"/>
    <w:rsid w:val="009C5832"/>
    <w:rsid w:val="009C5957"/>
    <w:rsid w:val="009D28D3"/>
    <w:rsid w:val="009D309C"/>
    <w:rsid w:val="009D525C"/>
    <w:rsid w:val="009D6C04"/>
    <w:rsid w:val="009D7B8B"/>
    <w:rsid w:val="009E2791"/>
    <w:rsid w:val="009E3F6F"/>
    <w:rsid w:val="009E51A9"/>
    <w:rsid w:val="009E6309"/>
    <w:rsid w:val="009E7B53"/>
    <w:rsid w:val="009F499F"/>
    <w:rsid w:val="009F4E4F"/>
    <w:rsid w:val="00A00079"/>
    <w:rsid w:val="00A24204"/>
    <w:rsid w:val="00A31713"/>
    <w:rsid w:val="00A33395"/>
    <w:rsid w:val="00A355BC"/>
    <w:rsid w:val="00A41193"/>
    <w:rsid w:val="00A42DAF"/>
    <w:rsid w:val="00A45BD8"/>
    <w:rsid w:val="00A51C03"/>
    <w:rsid w:val="00A532CC"/>
    <w:rsid w:val="00A6151D"/>
    <w:rsid w:val="00A6499E"/>
    <w:rsid w:val="00A67C75"/>
    <w:rsid w:val="00A713CD"/>
    <w:rsid w:val="00A71C57"/>
    <w:rsid w:val="00A74CD2"/>
    <w:rsid w:val="00A81624"/>
    <w:rsid w:val="00A8473A"/>
    <w:rsid w:val="00A869B7"/>
    <w:rsid w:val="00A914CE"/>
    <w:rsid w:val="00A93AE9"/>
    <w:rsid w:val="00A93E2D"/>
    <w:rsid w:val="00A95D3F"/>
    <w:rsid w:val="00A97615"/>
    <w:rsid w:val="00AA2953"/>
    <w:rsid w:val="00AA47D6"/>
    <w:rsid w:val="00AC205C"/>
    <w:rsid w:val="00AC5F5D"/>
    <w:rsid w:val="00AD2B42"/>
    <w:rsid w:val="00AD364F"/>
    <w:rsid w:val="00AD53DA"/>
    <w:rsid w:val="00AD761F"/>
    <w:rsid w:val="00AE3031"/>
    <w:rsid w:val="00AF0A6B"/>
    <w:rsid w:val="00AF24F5"/>
    <w:rsid w:val="00AF5416"/>
    <w:rsid w:val="00B05A69"/>
    <w:rsid w:val="00B1174E"/>
    <w:rsid w:val="00B12EE7"/>
    <w:rsid w:val="00B14617"/>
    <w:rsid w:val="00B20DEF"/>
    <w:rsid w:val="00B22E15"/>
    <w:rsid w:val="00B263AE"/>
    <w:rsid w:val="00B30146"/>
    <w:rsid w:val="00B3289C"/>
    <w:rsid w:val="00B33DBF"/>
    <w:rsid w:val="00B3416A"/>
    <w:rsid w:val="00B42549"/>
    <w:rsid w:val="00B43A5B"/>
    <w:rsid w:val="00B525BE"/>
    <w:rsid w:val="00B6007D"/>
    <w:rsid w:val="00B65E38"/>
    <w:rsid w:val="00B70D21"/>
    <w:rsid w:val="00B72B6A"/>
    <w:rsid w:val="00B947F1"/>
    <w:rsid w:val="00B94C4C"/>
    <w:rsid w:val="00B9734B"/>
    <w:rsid w:val="00BA0C42"/>
    <w:rsid w:val="00BA219A"/>
    <w:rsid w:val="00BA59BE"/>
    <w:rsid w:val="00BA5A11"/>
    <w:rsid w:val="00BB335E"/>
    <w:rsid w:val="00BC3E96"/>
    <w:rsid w:val="00BC4E28"/>
    <w:rsid w:val="00BC6ED1"/>
    <w:rsid w:val="00BD1850"/>
    <w:rsid w:val="00BD5FCE"/>
    <w:rsid w:val="00BF182E"/>
    <w:rsid w:val="00C03D53"/>
    <w:rsid w:val="00C0589C"/>
    <w:rsid w:val="00C11BFE"/>
    <w:rsid w:val="00C1395E"/>
    <w:rsid w:val="00C13BB7"/>
    <w:rsid w:val="00C21420"/>
    <w:rsid w:val="00C21A06"/>
    <w:rsid w:val="00C2339E"/>
    <w:rsid w:val="00C44366"/>
    <w:rsid w:val="00C45D04"/>
    <w:rsid w:val="00C50881"/>
    <w:rsid w:val="00C51072"/>
    <w:rsid w:val="00C54D52"/>
    <w:rsid w:val="00C5665B"/>
    <w:rsid w:val="00C677BF"/>
    <w:rsid w:val="00C80DAB"/>
    <w:rsid w:val="00C84120"/>
    <w:rsid w:val="00C908B4"/>
    <w:rsid w:val="00C95D3D"/>
    <w:rsid w:val="00C96D25"/>
    <w:rsid w:val="00CA55C7"/>
    <w:rsid w:val="00CB275B"/>
    <w:rsid w:val="00CB4622"/>
    <w:rsid w:val="00CB6359"/>
    <w:rsid w:val="00CC1C6C"/>
    <w:rsid w:val="00CC7757"/>
    <w:rsid w:val="00CE5AC9"/>
    <w:rsid w:val="00D054A0"/>
    <w:rsid w:val="00D202FA"/>
    <w:rsid w:val="00D3075D"/>
    <w:rsid w:val="00D32DCD"/>
    <w:rsid w:val="00D330C3"/>
    <w:rsid w:val="00D33D37"/>
    <w:rsid w:val="00D40043"/>
    <w:rsid w:val="00D40A5D"/>
    <w:rsid w:val="00D42879"/>
    <w:rsid w:val="00D42AB4"/>
    <w:rsid w:val="00D45252"/>
    <w:rsid w:val="00D468F7"/>
    <w:rsid w:val="00D54A8B"/>
    <w:rsid w:val="00D54A96"/>
    <w:rsid w:val="00D562D7"/>
    <w:rsid w:val="00D578B1"/>
    <w:rsid w:val="00D71B4D"/>
    <w:rsid w:val="00D93A49"/>
    <w:rsid w:val="00D93D55"/>
    <w:rsid w:val="00DA1299"/>
    <w:rsid w:val="00DA2FF3"/>
    <w:rsid w:val="00DB5D8A"/>
    <w:rsid w:val="00DC74CF"/>
    <w:rsid w:val="00DD0786"/>
    <w:rsid w:val="00DD2E9D"/>
    <w:rsid w:val="00DD4BF1"/>
    <w:rsid w:val="00DD5390"/>
    <w:rsid w:val="00DE4165"/>
    <w:rsid w:val="00DF0DEC"/>
    <w:rsid w:val="00DF49FB"/>
    <w:rsid w:val="00E00D5D"/>
    <w:rsid w:val="00E01095"/>
    <w:rsid w:val="00E014D5"/>
    <w:rsid w:val="00E12641"/>
    <w:rsid w:val="00E159B4"/>
    <w:rsid w:val="00E215F0"/>
    <w:rsid w:val="00E22A3C"/>
    <w:rsid w:val="00E26D68"/>
    <w:rsid w:val="00E335FE"/>
    <w:rsid w:val="00E44FD5"/>
    <w:rsid w:val="00E45B58"/>
    <w:rsid w:val="00E51987"/>
    <w:rsid w:val="00E530F6"/>
    <w:rsid w:val="00E652B5"/>
    <w:rsid w:val="00E6559E"/>
    <w:rsid w:val="00E6778D"/>
    <w:rsid w:val="00E76B13"/>
    <w:rsid w:val="00E806B0"/>
    <w:rsid w:val="00E80D18"/>
    <w:rsid w:val="00E829F1"/>
    <w:rsid w:val="00E82FA4"/>
    <w:rsid w:val="00E83A39"/>
    <w:rsid w:val="00E90CE1"/>
    <w:rsid w:val="00EA0E13"/>
    <w:rsid w:val="00EA5317"/>
    <w:rsid w:val="00EB4E3A"/>
    <w:rsid w:val="00EB67E1"/>
    <w:rsid w:val="00EC3AA3"/>
    <w:rsid w:val="00EC4E49"/>
    <w:rsid w:val="00EC4F84"/>
    <w:rsid w:val="00EC5760"/>
    <w:rsid w:val="00ED0FB6"/>
    <w:rsid w:val="00ED77FB"/>
    <w:rsid w:val="00EE3513"/>
    <w:rsid w:val="00EE45FA"/>
    <w:rsid w:val="00EE6700"/>
    <w:rsid w:val="00EF1816"/>
    <w:rsid w:val="00EF66E0"/>
    <w:rsid w:val="00F118C6"/>
    <w:rsid w:val="00F13B2F"/>
    <w:rsid w:val="00F14988"/>
    <w:rsid w:val="00F17AC9"/>
    <w:rsid w:val="00F25101"/>
    <w:rsid w:val="00F2510F"/>
    <w:rsid w:val="00F431A2"/>
    <w:rsid w:val="00F52CB7"/>
    <w:rsid w:val="00F6604D"/>
    <w:rsid w:val="00F66152"/>
    <w:rsid w:val="00F74BC6"/>
    <w:rsid w:val="00F74DD9"/>
    <w:rsid w:val="00F83413"/>
    <w:rsid w:val="00F864DB"/>
    <w:rsid w:val="00FA368D"/>
    <w:rsid w:val="00FA4709"/>
    <w:rsid w:val="00FB4662"/>
    <w:rsid w:val="00FC2666"/>
    <w:rsid w:val="00FC4B87"/>
    <w:rsid w:val="00FC6878"/>
    <w:rsid w:val="00FD25D7"/>
    <w:rsid w:val="00FD5D7E"/>
    <w:rsid w:val="00FD62CE"/>
    <w:rsid w:val="00FE287F"/>
    <w:rsid w:val="00FE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31E"/>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paragraph" w:customStyle="1" w:styleId="Default">
    <w:name w:val="Default"/>
    <w:rsid w:val="001E4C8B"/>
    <w:pPr>
      <w:autoSpaceDE w:val="0"/>
      <w:autoSpaceDN w:val="0"/>
      <w:adjustRightInd w:val="0"/>
    </w:pPr>
    <w:rPr>
      <w:rFonts w:ascii="Arial" w:hAnsi="Arial" w:cs="Arial"/>
      <w:color w:val="000000"/>
      <w:sz w:val="24"/>
      <w:szCs w:val="24"/>
    </w:rPr>
  </w:style>
  <w:style w:type="paragraph" w:customStyle="1" w:styleId="CharCharCharChar">
    <w:name w:val="Char Char Char Char"/>
    <w:basedOn w:val="Normal"/>
    <w:rsid w:val="002231C9"/>
    <w:pPr>
      <w:spacing w:after="160" w:line="240" w:lineRule="exact"/>
    </w:pPr>
    <w:rPr>
      <w:rFonts w:ascii="Verdana" w:eastAsia="Times New Roman" w:hAnsi="Verdana" w:cs="Times New Roman"/>
      <w:sz w:val="20"/>
      <w:lang w:val="en-GB" w:eastAsia="en-US"/>
    </w:rPr>
  </w:style>
  <w:style w:type="paragraph" w:customStyle="1" w:styleId="DecisionInvitingPara">
    <w:name w:val="Decision Inviting Para."/>
    <w:basedOn w:val="Normal"/>
    <w:rsid w:val="00774943"/>
    <w:pPr>
      <w:spacing w:after="120" w:line="260" w:lineRule="atLeast"/>
      <w:ind w:left="5534"/>
      <w:contextualSpacing/>
    </w:pPr>
    <w:rPr>
      <w:rFonts w:eastAsia="Times New Roman" w:cs="Times New Roman"/>
      <w:i/>
      <w:sz w:val="20"/>
      <w:lang w:eastAsia="en-US"/>
    </w:rPr>
  </w:style>
  <w:style w:type="paragraph" w:styleId="Revision">
    <w:name w:val="Revision"/>
    <w:hidden/>
    <w:uiPriority w:val="99"/>
    <w:semiHidden/>
    <w:rsid w:val="00027DBE"/>
    <w:rPr>
      <w:rFonts w:ascii="Arial" w:eastAsia="SimSun" w:hAnsi="Arial" w:cs="Arial"/>
      <w:sz w:val="22"/>
      <w:lang w:eastAsia="zh-CN"/>
    </w:rPr>
  </w:style>
  <w:style w:type="paragraph" w:styleId="BalloonText">
    <w:name w:val="Balloon Text"/>
    <w:basedOn w:val="Normal"/>
    <w:link w:val="BalloonTextChar"/>
    <w:rsid w:val="00027DBE"/>
    <w:rPr>
      <w:rFonts w:ascii="Tahoma" w:hAnsi="Tahoma" w:cs="Tahoma"/>
      <w:sz w:val="16"/>
      <w:szCs w:val="16"/>
    </w:rPr>
  </w:style>
  <w:style w:type="character" w:customStyle="1" w:styleId="BalloonTextChar">
    <w:name w:val="Balloon Text Char"/>
    <w:basedOn w:val="DefaultParagraphFont"/>
    <w:link w:val="BalloonText"/>
    <w:rsid w:val="00027DB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31E"/>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paragraph" w:customStyle="1" w:styleId="Default">
    <w:name w:val="Default"/>
    <w:rsid w:val="001E4C8B"/>
    <w:pPr>
      <w:autoSpaceDE w:val="0"/>
      <w:autoSpaceDN w:val="0"/>
      <w:adjustRightInd w:val="0"/>
    </w:pPr>
    <w:rPr>
      <w:rFonts w:ascii="Arial" w:hAnsi="Arial" w:cs="Arial"/>
      <w:color w:val="000000"/>
      <w:sz w:val="24"/>
      <w:szCs w:val="24"/>
    </w:rPr>
  </w:style>
  <w:style w:type="paragraph" w:customStyle="1" w:styleId="CharCharCharChar">
    <w:name w:val="Char Char Char Char"/>
    <w:basedOn w:val="Normal"/>
    <w:rsid w:val="002231C9"/>
    <w:pPr>
      <w:spacing w:after="160" w:line="240" w:lineRule="exact"/>
    </w:pPr>
    <w:rPr>
      <w:rFonts w:ascii="Verdana" w:eastAsia="Times New Roman" w:hAnsi="Verdana" w:cs="Times New Roman"/>
      <w:sz w:val="20"/>
      <w:lang w:val="en-GB" w:eastAsia="en-US"/>
    </w:rPr>
  </w:style>
  <w:style w:type="paragraph" w:customStyle="1" w:styleId="DecisionInvitingPara">
    <w:name w:val="Decision Inviting Para."/>
    <w:basedOn w:val="Normal"/>
    <w:rsid w:val="00774943"/>
    <w:pPr>
      <w:spacing w:after="120" w:line="260" w:lineRule="atLeast"/>
      <w:ind w:left="5534"/>
      <w:contextualSpacing/>
    </w:pPr>
    <w:rPr>
      <w:rFonts w:eastAsia="Times New Roman" w:cs="Times New Roman"/>
      <w:i/>
      <w:sz w:val="20"/>
      <w:lang w:eastAsia="en-US"/>
    </w:rPr>
  </w:style>
  <w:style w:type="paragraph" w:styleId="Revision">
    <w:name w:val="Revision"/>
    <w:hidden/>
    <w:uiPriority w:val="99"/>
    <w:semiHidden/>
    <w:rsid w:val="00027DBE"/>
    <w:rPr>
      <w:rFonts w:ascii="Arial" w:eastAsia="SimSun" w:hAnsi="Arial" w:cs="Arial"/>
      <w:sz w:val="22"/>
      <w:lang w:eastAsia="zh-CN"/>
    </w:rPr>
  </w:style>
  <w:style w:type="paragraph" w:styleId="BalloonText">
    <w:name w:val="Balloon Text"/>
    <w:basedOn w:val="Normal"/>
    <w:link w:val="BalloonTextChar"/>
    <w:rsid w:val="00027DBE"/>
    <w:rPr>
      <w:rFonts w:ascii="Tahoma" w:hAnsi="Tahoma" w:cs="Tahoma"/>
      <w:sz w:val="16"/>
      <w:szCs w:val="16"/>
    </w:rPr>
  </w:style>
  <w:style w:type="character" w:customStyle="1" w:styleId="BalloonTextChar">
    <w:name w:val="Balloon Text Char"/>
    <w:basedOn w:val="DefaultParagraphFont"/>
    <w:link w:val="BalloonText"/>
    <w:rsid w:val="00027DB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nef/public/locarno/en/project/1590/LO132" TargetMode="External"/><Relationship Id="rId18" Type="http://schemas.openxmlformats.org/officeDocument/2006/relationships/hyperlink" Target="https://www3.wipo.int/nef/public/locarno/en/project/1645/LO130" TargetMode="External"/><Relationship Id="rId26" Type="http://schemas.openxmlformats.org/officeDocument/2006/relationships/hyperlink" Target="http://www.wipo.int/edocs/mdocs/classifications/en/cel_12/cel_12_2.pdf" TargetMode="External"/><Relationship Id="rId3" Type="http://schemas.openxmlformats.org/officeDocument/2006/relationships/styles" Target="styles.xml"/><Relationship Id="rId21" Type="http://schemas.openxmlformats.org/officeDocument/2006/relationships/hyperlink" Target="https://www3.wipo.int/nef/public/locarno/en/project/1645/LO130" TargetMode="External"/><Relationship Id="rId7" Type="http://schemas.openxmlformats.org/officeDocument/2006/relationships/footnotes" Target="footnotes.xml"/><Relationship Id="rId12" Type="http://schemas.openxmlformats.org/officeDocument/2006/relationships/hyperlink" Target="https://www3.wipo.int/nef/public/locarno/en/project/1645/LO130" TargetMode="External"/><Relationship Id="rId17" Type="http://schemas.openxmlformats.org/officeDocument/2006/relationships/hyperlink" Target="https://www3.wipo.int/nef/nef-projects/lo132/lo132-a03_ibcr.pdf" TargetMode="External"/><Relationship Id="rId25" Type="http://schemas.openxmlformats.org/officeDocument/2006/relationships/hyperlink" Target="https://www3.wipo.int/nef/nef-projects/lo132/lo132-a06_iblo.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wipo.int/nef/nef-projects/lo132/lo132-a09_iban.pdf" TargetMode="External"/><Relationship Id="rId20" Type="http://schemas.openxmlformats.org/officeDocument/2006/relationships/hyperlink" Target="https://www3.wipo.int/nef/nef-projects/lo132/lo132-a04_ib%22o.docx" TargetMode="External"/><Relationship Id="rId29" Type="http://schemas.openxmlformats.org/officeDocument/2006/relationships/hyperlink" Target="https://www3.wipo.int/nef/public/locarno/en/project/1590/LO1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nef/nef-projects/lo132/lo132-a01_ibva.pdf" TargetMode="External"/><Relationship Id="rId24" Type="http://schemas.openxmlformats.org/officeDocument/2006/relationships/hyperlink" Target="https://www3.wipo.int/nef/public/locarno/en/project/1590/LO13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wipo.int/nef/nef-projects/lo132/lo132-a03_ibcr.pdf" TargetMode="External"/><Relationship Id="rId23" Type="http://schemas.openxmlformats.org/officeDocument/2006/relationships/hyperlink" Target="https://www3.wipo.int/nef/nef-projects/lo132/lo132-a05_iblo.pdf" TargetMode="External"/><Relationship Id="rId28" Type="http://schemas.openxmlformats.org/officeDocument/2006/relationships/hyperlink" Target="https://www3.wipo.int/nef/nef-projects/lo132/lo132-a07_ibtr.pdf" TargetMode="External"/><Relationship Id="rId10" Type="http://schemas.openxmlformats.org/officeDocument/2006/relationships/hyperlink" Target="https://www3.wipo.int/nef/public/locarno/en/project/1590/LO132" TargetMode="External"/><Relationship Id="rId19" Type="http://schemas.openxmlformats.org/officeDocument/2006/relationships/hyperlink" Target="https://www3.wipo.int/nef/public/locarno/en/project/1590/LO132"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3.wipo.int/nef/nef-projects/lo132/lo132-a09_iban.pdf" TargetMode="External"/><Relationship Id="rId22" Type="http://schemas.openxmlformats.org/officeDocument/2006/relationships/hyperlink" Target="https://www3.wipo.int/nef/public/locarno/en/project/1590/LO132" TargetMode="External"/><Relationship Id="rId27" Type="http://schemas.openxmlformats.org/officeDocument/2006/relationships/hyperlink" Target="https://www3.wipo.int/nef/public/locarno/en/project/1590/LO132" TargetMode="External"/><Relationship Id="rId30" Type="http://schemas.openxmlformats.org/officeDocument/2006/relationships/hyperlink" Target="https://www3.wipo.int/nef/nef-projects/lo132/lo132-a08_ibp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FDE79-493C-4F90-8973-2D436DD6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CEL/13/2 Report</vt:lpstr>
    </vt:vector>
  </TitlesOfParts>
  <Company>WIPO</Company>
  <LinksUpToDate>false</LinksUpToDate>
  <CharactersWithSpaces>10991</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CEL/13/2 Report</dc:title>
  <dc:subject>Draft Report</dc:subject>
  <dc:creator>Carminati</dc:creator>
  <cp:lastModifiedBy>Christine Carminati</cp:lastModifiedBy>
  <cp:revision>20</cp:revision>
  <cp:lastPrinted>2017-12-21T14:53:00Z</cp:lastPrinted>
  <dcterms:created xsi:type="dcterms:W3CDTF">2017-12-15T10:25:00Z</dcterms:created>
  <dcterms:modified xsi:type="dcterms:W3CDTF">2017-12-21T14:53:00Z</dcterms:modified>
</cp:coreProperties>
</file>