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10120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</w:p>
    <w:bookmarkEnd w:id="3"/>
    <w:p w:rsidR="003F7284" w:rsidRPr="00101205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101205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  <w:r w:rsidR="00101205">
        <w:rPr>
          <w:rFonts w:hint="cs"/>
          <w:b/>
          <w:bCs/>
          <w:sz w:val="30"/>
          <w:szCs w:val="30"/>
          <w:rtl/>
          <w:lang w:val="fr-CH" w:bidi="ar-SY"/>
        </w:rPr>
        <w:tab/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101205">
        <w:rPr>
          <w:rFonts w:hint="cs"/>
          <w:b/>
          <w:bCs/>
          <w:sz w:val="30"/>
          <w:szCs w:val="30"/>
          <w:rtl/>
        </w:rPr>
        <w:t>20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101205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Start w:id="10" w:name="_GoBack"/>
      <w:bookmarkEnd w:id="9"/>
      <w:r>
        <w:rPr>
          <w:rFonts w:ascii="Arial Black" w:hAnsi="Arial Black" w:cs="PT Bold Heading" w:hint="cs"/>
          <w:sz w:val="26"/>
          <w:szCs w:val="26"/>
          <w:rtl/>
        </w:rPr>
        <w:t xml:space="preserve">تقرير فرقة العمل المعنية بالنماذج والصور ثلاثية الأبعاد عن المهمة رقم </w:t>
      </w:r>
      <w:bookmarkEnd w:id="10"/>
      <w:r>
        <w:rPr>
          <w:rFonts w:ascii="Arial Black" w:hAnsi="Arial Black" w:cs="PT Bold Heading" w:hint="cs"/>
          <w:sz w:val="26"/>
          <w:szCs w:val="26"/>
          <w:rtl/>
        </w:rPr>
        <w:t>61</w:t>
      </w:r>
    </w:p>
    <w:p w:rsidR="003F7284" w:rsidRPr="00BB6440" w:rsidRDefault="00101205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الهيئة المشرفة عن فرقة العمل المعنية بالنماذج والصور ثلاثية الأبعاد</w:t>
      </w:r>
    </w:p>
    <w:p w:rsidR="00E3612C" w:rsidRPr="00FD6D15" w:rsidRDefault="00101205" w:rsidP="00101205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:rsidR="00C41AE0" w:rsidRDefault="00101205" w:rsidP="00BD1385">
      <w:pPr>
        <w:pStyle w:val="ONUMA"/>
      </w:pPr>
      <w:r>
        <w:rPr>
          <w:rFonts w:hint="cs"/>
          <w:rtl/>
        </w:rPr>
        <w:t>أحاطت اللجنة المعنية بمعايير الويبو (لجنة المعايير)، في دورتها السادسة، علماً بمقترح قد</w:t>
      </w:r>
      <w:r w:rsidR="00BD1385">
        <w:rPr>
          <w:rFonts w:hint="cs"/>
          <w:rtl/>
          <w:lang w:val="fr-CH" w:bidi="ar-SY"/>
        </w:rPr>
        <w:t>ّ</w:t>
      </w:r>
      <w:r>
        <w:rPr>
          <w:rFonts w:hint="cs"/>
          <w:rtl/>
        </w:rPr>
        <w:t>مه وفد الاتحاد الروسي مفاده بأن اتساع نطاق قبول مكاتب ال</w:t>
      </w:r>
      <w:r w:rsidR="00BD1385">
        <w:rPr>
          <w:rFonts w:hint="cs"/>
          <w:rtl/>
        </w:rPr>
        <w:t xml:space="preserve">ملكية الفكرية للأنساق </w:t>
      </w:r>
      <w:r>
        <w:rPr>
          <w:rFonts w:hint="cs"/>
          <w:rtl/>
        </w:rPr>
        <w:t>ثلاثية الأبعاد من شأنه أن يلبي احتياجات المستخدمين على نحو</w:t>
      </w:r>
      <w:r w:rsidR="00BD1385">
        <w:rPr>
          <w:rFonts w:hint="cs"/>
          <w:rtl/>
        </w:rPr>
        <w:t xml:space="preserve"> أفضل، كما أن استخدام الأنساق </w:t>
      </w:r>
      <w:r>
        <w:rPr>
          <w:rFonts w:hint="cs"/>
          <w:rtl/>
        </w:rPr>
        <w:t xml:space="preserve">ثلاثية الأبعاد </w:t>
      </w:r>
      <w:r w:rsidR="009812CF">
        <w:rPr>
          <w:rFonts w:hint="cs"/>
          <w:rtl/>
        </w:rPr>
        <w:t xml:space="preserve">يمكن أن </w:t>
      </w:r>
      <w:r w:rsidR="00BD1385">
        <w:rPr>
          <w:rFonts w:hint="cs"/>
          <w:rtl/>
        </w:rPr>
        <w:t xml:space="preserve">يتيح </w:t>
      </w:r>
      <w:r w:rsidR="009812CF">
        <w:rPr>
          <w:rFonts w:hint="cs"/>
          <w:rtl/>
        </w:rPr>
        <w:t>أساليب أكثر فعالية في البحث والتحليل المقارن. ونتيجة لذلك، أُنشئت المهمة رقم 61 بالوصف التالي:</w:t>
      </w:r>
    </w:p>
    <w:p w:rsidR="009812CF" w:rsidRPr="00ED7555" w:rsidRDefault="009812CF" w:rsidP="009812CF">
      <w:pPr>
        <w:pStyle w:val="BodyTextFirstIndent"/>
        <w:rPr>
          <w:rtl/>
        </w:rPr>
      </w:pPr>
      <w:r>
        <w:rPr>
          <w:rFonts w:hint="cs"/>
          <w:rtl/>
        </w:rPr>
        <w:t>"</w:t>
      </w:r>
      <w:r w:rsidRPr="009812CF">
        <w:rPr>
          <w:rtl/>
        </w:rPr>
        <w:t>اقتراح توصيات بشأ</w:t>
      </w:r>
      <w:r w:rsidR="00BD1385">
        <w:rPr>
          <w:rtl/>
        </w:rPr>
        <w:t xml:space="preserve">ن النماذج والصور </w:t>
      </w:r>
      <w:r w:rsidRPr="009812CF">
        <w:rPr>
          <w:rtl/>
        </w:rPr>
        <w:t>ثلاثية الأبعاد.</w:t>
      </w:r>
      <w:r>
        <w:rPr>
          <w:rFonts w:hint="cs"/>
          <w:rtl/>
        </w:rPr>
        <w:t>"</w:t>
      </w:r>
    </w:p>
    <w:p w:rsidR="000D7E81" w:rsidRDefault="009812CF" w:rsidP="009812CF">
      <w:pPr>
        <w:pStyle w:val="ONUMA"/>
      </w:pPr>
      <w:r>
        <w:rPr>
          <w:rFonts w:hint="cs"/>
          <w:rtl/>
        </w:rPr>
        <w:t xml:space="preserve">وأنشأت لجنة المعايير فرقة العمل المعنية </w:t>
      </w:r>
      <w:r w:rsidRPr="009812CF">
        <w:rPr>
          <w:rFonts w:hint="cs"/>
          <w:rtl/>
        </w:rPr>
        <w:t>بالنماذج والصور ثلاثية الأبعاد</w:t>
      </w:r>
      <w:r>
        <w:rPr>
          <w:rFonts w:hint="cs"/>
          <w:rtl/>
        </w:rPr>
        <w:t xml:space="preserve"> لتتولى هذه المهمة، وعُيّن الاتحاد الروسي مشرفاً على فرقة العمل (انظر الفقرات من 138 إلى 144 في الوثيقة </w:t>
      </w:r>
      <w:r>
        <w:t>CWS/6/34</w:t>
      </w:r>
      <w:r>
        <w:rPr>
          <w:rFonts w:hint="cs"/>
          <w:rtl/>
        </w:rPr>
        <w:t>).</w:t>
      </w:r>
    </w:p>
    <w:p w:rsidR="009812CF" w:rsidRPr="000D7E81" w:rsidRDefault="009812CF" w:rsidP="009812CF">
      <w:pPr>
        <w:pStyle w:val="ONUMA"/>
        <w:rPr>
          <w:rtl/>
        </w:rPr>
      </w:pPr>
      <w:r>
        <w:rPr>
          <w:rFonts w:hint="cs"/>
          <w:rtl/>
        </w:rPr>
        <w:t xml:space="preserve">وفي نوفمبر 2018، أصدر المكتب الدولي التعميم </w:t>
      </w:r>
      <w:r>
        <w:t>C.CWS.108</w:t>
      </w:r>
      <w:r>
        <w:rPr>
          <w:rFonts w:hint="cs"/>
          <w:rtl/>
          <w:lang w:val="fr-CH" w:bidi="ar-SY"/>
        </w:rPr>
        <w:t xml:space="preserve"> ا</w:t>
      </w:r>
      <w:r w:rsidRPr="009812CF">
        <w:rPr>
          <w:rtl/>
          <w:lang w:val="fr-CH" w:bidi="ar-SY"/>
        </w:rPr>
        <w:t>لذي طلب من خلاله تقديم ترشيحات للمشاركة في فرقة العمل المعنية بالتحول الرقمي.</w:t>
      </w:r>
      <w:r>
        <w:rPr>
          <w:rFonts w:hint="cs"/>
          <w:rtl/>
          <w:lang w:val="fr-CH" w:bidi="ar-SY"/>
        </w:rPr>
        <w:t xml:space="preserve"> </w:t>
      </w:r>
      <w:r w:rsidRPr="009812CF">
        <w:rPr>
          <w:rtl/>
          <w:lang w:val="fr-CH" w:bidi="ar-SY"/>
        </w:rPr>
        <w:t>و</w:t>
      </w:r>
      <w:r>
        <w:rPr>
          <w:rFonts w:hint="cs"/>
          <w:rtl/>
          <w:lang w:val="fr-CH" w:bidi="ar-SY"/>
        </w:rPr>
        <w:t>رُشِّح</w:t>
      </w:r>
      <w:r w:rsidRPr="009812CF">
        <w:rPr>
          <w:rtl/>
          <w:lang w:val="fr-CH" w:bidi="ar-SY"/>
        </w:rPr>
        <w:t xml:space="preserve"> ممثلون من </w:t>
      </w:r>
      <w:r>
        <w:rPr>
          <w:rFonts w:hint="cs"/>
          <w:rtl/>
          <w:lang w:val="fr-CH" w:bidi="ar-SY"/>
        </w:rPr>
        <w:t>14</w:t>
      </w:r>
      <w:r w:rsidRPr="009812CF">
        <w:rPr>
          <w:rtl/>
          <w:lang w:val="fr-CH" w:bidi="ar-SY"/>
        </w:rPr>
        <w:t xml:space="preserve"> مكتباً للملكية الفكرية للانضمام إلى فرقة العمل.</w:t>
      </w:r>
    </w:p>
    <w:p w:rsidR="00FD6D15" w:rsidRDefault="009812CF" w:rsidP="009812CF">
      <w:pPr>
        <w:pStyle w:val="Heading3"/>
        <w:rPr>
          <w:rtl/>
        </w:rPr>
      </w:pPr>
      <w:r>
        <w:rPr>
          <w:rFonts w:hint="cs"/>
          <w:rtl/>
        </w:rPr>
        <w:lastRenderedPageBreak/>
        <w:t>التقرير المرحلي</w:t>
      </w:r>
    </w:p>
    <w:p w:rsidR="009812CF" w:rsidRPr="00A97EFB" w:rsidRDefault="009812CF" w:rsidP="00BD1385">
      <w:pPr>
        <w:pStyle w:val="ONUMA"/>
      </w:pPr>
      <w:r>
        <w:rPr>
          <w:rtl/>
        </w:rPr>
        <w:t xml:space="preserve">أنشئ منتدى على موقع ويكي </w:t>
      </w:r>
      <w:r>
        <w:rPr>
          <w:rFonts w:hint="cs"/>
          <w:rtl/>
        </w:rPr>
        <w:t xml:space="preserve">خاص بفرقة العمل المعنية </w:t>
      </w:r>
      <w:r w:rsidRPr="009812CF">
        <w:rPr>
          <w:rtl/>
        </w:rPr>
        <w:t>بالنماذج والصور ثلاثية الأبعاد</w:t>
      </w:r>
      <w:r w:rsidR="00BD1385">
        <w:rPr>
          <w:rFonts w:hint="cs"/>
          <w:rtl/>
        </w:rPr>
        <w:t xml:space="preserve">، من أجل </w:t>
      </w:r>
      <w:r>
        <w:rPr>
          <w:rFonts w:hint="cs"/>
          <w:rtl/>
        </w:rPr>
        <w:t>مناقشات أعضاء فرقة العمل. وأعدت الهيئة المشرفة على فرقة العمل استعراضاً للوضع الحالي لاستخدام النماذج</w:t>
      </w:r>
      <w:r w:rsidR="00BD1385">
        <w:rPr>
          <w:rFonts w:hint="cs"/>
          <w:rtl/>
        </w:rPr>
        <w:t xml:space="preserve"> </w:t>
      </w:r>
      <w:r w:rsidR="00A56F20">
        <w:rPr>
          <w:rFonts w:hint="cs"/>
          <w:rtl/>
        </w:rPr>
        <w:t>ثلاثية الأبعاد</w:t>
      </w:r>
      <w:r w:rsidR="00FA332A">
        <w:rPr>
          <w:rFonts w:hint="cs"/>
          <w:rtl/>
        </w:rPr>
        <w:t>، ل</w:t>
      </w:r>
      <w:r w:rsidR="00FA332A">
        <w:rPr>
          <w:rFonts w:hint="cs"/>
          <w:rtl/>
          <w:lang w:bidi="ar-SY"/>
        </w:rPr>
        <w:t>ي</w:t>
      </w:r>
      <w:r w:rsidR="00A56F20">
        <w:rPr>
          <w:rFonts w:hint="cs"/>
          <w:rtl/>
        </w:rPr>
        <w:t xml:space="preserve">جري </w:t>
      </w:r>
      <w:r w:rsidR="00FA332A">
        <w:rPr>
          <w:rFonts w:hint="cs"/>
          <w:rtl/>
        </w:rPr>
        <w:t>مزيد من ال</w:t>
      </w:r>
      <w:r w:rsidR="00A56F20">
        <w:rPr>
          <w:rFonts w:hint="cs"/>
          <w:rtl/>
        </w:rPr>
        <w:t xml:space="preserve">مناقشات </w:t>
      </w:r>
      <w:r w:rsidR="00BD1385">
        <w:rPr>
          <w:rFonts w:hint="cs"/>
          <w:rtl/>
        </w:rPr>
        <w:t>ضمن فرقة العمل، كما شمل الاستعراض،</w:t>
      </w:r>
      <w:r w:rsidR="00A56F20">
        <w:rPr>
          <w:rFonts w:hint="cs"/>
          <w:rtl/>
        </w:rPr>
        <w:t xml:space="preserve"> بما في ذلك</w:t>
      </w:r>
      <w:r w:rsidR="00BD1385">
        <w:rPr>
          <w:rFonts w:hint="cs"/>
          <w:rtl/>
        </w:rPr>
        <w:t>،</w:t>
      </w:r>
      <w:r w:rsidR="00A56F20">
        <w:rPr>
          <w:rFonts w:hint="cs"/>
          <w:rtl/>
        </w:rPr>
        <w:t xml:space="preserve"> التعليقات التي </w:t>
      </w:r>
      <w:r w:rsidR="00FA332A">
        <w:rPr>
          <w:rFonts w:hint="cs"/>
          <w:rtl/>
        </w:rPr>
        <w:t xml:space="preserve">تبادل </w:t>
      </w:r>
      <w:r w:rsidR="00FA332A" w:rsidRPr="00FA332A">
        <w:rPr>
          <w:rtl/>
        </w:rPr>
        <w:t xml:space="preserve">أعضاء </w:t>
      </w:r>
      <w:r w:rsidR="00FA332A">
        <w:rPr>
          <w:rFonts w:hint="cs"/>
          <w:rtl/>
        </w:rPr>
        <w:t>فرقة</w:t>
      </w:r>
      <w:r w:rsidR="00FA332A" w:rsidRPr="00FA332A">
        <w:rPr>
          <w:rtl/>
        </w:rPr>
        <w:t xml:space="preserve"> العمل </w:t>
      </w:r>
      <w:r w:rsidR="00FA332A">
        <w:rPr>
          <w:rFonts w:hint="cs"/>
          <w:rtl/>
        </w:rPr>
        <w:t>آراءهم وخبراتهم</w:t>
      </w:r>
      <w:r w:rsidR="00BD1385" w:rsidRPr="00BD1385">
        <w:rPr>
          <w:rFonts w:hint="cs"/>
          <w:rtl/>
        </w:rPr>
        <w:t xml:space="preserve"> </w:t>
      </w:r>
      <w:r w:rsidR="00BD1385">
        <w:rPr>
          <w:rFonts w:hint="cs"/>
          <w:rtl/>
        </w:rPr>
        <w:t>بشأنها</w:t>
      </w:r>
      <w:r w:rsidR="00FA332A">
        <w:rPr>
          <w:rFonts w:hint="cs"/>
          <w:rtl/>
        </w:rPr>
        <w:t>.</w:t>
      </w:r>
      <w:r w:rsidR="00FA332A">
        <w:t xml:space="preserve"> </w:t>
      </w:r>
      <w:r w:rsidR="00BD1385">
        <w:rPr>
          <w:rFonts w:hint="cs"/>
          <w:rtl/>
          <w:lang w:val="fr-CH" w:bidi="ar-SY"/>
        </w:rPr>
        <w:t>وعقدت</w:t>
      </w:r>
      <w:r w:rsidR="00A97EFB">
        <w:rPr>
          <w:rFonts w:hint="cs"/>
          <w:rtl/>
          <w:lang w:val="fr-CH" w:bidi="ar-SY"/>
        </w:rPr>
        <w:t xml:space="preserve"> فرقة العمل مناقشة واقترحت مشروع نطاق التوصيات بشأن النماذج ثلاثية الأبعاد فيما يتعلق بمكاتب الملكية الفكرية.</w:t>
      </w:r>
    </w:p>
    <w:p w:rsidR="00A97EFB" w:rsidRPr="00A97EFB" w:rsidRDefault="00A97EFB" w:rsidP="00BD1385">
      <w:pPr>
        <w:pStyle w:val="ONUMA"/>
      </w:pPr>
      <w:r>
        <w:rPr>
          <w:rFonts w:hint="cs"/>
          <w:rtl/>
          <w:lang w:val="fr-CH" w:bidi="ar-SY"/>
        </w:rPr>
        <w:t xml:space="preserve">ومن أجل جمع معلومات عن ممارسات وتوقعات مكاتب الملكية الفكرية والمستخدمين (المودعين) فيما يتعلق باستخدام النماذج والصور ثلاثية الأبعاد، </w:t>
      </w:r>
      <w:r w:rsidR="00BD1385">
        <w:rPr>
          <w:rFonts w:hint="cs"/>
          <w:rtl/>
          <w:lang w:val="fr-CH" w:bidi="ar-SY"/>
        </w:rPr>
        <w:t>قامت</w:t>
      </w:r>
      <w:r>
        <w:rPr>
          <w:rFonts w:hint="cs"/>
          <w:rtl/>
          <w:lang w:val="fr-CH" w:bidi="ar-SY"/>
        </w:rPr>
        <w:t xml:space="preserve"> فرقة العمل </w:t>
      </w:r>
      <w:r w:rsidR="00BD1385">
        <w:rPr>
          <w:rFonts w:hint="cs"/>
          <w:rtl/>
          <w:lang w:val="fr-CH" w:bidi="ar-SY"/>
        </w:rPr>
        <w:t>بصياغة</w:t>
      </w:r>
      <w:r>
        <w:rPr>
          <w:rFonts w:hint="cs"/>
          <w:rtl/>
          <w:lang w:val="fr-CH" w:bidi="ar-SY"/>
        </w:rPr>
        <w:t xml:space="preserve"> استبيان، على النحو الوارد في المرفق بهذه الوثيقة، وأجرت دراسة استقصائية </w:t>
      </w:r>
      <w:r w:rsidR="00BD1385">
        <w:rPr>
          <w:rFonts w:hint="cs"/>
          <w:rtl/>
          <w:lang w:val="fr-CH" w:bidi="ar-SY"/>
        </w:rPr>
        <w:t>قصيرة</w:t>
      </w:r>
      <w:r>
        <w:rPr>
          <w:rFonts w:hint="cs"/>
          <w:rtl/>
          <w:lang w:val="fr-CH" w:bidi="ar-SY"/>
        </w:rPr>
        <w:t xml:space="preserve"> ضمن فرقة العمل.</w:t>
      </w:r>
    </w:p>
    <w:p w:rsidR="00A97EFB" w:rsidRPr="00A97EFB" w:rsidRDefault="00BD1385" w:rsidP="00BD1385">
      <w:pPr>
        <w:pStyle w:val="ONUMA"/>
      </w:pPr>
      <w:r>
        <w:rPr>
          <w:rFonts w:hint="cs"/>
          <w:rtl/>
          <w:lang w:val="fr-CH" w:bidi="ar-SY"/>
        </w:rPr>
        <w:t>ووردت إلى</w:t>
      </w:r>
      <w:r w:rsidR="00A97EFB">
        <w:rPr>
          <w:rFonts w:hint="cs"/>
          <w:rtl/>
          <w:lang w:val="fr-CH" w:bidi="ar-SY"/>
        </w:rPr>
        <w:t xml:space="preserve"> فرقة العمل النتائج التالية للدراسة الاستقصائية </w:t>
      </w:r>
      <w:r>
        <w:rPr>
          <w:rFonts w:hint="cs"/>
          <w:rtl/>
          <w:lang w:val="fr-CH" w:bidi="ar-SY"/>
        </w:rPr>
        <w:t>الموجهة ل</w:t>
      </w:r>
      <w:r w:rsidR="00A97EFB">
        <w:rPr>
          <w:rFonts w:hint="cs"/>
          <w:rtl/>
          <w:lang w:val="fr-CH" w:bidi="ar-SY"/>
        </w:rPr>
        <w:t>فرقة العمل:</w:t>
      </w:r>
    </w:p>
    <w:p w:rsidR="00A97EFB" w:rsidRDefault="00A97EFB" w:rsidP="00BD1385">
      <w:pPr>
        <w:pStyle w:val="BodyTextFirstIndent"/>
        <w:rPr>
          <w:rtl/>
          <w:lang w:val="fr-CH" w:bidi="ar-SY"/>
        </w:rPr>
      </w:pPr>
      <w:r>
        <w:rPr>
          <w:rFonts w:hint="cs"/>
          <w:rtl/>
        </w:rPr>
        <w:t>(</w:t>
      </w:r>
      <w:r w:rsidR="00123225">
        <w:rPr>
          <w:rFonts w:hint="cs"/>
          <w:rtl/>
        </w:rPr>
        <w:t>أ</w:t>
      </w:r>
      <w:r>
        <w:rPr>
          <w:rFonts w:hint="cs"/>
          <w:rtl/>
        </w:rPr>
        <w:t>)</w:t>
      </w:r>
      <w:r>
        <w:rPr>
          <w:rtl/>
        </w:rPr>
        <w:tab/>
      </w:r>
      <w:r w:rsidR="00123225">
        <w:rPr>
          <w:rFonts w:hint="cs"/>
          <w:rtl/>
          <w:lang w:val="fr-CH" w:bidi="ar-SY"/>
        </w:rPr>
        <w:t>ت</w:t>
      </w:r>
      <w:r w:rsidR="00123225">
        <w:rPr>
          <w:rFonts w:hint="cs"/>
          <w:rtl/>
        </w:rPr>
        <w:t>قبل خدمة الإيداع الإلكتروني ل</w:t>
      </w:r>
      <w:r w:rsidR="00123225">
        <w:rPr>
          <w:rFonts w:hint="cs"/>
          <w:rtl/>
          <w:lang w:val="fr-CH" w:bidi="ar-SY"/>
        </w:rPr>
        <w:t xml:space="preserve">تصاميم الجماعة الأوروبية التابعة للمكتب الأوروبي للملكية الفكرية 3 أنساق ملفات بالنسبة للتصاميم ثلاثية الأبعاد وقد </w:t>
      </w:r>
      <w:r w:rsidR="00BD1385">
        <w:rPr>
          <w:rFonts w:hint="cs"/>
          <w:rtl/>
          <w:lang w:val="fr-CH" w:bidi="ar-SY"/>
        </w:rPr>
        <w:t>تلقت</w:t>
      </w:r>
      <w:r w:rsidR="00123225">
        <w:rPr>
          <w:rFonts w:hint="cs"/>
          <w:rtl/>
          <w:lang w:val="fr-CH" w:bidi="ar-SY"/>
        </w:rPr>
        <w:t xml:space="preserve"> 980 ملفاً؛</w:t>
      </w:r>
    </w:p>
    <w:p w:rsidR="00123225" w:rsidRPr="00781CB2" w:rsidRDefault="00123225" w:rsidP="00BD1385">
      <w:pPr>
        <w:pStyle w:val="BodyTextFirstInden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(ب)</w:t>
      </w:r>
      <w:r>
        <w:rPr>
          <w:rtl/>
          <w:lang w:val="fr-CH" w:bidi="ar-SY"/>
        </w:rPr>
        <w:tab/>
      </w:r>
      <w:r w:rsidR="00BD1385">
        <w:rPr>
          <w:rFonts w:hint="cs"/>
          <w:rtl/>
          <w:lang w:val="fr-CH" w:bidi="ar-SY"/>
        </w:rPr>
        <w:t>ت</w:t>
      </w:r>
      <w:r w:rsidR="00B61AF6">
        <w:rPr>
          <w:rFonts w:hint="cs"/>
          <w:rtl/>
          <w:lang w:val="fr-CH" w:bidi="ar-SY"/>
        </w:rPr>
        <w:t xml:space="preserve">قبل </w:t>
      </w:r>
      <w:r w:rsidR="00BD1385">
        <w:rPr>
          <w:rFonts w:hint="cs"/>
          <w:rtl/>
          <w:lang w:val="fr-CH" w:bidi="ar-SY"/>
        </w:rPr>
        <w:t xml:space="preserve">جمهورية كوريا ملفات النمذجة ثلاثية الأبعاد عند </w:t>
      </w:r>
      <w:r w:rsidR="00B61AF6">
        <w:rPr>
          <w:rFonts w:hint="cs"/>
          <w:rtl/>
          <w:lang w:val="fr-CH" w:bidi="ar-SY"/>
        </w:rPr>
        <w:t>إيداع طلب حقوق الملكية الفكرية</w:t>
      </w:r>
      <w:r w:rsidR="00BD1385">
        <w:rPr>
          <w:rFonts w:hint="cs"/>
          <w:rtl/>
          <w:lang w:val="fr-CH" w:bidi="ar-SY"/>
        </w:rPr>
        <w:t>، وذلك</w:t>
      </w:r>
      <w:r w:rsidR="00B61AF6">
        <w:rPr>
          <w:rFonts w:hint="cs"/>
          <w:rtl/>
          <w:lang w:val="fr-CH" w:bidi="ar-SY"/>
        </w:rPr>
        <w:t xml:space="preserve"> منذ 2010 بعدما عُدّلت اللوائح ذات الصلة. </w:t>
      </w:r>
      <w:r w:rsidR="00781CB2">
        <w:rPr>
          <w:rFonts w:hint="cs"/>
          <w:rtl/>
          <w:lang w:val="fr-CH" w:bidi="ar-SY"/>
        </w:rPr>
        <w:t xml:space="preserve">وتُتاح الأنساق </w:t>
      </w:r>
      <w:r w:rsidR="00781CB2">
        <w:rPr>
          <w:lang w:bidi="ar-SY"/>
        </w:rPr>
        <w:t>3DS</w:t>
      </w:r>
      <w:r w:rsidR="00781CB2">
        <w:rPr>
          <w:rFonts w:hint="cs"/>
          <w:rtl/>
          <w:lang w:bidi="ar-SY"/>
        </w:rPr>
        <w:t xml:space="preserve"> و</w:t>
      </w:r>
      <w:r w:rsidR="00781CB2">
        <w:rPr>
          <w:lang w:bidi="ar-SY"/>
        </w:rPr>
        <w:t>DWG</w:t>
      </w:r>
      <w:r w:rsidR="00781CB2">
        <w:rPr>
          <w:rFonts w:hint="cs"/>
          <w:rtl/>
          <w:lang w:bidi="ar-SY"/>
        </w:rPr>
        <w:t xml:space="preserve"> و</w:t>
      </w:r>
      <w:r w:rsidR="00781CB2">
        <w:rPr>
          <w:lang w:bidi="ar-SY"/>
        </w:rPr>
        <w:t>DWF</w:t>
      </w:r>
      <w:r w:rsidR="00781CB2">
        <w:rPr>
          <w:rFonts w:hint="cs"/>
          <w:rtl/>
          <w:lang w:bidi="ar-SY"/>
        </w:rPr>
        <w:t xml:space="preserve"> و</w:t>
      </w:r>
      <w:r w:rsidR="00781CB2">
        <w:rPr>
          <w:lang w:bidi="ar-SY"/>
        </w:rPr>
        <w:t>IGES</w:t>
      </w:r>
      <w:r w:rsidR="00781CB2">
        <w:rPr>
          <w:rFonts w:hint="cs"/>
          <w:rtl/>
          <w:lang w:bidi="ar-SY"/>
        </w:rPr>
        <w:t xml:space="preserve"> و</w:t>
      </w:r>
      <w:r w:rsidR="00781CB2">
        <w:rPr>
          <w:lang w:bidi="ar-SY"/>
        </w:rPr>
        <w:t>3DM</w:t>
      </w:r>
      <w:r w:rsidR="00781CB2">
        <w:rPr>
          <w:rFonts w:hint="cs"/>
          <w:rtl/>
          <w:lang w:val="fr-CH" w:bidi="ar-SY"/>
        </w:rPr>
        <w:t xml:space="preserve"> في نظام الإيداع بوصفها </w:t>
      </w:r>
      <w:r w:rsidR="00BD1385">
        <w:rPr>
          <w:rFonts w:hint="cs"/>
          <w:rtl/>
          <w:lang w:val="fr-CH" w:bidi="ar-SY"/>
        </w:rPr>
        <w:t>أنساق</w:t>
      </w:r>
      <w:r w:rsidR="00781CB2">
        <w:rPr>
          <w:rFonts w:hint="cs"/>
          <w:rtl/>
          <w:lang w:val="fr-CH" w:bidi="ar-SY"/>
        </w:rPr>
        <w:t xml:space="preserve"> للتمثيل البياني للتصاميم (حتى دون صور ثنائية الأبعاد) ويودع سنوياً أكثر من 3000 تصميم لدى المكتب الكوري للملكية الفكرية.</w:t>
      </w:r>
    </w:p>
    <w:p w:rsidR="00123225" w:rsidRDefault="00123225" w:rsidP="00BD1385">
      <w:pPr>
        <w:pStyle w:val="BodyTextFirstInden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(ج)</w:t>
      </w:r>
      <w:r>
        <w:rPr>
          <w:rtl/>
          <w:lang w:val="fr-CH" w:bidi="ar-SY"/>
        </w:rPr>
        <w:tab/>
      </w:r>
      <w:r w:rsidR="00BD1385">
        <w:rPr>
          <w:rFonts w:hint="cs"/>
          <w:rtl/>
          <w:lang w:val="fr-CH" w:bidi="ar-SY"/>
        </w:rPr>
        <w:t>لا يستخدم حالياً مكتب ا</w:t>
      </w:r>
      <w:r>
        <w:rPr>
          <w:rFonts w:hint="cs"/>
          <w:rtl/>
          <w:lang w:val="fr-CH" w:bidi="ar-SY"/>
        </w:rPr>
        <w:t xml:space="preserve">لبراءات </w:t>
      </w:r>
      <w:r w:rsidR="00BD1385">
        <w:rPr>
          <w:rFonts w:hint="cs"/>
          <w:rtl/>
          <w:lang w:val="fr-CH" w:bidi="ar-SY"/>
        </w:rPr>
        <w:t xml:space="preserve">الياباني </w:t>
      </w:r>
      <w:r>
        <w:rPr>
          <w:rFonts w:hint="cs"/>
          <w:rtl/>
          <w:lang w:val="fr-CH" w:bidi="ar-SY"/>
        </w:rPr>
        <w:t>أي</w:t>
      </w:r>
      <w:r w:rsidR="00BD1385">
        <w:rPr>
          <w:rFonts w:hint="cs"/>
          <w:rtl/>
          <w:lang w:val="fr-CH" w:bidi="ar-SY"/>
        </w:rPr>
        <w:t>ة</w:t>
      </w:r>
      <w:r>
        <w:rPr>
          <w:rFonts w:hint="cs"/>
          <w:rtl/>
          <w:lang w:val="fr-CH" w:bidi="ar-SY"/>
        </w:rPr>
        <w:t xml:space="preserve"> نماذج أو صور ثلاثية الأبعاد؛</w:t>
      </w:r>
    </w:p>
    <w:p w:rsidR="00123225" w:rsidRPr="00123225" w:rsidRDefault="00123225" w:rsidP="00A97EFB">
      <w:pPr>
        <w:pStyle w:val="BodyTextFirstInden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(د)</w:t>
      </w:r>
      <w:r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 xml:space="preserve">يقبل حالياً مكتب الولايات المتحدة الأمريكية للبراءات والعلامات التجارية النماذج أو الصور ثلاثية الأبعاد </w:t>
      </w:r>
      <w:r w:rsidR="00FE277F">
        <w:rPr>
          <w:rFonts w:hint="cs"/>
          <w:rtl/>
          <w:lang w:val="fr-CH" w:bidi="ar-SY"/>
        </w:rPr>
        <w:t>فيما يتعلق بالعلامات التجارية في مرحلتي الإيداع والفحص.</w:t>
      </w:r>
    </w:p>
    <w:p w:rsidR="00C50A61" w:rsidRDefault="00FE277F" w:rsidP="00BD1385">
      <w:pPr>
        <w:pStyle w:val="ONUMA"/>
        <w:rPr>
          <w:lang w:bidi="ar-SY"/>
        </w:rPr>
      </w:pPr>
      <w:bookmarkStart w:id="13" w:name="ExtraPara"/>
      <w:bookmarkEnd w:id="13"/>
      <w:r>
        <w:rPr>
          <w:rFonts w:hint="cs"/>
          <w:rtl/>
          <w:lang w:bidi="ar-SY"/>
        </w:rPr>
        <w:t xml:space="preserve">وتعتقد فرقة العمل بأنه من أجل إعداد مقترحات </w:t>
      </w:r>
      <w:r w:rsidR="00BD1385">
        <w:rPr>
          <w:rFonts w:hint="cs"/>
          <w:rtl/>
          <w:lang w:bidi="ar-SY"/>
        </w:rPr>
        <w:t>ل</w:t>
      </w:r>
      <w:r>
        <w:rPr>
          <w:rFonts w:hint="cs"/>
          <w:rtl/>
          <w:lang w:bidi="ar-SY"/>
        </w:rPr>
        <w:t xml:space="preserve">توصيات الويبو </w:t>
      </w:r>
      <w:r w:rsidR="00BD1385">
        <w:rPr>
          <w:rFonts w:hint="cs"/>
          <w:rtl/>
          <w:lang w:bidi="ar-SY"/>
        </w:rPr>
        <w:t>بشأن</w:t>
      </w:r>
      <w:r>
        <w:rPr>
          <w:rFonts w:hint="cs"/>
          <w:rtl/>
          <w:lang w:bidi="ar-SY"/>
        </w:rPr>
        <w:t xml:space="preserve"> بالنماذج والصور ثلاثية الأبعاد، من المهم جمع ممارسات </w:t>
      </w:r>
      <w:r w:rsidR="00BD1385">
        <w:rPr>
          <w:rFonts w:hint="cs"/>
          <w:rtl/>
          <w:lang w:bidi="ar-SY"/>
        </w:rPr>
        <w:t>وخيارات كل من</w:t>
      </w:r>
      <w:r>
        <w:rPr>
          <w:rFonts w:hint="cs"/>
          <w:rtl/>
          <w:lang w:bidi="ar-SY"/>
        </w:rPr>
        <w:t xml:space="preserve"> مكاتب الملكية الفكرية والمجال الصناعي والمستخدمين فيما يتعلق بالنماذج ثلاثية الأبعاد. و</w:t>
      </w:r>
      <w:r w:rsidR="00BD1385">
        <w:rPr>
          <w:rFonts w:hint="cs"/>
          <w:rtl/>
          <w:lang w:bidi="ar-SY"/>
        </w:rPr>
        <w:t>لهذا</w:t>
      </w:r>
      <w:r>
        <w:rPr>
          <w:rFonts w:hint="cs"/>
          <w:rtl/>
          <w:lang w:bidi="ar-SY"/>
        </w:rPr>
        <w:t xml:space="preserve">، </w:t>
      </w:r>
      <w:r w:rsidR="00BD1385">
        <w:rPr>
          <w:rFonts w:hint="cs"/>
          <w:rtl/>
          <w:lang w:bidi="ar-SY"/>
        </w:rPr>
        <w:t xml:space="preserve">فإن </w:t>
      </w:r>
      <w:r>
        <w:rPr>
          <w:rFonts w:hint="cs"/>
          <w:rtl/>
          <w:lang w:bidi="ar-SY"/>
        </w:rPr>
        <w:t xml:space="preserve">فرقة العمل </w:t>
      </w:r>
      <w:r w:rsidR="00BD1385">
        <w:rPr>
          <w:rFonts w:hint="cs"/>
          <w:rtl/>
          <w:lang w:bidi="ar-SY"/>
        </w:rPr>
        <w:t xml:space="preserve">تقدم </w:t>
      </w:r>
      <w:r>
        <w:rPr>
          <w:rFonts w:hint="cs"/>
          <w:rtl/>
          <w:lang w:bidi="ar-SY"/>
        </w:rPr>
        <w:t xml:space="preserve">مشروع استبيان يرد في المرفق بهذه الوثيقة لتنظر فيه لجنة المعايير خلال هذه الدورة، وتلتمس من الأمانة إصدار تعميم يدعو مكاتب الملكية الفكرية إلى </w:t>
      </w:r>
      <w:r w:rsidR="00BD1385">
        <w:rPr>
          <w:rFonts w:hint="cs"/>
          <w:rtl/>
          <w:lang w:bidi="ar-SY"/>
        </w:rPr>
        <w:t xml:space="preserve">الرد على الاستبيان. كما </w:t>
      </w:r>
      <w:r>
        <w:rPr>
          <w:rFonts w:hint="cs"/>
          <w:rtl/>
          <w:lang w:bidi="ar-SY"/>
        </w:rPr>
        <w:t>ت</w:t>
      </w:r>
      <w:r w:rsidR="00BD1385">
        <w:rPr>
          <w:rFonts w:hint="cs"/>
          <w:rtl/>
          <w:lang w:bidi="ar-SY"/>
        </w:rPr>
        <w:t>ُ</w:t>
      </w:r>
      <w:r>
        <w:rPr>
          <w:rFonts w:hint="cs"/>
          <w:rtl/>
          <w:lang w:bidi="ar-SY"/>
        </w:rPr>
        <w:t>ع</w:t>
      </w:r>
      <w:r w:rsidR="00BD1385">
        <w:rPr>
          <w:rFonts w:hint="cs"/>
          <w:rtl/>
          <w:lang w:bidi="ar-SY"/>
        </w:rPr>
        <w:t>ِ</w:t>
      </w:r>
      <w:r>
        <w:rPr>
          <w:rFonts w:hint="cs"/>
          <w:rtl/>
          <w:lang w:bidi="ar-SY"/>
        </w:rPr>
        <w:t>د</w:t>
      </w:r>
      <w:r w:rsidR="00BD1385">
        <w:rPr>
          <w:rFonts w:hint="cs"/>
          <w:rtl/>
          <w:lang w:bidi="ar-SY"/>
        </w:rPr>
        <w:t>ّ</w:t>
      </w:r>
      <w:r>
        <w:rPr>
          <w:rFonts w:hint="cs"/>
          <w:rtl/>
          <w:lang w:bidi="ar-SY"/>
        </w:rPr>
        <w:t xml:space="preserve"> فرقة العمل حالياً استبياناً ثانياً لفائدة المجال الصناعي والمستخدمين بشأن الاحتياجات </w:t>
      </w:r>
      <w:r w:rsidR="00BD1385">
        <w:rPr>
          <w:rFonts w:hint="cs"/>
          <w:rtl/>
          <w:lang w:bidi="ar-SY"/>
        </w:rPr>
        <w:t>والخيارات</w:t>
      </w:r>
      <w:r>
        <w:rPr>
          <w:rFonts w:hint="cs"/>
          <w:rtl/>
          <w:lang w:bidi="ar-SY"/>
        </w:rPr>
        <w:t xml:space="preserve"> فيما يتعلق بالنماذج ثلاثية الأبعاد، وستنظر فيه لجنة المعايير خلال دورتها السابعة.</w:t>
      </w:r>
    </w:p>
    <w:p w:rsidR="00FE277F" w:rsidRDefault="00FE277F">
      <w:pPr>
        <w:bidi w:val="0"/>
        <w:rPr>
          <w:rFonts w:eastAsia="SimSun"/>
          <w:rtl/>
          <w:lang w:eastAsia="zh-CN" w:bidi="ar-SY"/>
        </w:rPr>
      </w:pPr>
      <w:r>
        <w:rPr>
          <w:rtl/>
          <w:lang w:bidi="ar-SY"/>
        </w:rPr>
        <w:br w:type="page"/>
      </w:r>
    </w:p>
    <w:p w:rsidR="00FE277F" w:rsidRDefault="00FE277F" w:rsidP="00FE277F">
      <w:pPr>
        <w:pStyle w:val="Heading3"/>
        <w:rPr>
          <w:rtl/>
          <w:lang w:val="fr-CH" w:bidi="ar-SY"/>
        </w:rPr>
      </w:pPr>
      <w:r>
        <w:rPr>
          <w:rFonts w:hint="cs"/>
          <w:rtl/>
          <w:lang w:val="fr-CH" w:bidi="ar-SY"/>
        </w:rPr>
        <w:lastRenderedPageBreak/>
        <w:t>مشروع خطة العمل</w:t>
      </w:r>
    </w:p>
    <w:p w:rsidR="00FE277F" w:rsidRDefault="00BD1385" w:rsidP="00FE277F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عقدت</w:t>
      </w:r>
      <w:r w:rsidR="00FE277F">
        <w:rPr>
          <w:rFonts w:hint="cs"/>
          <w:rtl/>
          <w:lang w:val="fr-CH" w:bidi="ar-SY"/>
        </w:rPr>
        <w:t xml:space="preserve"> فرقة العمل مناقشة واقترحت مشروع خطة العمل </w:t>
      </w:r>
      <w:r>
        <w:rPr>
          <w:rFonts w:hint="cs"/>
          <w:rtl/>
          <w:lang w:val="fr-CH" w:bidi="ar-SY"/>
        </w:rPr>
        <w:t xml:space="preserve">الواردة </w:t>
      </w:r>
      <w:r w:rsidR="00FE277F">
        <w:rPr>
          <w:rFonts w:hint="cs"/>
          <w:rtl/>
          <w:lang w:val="fr-CH" w:bidi="ar-SY"/>
        </w:rPr>
        <w:t>أدناه للفترة 2019-2020:</w:t>
      </w:r>
    </w:p>
    <w:tbl>
      <w:tblPr>
        <w:tblStyle w:val="TableGrid"/>
        <w:bidiVisual/>
        <w:tblW w:w="9214" w:type="dxa"/>
        <w:tblLook w:val="04A0" w:firstRow="1" w:lastRow="0" w:firstColumn="1" w:lastColumn="0" w:noHBand="0" w:noVBand="1"/>
      </w:tblPr>
      <w:tblGrid>
        <w:gridCol w:w="3261"/>
        <w:gridCol w:w="3827"/>
        <w:gridCol w:w="2126"/>
      </w:tblGrid>
      <w:tr w:rsidR="00FE277F" w:rsidRPr="00FE277F" w:rsidTr="00FE277F">
        <w:trPr>
          <w:cantSplit/>
        </w:trPr>
        <w:tc>
          <w:tcPr>
            <w:tcW w:w="3261" w:type="dxa"/>
            <w:shd w:val="clear" w:color="auto" w:fill="D9D9D9" w:themeFill="background1" w:themeFillShade="D9"/>
            <w:vAlign w:val="center"/>
            <w:hideMark/>
          </w:tcPr>
          <w:p w:rsidR="00FE277F" w:rsidRPr="00FE277F" w:rsidRDefault="00FE277F" w:rsidP="0015597B">
            <w:pPr>
              <w:pStyle w:val="ONUME"/>
              <w:tabs>
                <w:tab w:val="left" w:pos="720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lang w:eastAsia="en-US"/>
              </w:rPr>
            </w:pPr>
            <w:r w:rsidRPr="00FE277F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eastAsia="en-US"/>
              </w:rPr>
              <w:t>الإجراء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FE277F" w:rsidRPr="00FE277F" w:rsidRDefault="00FE277F" w:rsidP="0015597B">
            <w:pPr>
              <w:pStyle w:val="ONUME"/>
              <w:tabs>
                <w:tab w:val="left" w:pos="720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lang w:eastAsia="en-US"/>
              </w:rPr>
            </w:pPr>
            <w:r w:rsidRPr="00FE277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eastAsia="en-US"/>
              </w:rPr>
              <w:t>الإجراء</w:t>
            </w:r>
            <w:r w:rsidR="00BD1385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eastAsia="en-US"/>
              </w:rPr>
              <w:t>ات</w:t>
            </w:r>
            <w:r w:rsidRPr="00FE277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eastAsia="en-US"/>
              </w:rPr>
              <w:t xml:space="preserve"> المتوقع</w:t>
            </w:r>
            <w:r w:rsidR="00BD1385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eastAsia="en-US"/>
              </w:rPr>
              <w:t>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:rsidR="00BD1385" w:rsidRPr="00FE277F" w:rsidRDefault="00FE277F" w:rsidP="00BD1385">
            <w:pPr>
              <w:pStyle w:val="ONUME"/>
              <w:tabs>
                <w:tab w:val="left" w:pos="720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lang w:eastAsia="en-US"/>
              </w:rPr>
            </w:pPr>
            <w:r w:rsidRPr="00FE277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eastAsia="en-US"/>
              </w:rPr>
              <w:t xml:space="preserve">التاريخ </w:t>
            </w:r>
            <w:r w:rsidR="00BD1385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eastAsia="en-US"/>
              </w:rPr>
              <w:t>المحدد</w:t>
            </w:r>
          </w:p>
        </w:tc>
      </w:tr>
      <w:tr w:rsidR="00FE277F" w:rsidRPr="00FE277F" w:rsidTr="00FE277F">
        <w:trPr>
          <w:cantSplit/>
        </w:trPr>
        <w:tc>
          <w:tcPr>
            <w:tcW w:w="3261" w:type="dxa"/>
            <w:hideMark/>
          </w:tcPr>
          <w:p w:rsidR="00FE277F" w:rsidRPr="00FE277F" w:rsidRDefault="00FE277F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إنشاء فرقة العمل خلال الدورة السادسة للجنة المعايير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3827" w:type="dxa"/>
            <w:hideMark/>
          </w:tcPr>
          <w:p w:rsidR="00FE277F" w:rsidRDefault="0015597B" w:rsidP="0015597B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5597B">
              <w:rPr>
                <w:rFonts w:ascii="Arabic Typesetting" w:hAnsi="Arabic Typesetting" w:cs="Arabic Typesetting"/>
                <w:sz w:val="36"/>
                <w:szCs w:val="36"/>
                <w:rtl/>
              </w:rPr>
              <w:t>نشأة فرقة العمل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15597B" w:rsidRDefault="0015597B" w:rsidP="0015597B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دعوة مكاتب الملكية الفكرية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15597B" w:rsidRDefault="0015597B" w:rsidP="0015597B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مباشرة المناقشات ضمن فرقة العمل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FE277F" w:rsidRPr="0015597B" w:rsidRDefault="0015597B" w:rsidP="0015597B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إعداد مشروع الاستبيان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</w:tc>
        <w:tc>
          <w:tcPr>
            <w:tcW w:w="2126" w:type="dxa"/>
            <w:hideMark/>
          </w:tcPr>
          <w:p w:rsidR="0015597B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الدورة السادسة للجنة المعايير في أكتوبر 2018 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يناير 2019</w:t>
            </w:r>
          </w:p>
          <w:p w:rsidR="00FE277F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(منجز)</w:t>
            </w:r>
          </w:p>
        </w:tc>
      </w:tr>
      <w:tr w:rsidR="00FE277F" w:rsidRPr="00FE277F" w:rsidTr="00FE277F">
        <w:trPr>
          <w:cantSplit/>
        </w:trPr>
        <w:tc>
          <w:tcPr>
            <w:tcW w:w="3261" w:type="dxa"/>
            <w:hideMark/>
          </w:tcPr>
          <w:p w:rsidR="0015597B" w:rsidRPr="00FE277F" w:rsidRDefault="0015597B" w:rsidP="00BA33F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إجراء دراسة استقصائية </w:t>
            </w:r>
            <w:r w:rsidR="00BD1385">
              <w:rPr>
                <w:rFonts w:ascii="Arabic Typesetting" w:hAnsi="Arabic Typesetting" w:cs="Arabic Typesetting" w:hint="cs"/>
                <w:sz w:val="36"/>
                <w:szCs w:val="36"/>
                <w:rtl/>
                <w:lang w:val="fr-CH" w:eastAsia="en-US" w:bidi="ar-SY"/>
              </w:rPr>
              <w:t>بشأن ا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لممارسا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eastAsia="en-US"/>
              </w:rPr>
              <w:t>ت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 الحالية</w:t>
            </w:r>
            <w:r w:rsidR="00BD138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،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 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موجهة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 لأعضاء فرقة العمل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3827" w:type="dxa"/>
            <w:hideMark/>
          </w:tcPr>
          <w:p w:rsidR="0015597B" w:rsidRPr="00FE277F" w:rsidRDefault="00BA33F5" w:rsidP="00BA33F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توزيع</w:t>
            </w:r>
            <w:r w:rsidR="0015597B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 الاستبيان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على</w:t>
            </w:r>
            <w:r w:rsidR="0015597B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 أعضاء فرقة العمل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2126" w:type="dxa"/>
            <w:hideMark/>
          </w:tcPr>
          <w:p w:rsidR="00FE277F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يناير 2019</w:t>
            </w:r>
          </w:p>
          <w:p w:rsidR="00FE277F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(منجز)</w:t>
            </w:r>
          </w:p>
        </w:tc>
      </w:tr>
      <w:tr w:rsidR="00FE277F" w:rsidRPr="00FE277F" w:rsidTr="00FE277F">
        <w:trPr>
          <w:cantSplit/>
        </w:trPr>
        <w:tc>
          <w:tcPr>
            <w:tcW w:w="3261" w:type="dxa"/>
            <w:hideMark/>
          </w:tcPr>
          <w:p w:rsidR="00BA33F5" w:rsidRPr="00FE277F" w:rsidRDefault="0015597B" w:rsidP="00BA33F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جمع وتحليل الردود على الدراسة الاستقصائية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3827" w:type="dxa"/>
            <w:hideMark/>
          </w:tcPr>
          <w:p w:rsidR="0015597B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تلقي الردود على دراسة الاستق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صائية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والتعليقات بشأن الاستبيان وأخذها في الاعتبار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2126" w:type="dxa"/>
            <w:hideMark/>
          </w:tcPr>
          <w:p w:rsidR="00FE277F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مارس 2019</w:t>
            </w:r>
          </w:p>
          <w:p w:rsidR="00FE277F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(منجز)</w:t>
            </w:r>
          </w:p>
        </w:tc>
      </w:tr>
      <w:tr w:rsidR="00FE277F" w:rsidRPr="00FE277F" w:rsidTr="00FE277F">
        <w:trPr>
          <w:cantSplit/>
        </w:trPr>
        <w:tc>
          <w:tcPr>
            <w:tcW w:w="3261" w:type="dxa"/>
            <w:hideMark/>
          </w:tcPr>
          <w:p w:rsidR="0015597B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صياغة التقرير المرحلي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3827" w:type="dxa"/>
            <w:hideMark/>
          </w:tcPr>
          <w:p w:rsidR="00FE277F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مشروع التقرير المرحلي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2126" w:type="dxa"/>
            <w:hideMark/>
          </w:tcPr>
          <w:p w:rsid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أبريل 2019</w:t>
            </w:r>
          </w:p>
          <w:p w:rsidR="0015597B" w:rsidRPr="00FE277F" w:rsidRDefault="0015597B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(منجز)</w:t>
            </w:r>
          </w:p>
        </w:tc>
      </w:tr>
      <w:tr w:rsidR="00FE277F" w:rsidRPr="00FE277F" w:rsidTr="00FE277F">
        <w:trPr>
          <w:cantSplit/>
        </w:trPr>
        <w:tc>
          <w:tcPr>
            <w:tcW w:w="3261" w:type="dxa"/>
          </w:tcPr>
          <w:p w:rsidR="009B2DD1" w:rsidRPr="009B2DD1" w:rsidRDefault="009B2DD1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eastAsia="en-US"/>
              </w:rPr>
            </w:pPr>
            <w:r w:rsidRPr="009B2DD1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تقديم التقرير المرحلي ومشروع الاستبيان لتنظر فيهما لجنة المعايير في دورتها السابعة وتوافق عليهما (الدورة الثامنة للجنة المعايير)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  <w:p w:rsidR="00FE277F" w:rsidRPr="00FE277F" w:rsidRDefault="00FE277F" w:rsidP="009B2DD1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</w:p>
        </w:tc>
        <w:tc>
          <w:tcPr>
            <w:tcW w:w="3827" w:type="dxa"/>
          </w:tcPr>
          <w:p w:rsidR="00FE277F" w:rsidRPr="009B2DD1" w:rsidRDefault="009B2DD1" w:rsidP="009B2DD1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highlight w:val="yellow"/>
                <w:lang w:eastAsia="en-US"/>
              </w:rPr>
            </w:pPr>
            <w:r w:rsidRPr="009B2DD1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الموافقة على التقرير المرحلي والاستبيان أو التعليقات الواردة. وإطلاق الدراسة الاستقصائية 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الموجهة </w:t>
            </w:r>
            <w:r w:rsidRPr="009B2DD1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لمكاتب الملكية الفكرية إضافة إلى المجال الصناعي والمستخدمين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2126" w:type="dxa"/>
          </w:tcPr>
          <w:p w:rsidR="009B2DD1" w:rsidRDefault="009B2DD1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يوليو 2019</w:t>
            </w:r>
          </w:p>
          <w:p w:rsidR="00FE277F" w:rsidRPr="00FE277F" w:rsidRDefault="009B2DD1" w:rsidP="009B2DD1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(الدورة السابعة للجنة المعايير)</w:t>
            </w:r>
          </w:p>
        </w:tc>
      </w:tr>
      <w:tr w:rsidR="00FE277F" w:rsidRPr="00FE277F" w:rsidTr="00FE277F">
        <w:trPr>
          <w:cantSplit/>
        </w:trPr>
        <w:tc>
          <w:tcPr>
            <w:tcW w:w="3261" w:type="dxa"/>
          </w:tcPr>
          <w:p w:rsidR="009B2DD1" w:rsidRPr="00FE277F" w:rsidRDefault="009B2DD1" w:rsidP="009B2DD1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الاضطلاع بالدراسة الاستقصائية الموجهة لمكاتب الملكية الفكرية والمجال الصناعي والمستخدمين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3827" w:type="dxa"/>
          </w:tcPr>
          <w:p w:rsidR="009B2DD1" w:rsidRDefault="009B2DD1" w:rsidP="009B2DD1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إصدار تعميم على مكاتب الملكية الفكرية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  <w:p w:rsidR="009B2DD1" w:rsidRDefault="00132A55" w:rsidP="009B2DD1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تواصل أعضاء فرقة العمل مع المستخدمين والمجال الصناعي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  <w:p w:rsidR="00132A55" w:rsidRPr="00FE277F" w:rsidRDefault="00132A55" w:rsidP="00132A5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جمع النتائج وتحليلها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.</w:t>
            </w:r>
          </w:p>
        </w:tc>
        <w:tc>
          <w:tcPr>
            <w:tcW w:w="2126" w:type="dxa"/>
          </w:tcPr>
          <w:p w:rsidR="00FE277F" w:rsidRPr="00FE277F" w:rsidRDefault="009B2DD1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نهاية 2019</w:t>
            </w:r>
          </w:p>
        </w:tc>
      </w:tr>
      <w:tr w:rsidR="00FE277F" w:rsidRPr="00FE277F" w:rsidTr="00FE277F">
        <w:trPr>
          <w:cantSplit/>
        </w:trPr>
        <w:tc>
          <w:tcPr>
            <w:tcW w:w="3261" w:type="dxa"/>
          </w:tcPr>
          <w:p w:rsidR="00FE277F" w:rsidRPr="00132A55" w:rsidRDefault="00132A55" w:rsidP="00132A5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highlight w:val="red"/>
                <w:lang w:eastAsia="en-US"/>
              </w:rPr>
            </w:pPr>
            <w:r w:rsidRPr="00132A5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إعداد مشروع توصيات الويبو بالاستناد إلى نتائج الدراسة الاستقصائية</w:t>
            </w:r>
          </w:p>
        </w:tc>
        <w:tc>
          <w:tcPr>
            <w:tcW w:w="3827" w:type="dxa"/>
          </w:tcPr>
          <w:p w:rsidR="00132A55" w:rsidRPr="00132A55" w:rsidRDefault="00132A55" w:rsidP="00132A5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eastAsia="en-US"/>
              </w:rPr>
            </w:pPr>
            <w:r w:rsidRPr="00132A5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مناقشة نتائج الدراسة الاستقصائية مع أعضاء فرفة العمل</w:t>
            </w:r>
          </w:p>
          <w:p w:rsidR="00132A55" w:rsidRPr="00132A55" w:rsidRDefault="00132A55" w:rsidP="00132A5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rtl/>
                <w:lang w:val="fr-CH" w:eastAsia="en-US" w:bidi="ar-SY"/>
              </w:rPr>
            </w:pPr>
            <w:r w:rsidRPr="00132A5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تحديد </w:t>
            </w:r>
            <w:r w:rsidRPr="00132A55">
              <w:rPr>
                <w:rFonts w:ascii="Arabic Typesetting" w:hAnsi="Arabic Typesetting" w:cs="Arabic Typesetting" w:hint="cs"/>
                <w:sz w:val="36"/>
                <w:szCs w:val="36"/>
                <w:rtl/>
                <w:lang w:val="fr-CH" w:eastAsia="en-US" w:bidi="ar-SY"/>
              </w:rPr>
              <w:t>مجالات المصالح المشتركة</w:t>
            </w:r>
          </w:p>
          <w:p w:rsidR="00132A55" w:rsidRPr="00132A55" w:rsidRDefault="00132A55" w:rsidP="00132A5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highlight w:val="yellow"/>
                <w:rtl/>
                <w:lang w:val="fr-CH" w:eastAsia="en-US" w:bidi="ar-SY"/>
              </w:rPr>
            </w:pPr>
            <w:r w:rsidRPr="00132A55">
              <w:rPr>
                <w:rFonts w:ascii="Arabic Typesetting" w:hAnsi="Arabic Typesetting" w:cs="Arabic Typesetting" w:hint="cs"/>
                <w:sz w:val="36"/>
                <w:szCs w:val="36"/>
                <w:rtl/>
                <w:lang w:val="fr-CH" w:eastAsia="en-US" w:bidi="ar-SY"/>
              </w:rPr>
              <w:t>صياغة التوصيات</w:t>
            </w:r>
          </w:p>
        </w:tc>
        <w:tc>
          <w:tcPr>
            <w:tcW w:w="2126" w:type="dxa"/>
          </w:tcPr>
          <w:p w:rsidR="00FE277F" w:rsidRPr="00FE277F" w:rsidRDefault="009B2DD1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بداية 2020</w:t>
            </w:r>
          </w:p>
        </w:tc>
      </w:tr>
      <w:tr w:rsidR="00FE277F" w:rsidRPr="00FE277F" w:rsidTr="00FE277F">
        <w:trPr>
          <w:cantSplit/>
        </w:trPr>
        <w:tc>
          <w:tcPr>
            <w:tcW w:w="3261" w:type="dxa"/>
          </w:tcPr>
          <w:p w:rsidR="00132A55" w:rsidRPr="00FE277F" w:rsidRDefault="00132A55" w:rsidP="00132A5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تقدي</w:t>
            </w:r>
            <w:r w:rsidR="00BA33F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م مشروع توصيات الويبو لتنظر فيه لجنة المعايير وتوافق عليه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 في دورتها الثامنة.</w:t>
            </w:r>
          </w:p>
        </w:tc>
        <w:tc>
          <w:tcPr>
            <w:tcW w:w="3827" w:type="dxa"/>
          </w:tcPr>
          <w:p w:rsidR="00132A55" w:rsidRPr="00FE277F" w:rsidRDefault="00B61AF6" w:rsidP="00132A55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الموافقة على </w:t>
            </w:r>
            <w:r w:rsidR="00132A55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 xml:space="preserve">توصيات الويبو بشأن النماذج والصور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ثلاثية الأبعاد أو التعليقات الواردة</w:t>
            </w:r>
          </w:p>
        </w:tc>
        <w:tc>
          <w:tcPr>
            <w:tcW w:w="2126" w:type="dxa"/>
          </w:tcPr>
          <w:p w:rsidR="00FE277F" w:rsidRPr="00FE277F" w:rsidRDefault="00BA33F5" w:rsidP="0015597B">
            <w:pPr>
              <w:pStyle w:val="ONUME"/>
              <w:tabs>
                <w:tab w:val="left" w:pos="720"/>
              </w:tabs>
              <w:bidi/>
              <w:spacing w:after="0"/>
              <w:rPr>
                <w:rFonts w:ascii="Arabic Typesetting" w:hAnsi="Arabic Typesetting" w:cs="Arabic Typesetting"/>
                <w:sz w:val="36"/>
                <w:szCs w:val="36"/>
                <w:lang w:eastAsia="en-US"/>
              </w:rPr>
            </w:pPr>
            <w:r w:rsidRPr="009B2DD1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الدورة الثامنة للجنة المعايير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en-US"/>
              </w:rPr>
              <w:t>/ يُحدَّد لاحقاً</w:t>
            </w:r>
          </w:p>
        </w:tc>
      </w:tr>
    </w:tbl>
    <w:p w:rsidR="00B61AF6" w:rsidRDefault="00B61AF6">
      <w:pPr>
        <w:bidi w:val="0"/>
        <w:rPr>
          <w:rFonts w:eastAsia="SimSun"/>
          <w:i/>
          <w:iCs/>
          <w:rtl/>
          <w:lang w:eastAsia="zh-CN"/>
        </w:rPr>
      </w:pPr>
      <w:r>
        <w:rPr>
          <w:rtl/>
        </w:rPr>
        <w:br w:type="page"/>
      </w:r>
    </w:p>
    <w:p w:rsidR="00FE277F" w:rsidRDefault="00FE277F" w:rsidP="00FE277F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:rsidR="00FE277F" w:rsidRDefault="00FE277F" w:rsidP="00DB50B8">
      <w:pPr>
        <w:pStyle w:val="Decision"/>
        <w:numPr>
          <w:ilvl w:val="0"/>
          <w:numId w:val="0"/>
        </w:numPr>
        <w:ind w:left="5485" w:firstLine="540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الإحاطة علماً بمضمون هذه الوثيقة؛</w:t>
      </w:r>
    </w:p>
    <w:p w:rsidR="00FE277F" w:rsidRPr="00166751" w:rsidRDefault="00FE277F" w:rsidP="00DB50B8">
      <w:pPr>
        <w:pStyle w:val="Decision"/>
        <w:numPr>
          <w:ilvl w:val="0"/>
          <w:numId w:val="0"/>
        </w:numPr>
        <w:ind w:left="5485" w:firstLine="540"/>
        <w:rPr>
          <w:rtl/>
          <w:lang w:val="fr-CH" w:bidi="ar-SY"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="00B61AF6">
        <w:rPr>
          <w:rFonts w:hint="cs"/>
          <w:rtl/>
        </w:rPr>
        <w:t>والإحاطة علماً بخطة عمل فرقة العمل المعنية بالنماذج والصور ثلاثية الأبعاد وتشجيع مكاتب الملكية الفكرية على المشاركة في مناقشات فرقة العمل</w:t>
      </w:r>
      <w:r w:rsidRPr="004C51E2">
        <w:rPr>
          <w:rtl/>
        </w:rPr>
        <w:t>؛</w:t>
      </w:r>
    </w:p>
    <w:p w:rsidR="00FE277F" w:rsidRPr="00166751" w:rsidRDefault="00FE277F" w:rsidP="00DB50B8">
      <w:pPr>
        <w:pStyle w:val="Decision"/>
        <w:numPr>
          <w:ilvl w:val="0"/>
          <w:numId w:val="0"/>
        </w:numPr>
        <w:ind w:left="5485" w:firstLine="540"/>
        <w:rPr>
          <w:rtl/>
          <w:lang w:val="fr-CH" w:bidi="ar-SY"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="00B61AF6">
        <w:rPr>
          <w:rFonts w:hint="cs"/>
          <w:rtl/>
        </w:rPr>
        <w:t xml:space="preserve">والنظر في الاستبيان بشأن النماذج ثلاثية الأبعاد الوارد في المرفق بهذه الوثيقة </w:t>
      </w:r>
      <w:r w:rsidR="00BA33F5">
        <w:rPr>
          <w:rFonts w:hint="cs"/>
          <w:rtl/>
        </w:rPr>
        <w:t>الموجهة</w:t>
      </w:r>
      <w:r w:rsidR="00B61AF6">
        <w:rPr>
          <w:rFonts w:hint="cs"/>
          <w:rtl/>
        </w:rPr>
        <w:t xml:space="preserve"> </w:t>
      </w:r>
      <w:r w:rsidR="00BA33F5">
        <w:rPr>
          <w:rFonts w:hint="cs"/>
          <w:rtl/>
        </w:rPr>
        <w:t>ل</w:t>
      </w:r>
      <w:r w:rsidR="00B61AF6">
        <w:rPr>
          <w:rFonts w:hint="cs"/>
          <w:rtl/>
        </w:rPr>
        <w:t>مكاتب الملكية الفكرية والموافقة عليه؛</w:t>
      </w:r>
    </w:p>
    <w:p w:rsidR="00FE277F" w:rsidRDefault="00FE277F" w:rsidP="00DB50B8">
      <w:pPr>
        <w:pStyle w:val="Decision"/>
        <w:numPr>
          <w:ilvl w:val="0"/>
          <w:numId w:val="0"/>
        </w:numPr>
        <w:ind w:left="5485" w:firstLine="540"/>
        <w:rPr>
          <w:rtl/>
        </w:rPr>
      </w:pPr>
      <w:r>
        <w:rPr>
          <w:rFonts w:hint="cs"/>
          <w:rtl/>
        </w:rPr>
        <w:t>(د)</w:t>
      </w:r>
      <w:r w:rsidR="00DB50B8">
        <w:tab/>
      </w:r>
      <w:r w:rsidR="00B61AF6" w:rsidRPr="004C51E2">
        <w:rPr>
          <w:rtl/>
        </w:rPr>
        <w:t>والالتماس من الأمانة بأن تصدر تعميماً يدعو مكاتب الملكية الفكرية إلى</w:t>
      </w:r>
      <w:r w:rsidR="00B61AF6">
        <w:rPr>
          <w:rtl/>
        </w:rPr>
        <w:t xml:space="preserve"> المشاركة في الدراسة الاستقصائي</w:t>
      </w:r>
      <w:r w:rsidR="00B61AF6">
        <w:rPr>
          <w:rFonts w:hint="cs"/>
          <w:rtl/>
        </w:rPr>
        <w:t>ة الواردة في المرفق، إذا وافقت عليها لجنة المعايير؛</w:t>
      </w:r>
    </w:p>
    <w:p w:rsidR="00FE277F" w:rsidRDefault="00FE277F" w:rsidP="00DB50B8">
      <w:pPr>
        <w:pStyle w:val="Decision"/>
        <w:numPr>
          <w:ilvl w:val="0"/>
          <w:numId w:val="0"/>
        </w:numPr>
        <w:ind w:left="5485" w:firstLine="540"/>
        <w:rPr>
          <w:rtl/>
        </w:rPr>
      </w:pPr>
      <w:r>
        <w:rPr>
          <w:rFonts w:hint="cs"/>
          <w:rtl/>
        </w:rPr>
        <w:t>(ه)</w:t>
      </w:r>
      <w:r w:rsidR="00DB50B8">
        <w:tab/>
      </w:r>
      <w:r w:rsidR="00BA33F5">
        <w:rPr>
          <w:rFonts w:hint="cs"/>
          <w:rtl/>
        </w:rPr>
        <w:t>و</w:t>
      </w:r>
      <w:r w:rsidR="00B61AF6">
        <w:rPr>
          <w:rFonts w:hint="cs"/>
          <w:rtl/>
        </w:rPr>
        <w:t>توضيح</w:t>
      </w:r>
      <w:r w:rsidR="00B61AF6" w:rsidRPr="00B61AF6">
        <w:rPr>
          <w:rtl/>
        </w:rPr>
        <w:t xml:space="preserve"> ما إذا كان</w:t>
      </w:r>
      <w:r w:rsidR="00B61AF6">
        <w:rPr>
          <w:rFonts w:hint="cs"/>
          <w:rtl/>
        </w:rPr>
        <w:t>ت</w:t>
      </w:r>
      <w:r w:rsidR="00B61AF6" w:rsidRPr="00B61AF6">
        <w:rPr>
          <w:rtl/>
        </w:rPr>
        <w:t xml:space="preserve"> </w:t>
      </w:r>
      <w:r w:rsidR="00B61AF6">
        <w:rPr>
          <w:rFonts w:hint="cs"/>
          <w:rtl/>
        </w:rPr>
        <w:t>ا</w:t>
      </w:r>
      <w:r w:rsidR="00B61AF6" w:rsidRPr="00B61AF6">
        <w:rPr>
          <w:rtl/>
        </w:rPr>
        <w:t>لأمانة</w:t>
      </w:r>
      <w:r w:rsidR="00B61AF6">
        <w:rPr>
          <w:rFonts w:hint="cs"/>
          <w:rtl/>
        </w:rPr>
        <w:t xml:space="preserve"> قادرة على</w:t>
      </w:r>
      <w:r w:rsidR="00B61AF6" w:rsidRPr="00B61AF6">
        <w:rPr>
          <w:rtl/>
        </w:rPr>
        <w:t xml:space="preserve"> </w:t>
      </w:r>
      <w:r w:rsidR="00B61AF6">
        <w:rPr>
          <w:rFonts w:hint="cs"/>
          <w:rtl/>
        </w:rPr>
        <w:t>إدارة الدراسة الاستقصائية الموجهة للمجال الصناعي</w:t>
      </w:r>
      <w:r w:rsidR="00B61AF6" w:rsidRPr="00B61AF6">
        <w:rPr>
          <w:rtl/>
        </w:rPr>
        <w:t xml:space="preserve"> والمستخدمين</w:t>
      </w:r>
      <w:r w:rsidR="00B61AF6">
        <w:rPr>
          <w:rFonts w:hint="cs"/>
          <w:rtl/>
        </w:rPr>
        <w:t xml:space="preserve"> وكيف </w:t>
      </w:r>
      <w:r w:rsidR="00BA33F5">
        <w:rPr>
          <w:rFonts w:hint="cs"/>
          <w:rtl/>
        </w:rPr>
        <w:t>ستضطلع</w:t>
      </w:r>
      <w:r w:rsidR="00B61AF6">
        <w:rPr>
          <w:rFonts w:hint="cs"/>
          <w:rtl/>
        </w:rPr>
        <w:t xml:space="preserve"> ذلك،</w:t>
      </w:r>
      <w:r w:rsidR="00B61AF6" w:rsidRPr="00B61AF6">
        <w:rPr>
          <w:rtl/>
        </w:rPr>
        <w:t xml:space="preserve"> </w:t>
      </w:r>
      <w:r w:rsidR="00B61AF6">
        <w:rPr>
          <w:rFonts w:hint="cs"/>
          <w:rtl/>
        </w:rPr>
        <w:t>بالاستعانة ب</w:t>
      </w:r>
      <w:r w:rsidR="00B61AF6" w:rsidRPr="00B61AF6">
        <w:rPr>
          <w:rtl/>
        </w:rPr>
        <w:t>الاستبيان الثاني المشار إليه في الفقرة 7 أعلاه.</w:t>
      </w:r>
    </w:p>
    <w:p w:rsidR="00FE277F" w:rsidRPr="00C41AE0" w:rsidRDefault="00FE277F" w:rsidP="00FE277F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يلي ذلك المرفق</w:t>
      </w:r>
      <w:r>
        <w:rPr>
          <w:rtl/>
        </w:rPr>
        <w:t>]</w:t>
      </w:r>
    </w:p>
    <w:sectPr w:rsidR="00FE277F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93" w:rsidRDefault="00D13993">
      <w:r>
        <w:separator/>
      </w:r>
    </w:p>
  </w:endnote>
  <w:endnote w:type="continuationSeparator" w:id="0">
    <w:p w:rsidR="00D13993" w:rsidRDefault="00D1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93" w:rsidRDefault="00D13993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13993" w:rsidRDefault="00D13993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7F" w:rsidRDefault="00FE277F" w:rsidP="0023693F">
    <w:pPr>
      <w:bidi w:val="0"/>
      <w:rPr>
        <w:rFonts w:ascii="Arial" w:hAnsi="Arial" w:cs="Arial"/>
        <w:sz w:val="22"/>
        <w:szCs w:val="22"/>
        <w:rtl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CWS/7/9</w:t>
    </w:r>
  </w:p>
  <w:p w:rsidR="004C495B" w:rsidRPr="00C50A61" w:rsidRDefault="004C495B" w:rsidP="00FE277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33788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02722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82268C"/>
    <w:multiLevelType w:val="hybridMultilevel"/>
    <w:tmpl w:val="2AC41C94"/>
    <w:lvl w:ilvl="0" w:tplc="C56C7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3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4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37"/>
  </w:num>
  <w:num w:numId="5">
    <w:abstractNumId w:val="8"/>
  </w:num>
  <w:num w:numId="6">
    <w:abstractNumId w:val="38"/>
  </w:num>
  <w:num w:numId="7">
    <w:abstractNumId w:val="21"/>
  </w:num>
  <w:num w:numId="8">
    <w:abstractNumId w:val="36"/>
  </w:num>
  <w:num w:numId="9">
    <w:abstractNumId w:val="32"/>
  </w:num>
  <w:num w:numId="10">
    <w:abstractNumId w:val="3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8"/>
  </w:num>
  <w:num w:numId="29">
    <w:abstractNumId w:val="12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4"/>
  </w:num>
  <w:num w:numId="35">
    <w:abstractNumId w:val="34"/>
  </w:num>
  <w:num w:numId="36">
    <w:abstractNumId w:val="26"/>
  </w:num>
  <w:num w:numId="37">
    <w:abstractNumId w:val="33"/>
  </w:num>
  <w:num w:numId="38">
    <w:abstractNumId w:val="17"/>
  </w:num>
  <w:num w:numId="39">
    <w:abstractNumId w:val="29"/>
  </w:num>
  <w:num w:numId="40">
    <w:abstractNumId w:val="28"/>
  </w:num>
  <w:num w:numId="41">
    <w:abstractNumId w:val="19"/>
  </w:num>
  <w:num w:numId="42">
    <w:abstractNumId w:val="11"/>
  </w:num>
  <w:num w:numId="43">
    <w:abstractNumId w:val="23"/>
  </w:num>
  <w:num w:numId="44">
    <w:abstractNumId w:val="3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F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A12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05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225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2A55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7B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6E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2F3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788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CB2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26BA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1CF5"/>
    <w:rsid w:val="009728F2"/>
    <w:rsid w:val="00972BEF"/>
    <w:rsid w:val="00973BCF"/>
    <w:rsid w:val="009744BC"/>
    <w:rsid w:val="00974E60"/>
    <w:rsid w:val="00975896"/>
    <w:rsid w:val="00975DF1"/>
    <w:rsid w:val="00976AFE"/>
    <w:rsid w:val="009812CF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2D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F20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97EFB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1AF6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3F5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1385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993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0B8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9E0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332A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277F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4C3820F-2D84-4EB7-BBDE-0A34BA78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uiPriority w:val="5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ONUME">
    <w:name w:val="ONUM E"/>
    <w:basedOn w:val="BodyText"/>
    <w:link w:val="ONUMEChar"/>
    <w:rsid w:val="00FE277F"/>
    <w:pPr>
      <w:bidi w:val="0"/>
      <w:spacing w:before="0" w:after="220"/>
    </w:pPr>
    <w:rPr>
      <w:rFonts w:ascii="Arial" w:eastAsia="SimSun" w:hAnsi="Arial" w:cs="Arial"/>
      <w:sz w:val="22"/>
      <w:szCs w:val="20"/>
      <w:lang w:eastAsia="zh-CN" w:bidi="ar-SA"/>
    </w:rPr>
  </w:style>
  <w:style w:type="character" w:customStyle="1" w:styleId="ONUMEChar">
    <w:name w:val="ONUM E Char"/>
    <w:basedOn w:val="DefaultParagraphFont"/>
    <w:link w:val="ONUME"/>
    <w:locked/>
    <w:rsid w:val="00FE277F"/>
    <w:rPr>
      <w:rFonts w:ascii="Arial" w:eastAsia="SimSun" w:hAnsi="Arial" w:cs="Arial"/>
      <w:sz w:val="22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FE277F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00D2-4870-4AFF-9A99-5884A0FF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CWS/7/9 (in Arabic)</vt:lpstr>
    </vt:vector>
  </TitlesOfParts>
  <Company>World Intellectual Property Organization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(in Arabic)</dc:title>
  <dc:subject>تقرير فرقة العمل المعنية بالنماذج والصور ثلاثية الأبعاد عن المهمة رقم </dc:subject>
  <dc:creator>WIPO</dc:creator>
  <cp:keywords>CWS, WIPO</cp:keywords>
  <cp:lastModifiedBy>DRAKE Sophie</cp:lastModifiedBy>
  <cp:revision>13</cp:revision>
  <cp:lastPrinted>2019-05-22T13:56:00Z</cp:lastPrinted>
  <dcterms:created xsi:type="dcterms:W3CDTF">2019-05-22T11:56:00Z</dcterms:created>
  <dcterms:modified xsi:type="dcterms:W3CDTF">2019-05-28T14:23:00Z</dcterms:modified>
</cp:coreProperties>
</file>