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D22B64">
        <w:rPr>
          <w:rFonts w:ascii="Arial Black" w:eastAsia="SimSun" w:hAnsi="Arial Black" w:cs="Arial"/>
          <w:b/>
          <w:caps/>
          <w:noProof/>
          <w:sz w:val="16"/>
          <w:szCs w:val="16"/>
          <w:lang w:eastAsia="zh-CN"/>
        </w:rPr>
        <w:t>18</w:t>
      </w:r>
      <w:r w:rsidR="00DD226A">
        <w:rPr>
          <w:rFonts w:ascii="Arial Black" w:eastAsia="SimSun" w:hAnsi="Arial Black" w:cs="Arial"/>
          <w:b/>
          <w:caps/>
          <w:noProof/>
          <w:sz w:val="16"/>
          <w:szCs w:val="16"/>
          <w:lang w:eastAsia="zh-CN"/>
        </w:rPr>
        <w:t xml:space="preserve"> CORR.</w:t>
      </w:r>
    </w:p>
    <w:bookmarkEnd w:id="3"/>
    <w:p w:rsidR="003F7284" w:rsidRPr="00D22B64"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D22B64">
        <w:rPr>
          <w:rFonts w:hint="cs"/>
          <w:b/>
          <w:bCs/>
          <w:sz w:val="30"/>
          <w:szCs w:val="30"/>
          <w:rtl/>
          <w:lang w:val="fr-CH" w:bidi="ar-SY"/>
        </w:rPr>
        <w:t>بالإنكليزية</w:t>
      </w:r>
    </w:p>
    <w:p w:rsidR="003F7284" w:rsidRPr="00BB6440" w:rsidRDefault="003F7284" w:rsidP="00B7492B">
      <w:pPr>
        <w:spacing w:line="48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DD226A">
        <w:rPr>
          <w:rFonts w:hint="cs"/>
          <w:b/>
          <w:bCs/>
          <w:sz w:val="30"/>
          <w:szCs w:val="30"/>
          <w:rtl/>
        </w:rPr>
        <w:t>4</w:t>
      </w:r>
      <w:r w:rsidR="00D22B64">
        <w:rPr>
          <w:rFonts w:hint="cs"/>
          <w:b/>
          <w:bCs/>
          <w:sz w:val="30"/>
          <w:szCs w:val="30"/>
          <w:rtl/>
        </w:rPr>
        <w:t xml:space="preserve"> </w:t>
      </w:r>
      <w:r w:rsidR="00DD226A">
        <w:rPr>
          <w:rFonts w:hint="cs"/>
          <w:b/>
          <w:bCs/>
          <w:sz w:val="30"/>
          <w:szCs w:val="30"/>
          <w:rtl/>
        </w:rPr>
        <w:t xml:space="preserve">يونيو </w:t>
      </w:r>
      <w:r w:rsidR="00D22B64">
        <w:rPr>
          <w:rFonts w:hint="cs"/>
          <w:b/>
          <w:bCs/>
          <w:sz w:val="30"/>
          <w:szCs w:val="30"/>
          <w:rtl/>
        </w:rPr>
        <w:t>2019</w:t>
      </w:r>
    </w:p>
    <w:p w:rsidR="002E7810" w:rsidRPr="00FD6D15" w:rsidRDefault="00561BC4" w:rsidP="00B7492B">
      <w:pPr>
        <w:pStyle w:val="Heading1"/>
        <w:spacing w:after="36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B7492B">
      <w:pPr>
        <w:spacing w:line="36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D22B64" w:rsidP="00874721">
      <w:pPr>
        <w:rPr>
          <w:rFonts w:ascii="Arial Black" w:hAnsi="Arial Black" w:cs="PT Bold Heading"/>
          <w:sz w:val="26"/>
          <w:szCs w:val="26"/>
          <w:rtl/>
        </w:rPr>
      </w:pPr>
      <w:bookmarkStart w:id="9" w:name="TitleOfDoc"/>
      <w:bookmarkStart w:id="10" w:name="_GoBack"/>
      <w:bookmarkEnd w:id="9"/>
      <w:r>
        <w:rPr>
          <w:rFonts w:ascii="Arial Black" w:hAnsi="Arial Black" w:cs="PT Bold Heading" w:hint="cs"/>
          <w:sz w:val="26"/>
          <w:szCs w:val="26"/>
          <w:rtl/>
        </w:rPr>
        <w:t>تقرير عن المهمة رقم 60</w:t>
      </w:r>
    </w:p>
    <w:p w:rsidR="003F7284" w:rsidRPr="00BB6440" w:rsidRDefault="00D22B64" w:rsidP="00B7492B">
      <w:pPr>
        <w:spacing w:after="360"/>
        <w:rPr>
          <w:i/>
          <w:iCs/>
          <w:rtl/>
        </w:rPr>
      </w:pPr>
      <w:bookmarkStart w:id="11" w:name="Doc"/>
      <w:bookmarkEnd w:id="11"/>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D22B64" w:rsidP="00D22B64">
      <w:pPr>
        <w:pStyle w:val="Heading3"/>
        <w:rPr>
          <w:rtl/>
        </w:rPr>
      </w:pPr>
      <w:r>
        <w:rPr>
          <w:rFonts w:hint="cs"/>
          <w:rtl/>
        </w:rPr>
        <w:t>معلومات أساسية</w:t>
      </w:r>
    </w:p>
    <w:p w:rsidR="00C41AE0" w:rsidRPr="00ED7555" w:rsidRDefault="00D22B64" w:rsidP="00436BF6">
      <w:pPr>
        <w:pStyle w:val="ONUMA"/>
        <w:rPr>
          <w:rtl/>
        </w:rPr>
      </w:pPr>
      <w:r>
        <w:rPr>
          <w:rFonts w:hint="cs"/>
          <w:rtl/>
        </w:rPr>
        <w:t xml:space="preserve">أُنشئت فرقة العمل المعنية بتوحيد العلامات التجارية خلال الدورة الثالثة </w:t>
      </w:r>
      <w:r w:rsidR="000D74C9">
        <w:rPr>
          <w:rFonts w:hint="cs"/>
          <w:rtl/>
        </w:rPr>
        <w:t xml:space="preserve">للجنة المعنية بمعايير الويبو (لجنة المعايير) </w:t>
      </w:r>
      <w:r>
        <w:rPr>
          <w:rFonts w:hint="cs"/>
          <w:rtl/>
        </w:rPr>
        <w:t xml:space="preserve">التي عُقدت في أبريل 2013 (انظر الفقرات من 55 إلى 62 والفقرة 74(ه) من الوثيقة </w:t>
      </w:r>
      <w:r>
        <w:t>CWS/3/14</w:t>
      </w:r>
      <w:r>
        <w:rPr>
          <w:rFonts w:hint="cs"/>
          <w:rtl/>
        </w:rPr>
        <w:t>). ووافقت لجنة المعايير، في دورتها الخامسة التي عٌقدت في 2017، على تأجيل الأعمال المتبقية التي تضطلع بها فرقة العمل بشأن المهمة رقم 49 لإعداد توصيات بشأن الإدارة الإلكترونية لعلامات الحركة وعلامات الوسائط المتعددة</w:t>
      </w:r>
      <w:r w:rsidR="000D74C9">
        <w:rPr>
          <w:rFonts w:hint="cs"/>
          <w:rtl/>
        </w:rPr>
        <w:t xml:space="preserve">، </w:t>
      </w:r>
      <w:r w:rsidR="00436BF6">
        <w:rPr>
          <w:rFonts w:hint="cs"/>
          <w:rtl/>
          <w:lang w:val="fr-CH" w:bidi="ar-SY"/>
        </w:rPr>
        <w:t>إلى غاية</w:t>
      </w:r>
      <w:r w:rsidR="000D74C9">
        <w:rPr>
          <w:rFonts w:hint="cs"/>
          <w:rtl/>
        </w:rPr>
        <w:t xml:space="preserve"> تنفيذ التوجيه </w:t>
      </w:r>
      <w:r w:rsidR="000D74C9">
        <w:t>2008/95/EC</w:t>
      </w:r>
      <w:r w:rsidR="000D74C9">
        <w:rPr>
          <w:rFonts w:hint="cs"/>
          <w:rtl/>
          <w:lang w:bidi="ar-SY"/>
        </w:rPr>
        <w:t xml:space="preserve"> الصادر عن المفوضية الأوروبية المقرر في سنة 2019 (انظر الفقرة 4 من الوثيقة </w:t>
      </w:r>
      <w:r w:rsidR="000D74C9">
        <w:rPr>
          <w:lang w:bidi="ar-SY"/>
        </w:rPr>
        <w:t>CWS/5/10</w:t>
      </w:r>
      <w:r w:rsidR="000D74C9">
        <w:rPr>
          <w:rFonts w:hint="cs"/>
          <w:rtl/>
          <w:lang w:val="fr-CH" w:bidi="ar-SY"/>
        </w:rPr>
        <w:t xml:space="preserve"> والفقرة 67 من الوثيقة </w:t>
      </w:r>
      <w:r w:rsidR="000D74C9">
        <w:rPr>
          <w:lang w:bidi="ar-SY"/>
        </w:rPr>
        <w:t>CWS/5/22</w:t>
      </w:r>
      <w:r w:rsidR="000D74C9">
        <w:rPr>
          <w:rFonts w:hint="cs"/>
          <w:rtl/>
          <w:lang w:bidi="ar-SY"/>
        </w:rPr>
        <w:t>).</w:t>
      </w:r>
    </w:p>
    <w:p w:rsidR="000D74C9" w:rsidRPr="000D74C9" w:rsidRDefault="000D74C9" w:rsidP="000D74C9">
      <w:pPr>
        <w:pStyle w:val="ONUMA"/>
      </w:pPr>
      <w:r>
        <w:rPr>
          <w:rFonts w:hint="cs"/>
          <w:rtl/>
        </w:rPr>
        <w:t xml:space="preserve">ونظرت لجنة المعايير، في دورتها السادسة التي عُقدت في 2018، في المقترحات المقدمة من أعضائها لتحديث معيار الويبو </w:t>
      </w:r>
      <w:r>
        <w:t>ST.60</w:t>
      </w:r>
      <w:r>
        <w:rPr>
          <w:rFonts w:hint="cs"/>
          <w:rtl/>
          <w:lang w:val="fr-CH" w:bidi="ar-SY"/>
        </w:rPr>
        <w:t xml:space="preserve"> المٌعَنون "</w:t>
      </w:r>
      <w:r w:rsidRPr="00436BF6">
        <w:rPr>
          <w:rFonts w:hint="cs"/>
          <w:i/>
          <w:iCs/>
          <w:rtl/>
          <w:lang w:val="fr-CH" w:bidi="ar-SY"/>
        </w:rPr>
        <w:t>توصية بشأن البيانات البيبليوغرافية المتعلقة بالعلامات</w:t>
      </w:r>
      <w:r>
        <w:rPr>
          <w:rFonts w:hint="cs"/>
          <w:rtl/>
          <w:lang w:val="fr-CH" w:bidi="ar-SY"/>
        </w:rPr>
        <w:t>". وأنشأت لجنة المعايير مهمة جديدة رقم 60 بالوصف الآتي:</w:t>
      </w:r>
    </w:p>
    <w:p w:rsidR="000D7E81" w:rsidRPr="000D74C9" w:rsidRDefault="000D74C9" w:rsidP="00436BF6">
      <w:pPr>
        <w:pStyle w:val="BodyTextFirstIndent"/>
        <w:rPr>
          <w:rtl/>
        </w:rPr>
      </w:pPr>
      <w:r>
        <w:rPr>
          <w:rFonts w:hint="cs"/>
          <w:rtl/>
        </w:rPr>
        <w:t>"</w:t>
      </w:r>
      <w:r w:rsidR="006778C9">
        <w:rPr>
          <w:rtl/>
        </w:rPr>
        <w:t xml:space="preserve">إعداد </w:t>
      </w:r>
      <w:r w:rsidR="00436BF6">
        <w:rPr>
          <w:rFonts w:hint="cs"/>
          <w:rtl/>
        </w:rPr>
        <w:t>مقترح</w:t>
      </w:r>
      <w:r w:rsidR="006778C9">
        <w:rPr>
          <w:rtl/>
        </w:rPr>
        <w:t xml:space="preserve"> بشأن </w:t>
      </w:r>
      <w:r w:rsidR="00436BF6">
        <w:rPr>
          <w:rFonts w:hint="cs"/>
          <w:rtl/>
        </w:rPr>
        <w:t>رموز نظام الأرقام المتفق عليها دولياً في تحديد البيانات (رموز الأرقام)</w:t>
      </w:r>
      <w:r w:rsidR="006778C9">
        <w:rPr>
          <w:rtl/>
        </w:rPr>
        <w:t xml:space="preserve"> </w:t>
      </w:r>
      <w:r w:rsidR="00436BF6">
        <w:rPr>
          <w:rFonts w:hint="cs"/>
          <w:rtl/>
        </w:rPr>
        <w:t>فيما يتعلق با</w:t>
      </w:r>
      <w:r w:rsidRPr="000D74C9">
        <w:rPr>
          <w:rtl/>
        </w:rPr>
        <w:t>لعلامات اللفظية والعلامات التصويرية</w:t>
      </w:r>
      <w:r>
        <w:rPr>
          <w:rFonts w:hint="cs"/>
          <w:rtl/>
        </w:rPr>
        <w:t xml:space="preserve">، </w:t>
      </w:r>
      <w:r w:rsidRPr="000D74C9">
        <w:rPr>
          <w:rtl/>
        </w:rPr>
        <w:t xml:space="preserve">وبشأن تجزئة الرمز (551)، وبشأن الرمز الذي </w:t>
      </w:r>
      <w:r>
        <w:rPr>
          <w:rtl/>
        </w:rPr>
        <w:t>يمكن تخصيصه للعلامات المُجمَّعة</w:t>
      </w:r>
      <w:r>
        <w:rPr>
          <w:rFonts w:hint="cs"/>
          <w:rtl/>
        </w:rPr>
        <w:t>."</w:t>
      </w:r>
    </w:p>
    <w:p w:rsidR="00FD6D15" w:rsidRDefault="000D74C9" w:rsidP="00B7492B">
      <w:pPr>
        <w:pStyle w:val="BodyText"/>
        <w:rPr>
          <w:rtl/>
        </w:rPr>
      </w:pPr>
      <w:r>
        <w:rPr>
          <w:rFonts w:hint="cs"/>
          <w:rtl/>
        </w:rPr>
        <w:t>وأحالت لجنة المعايير المهمة الجديدة إلى فرقة العمل الم</w:t>
      </w:r>
      <w:r w:rsidR="00C70CBE">
        <w:rPr>
          <w:rFonts w:hint="cs"/>
          <w:rtl/>
        </w:rPr>
        <w:t>عنية بتوحيد العلامات التجارية لمواصلة النظر فيها، وطلبت اللجنة إلى</w:t>
      </w:r>
      <w:r w:rsidR="00B7492B">
        <w:rPr>
          <w:rFonts w:hint="eastAsia"/>
          <w:rtl/>
        </w:rPr>
        <w:t> </w:t>
      </w:r>
      <w:r w:rsidR="00C70CBE">
        <w:rPr>
          <w:rFonts w:hint="cs"/>
          <w:rtl/>
        </w:rPr>
        <w:t>فرقة العمل أن تقدم إليها مقترحاً أو تقريراً مرحلياً في دورتها السابعة (انظر الفقرات من 128 إلى 133 في الوثيقة</w:t>
      </w:r>
      <w:r w:rsidR="00B7492B">
        <w:rPr>
          <w:rFonts w:hint="eastAsia"/>
          <w:rtl/>
        </w:rPr>
        <w:t> </w:t>
      </w:r>
      <w:r w:rsidR="00C70CBE">
        <w:t>CWS/6/34</w:t>
      </w:r>
      <w:r w:rsidR="00C70CBE">
        <w:rPr>
          <w:rFonts w:hint="cs"/>
          <w:rtl/>
        </w:rPr>
        <w:t>).</w:t>
      </w:r>
    </w:p>
    <w:p w:rsidR="00C70CBE" w:rsidRPr="00C41AE0" w:rsidRDefault="00C70CBE" w:rsidP="00C70CBE">
      <w:pPr>
        <w:pStyle w:val="Heading3"/>
        <w:rPr>
          <w:rtl/>
        </w:rPr>
      </w:pPr>
      <w:r>
        <w:rPr>
          <w:rFonts w:hint="cs"/>
          <w:rtl/>
        </w:rPr>
        <w:lastRenderedPageBreak/>
        <w:t xml:space="preserve">المناقشات والنتائج </w:t>
      </w:r>
      <w:r>
        <w:rPr>
          <w:rtl/>
        </w:rPr>
        <w:t>–</w:t>
      </w:r>
      <w:r>
        <w:rPr>
          <w:rFonts w:hint="cs"/>
          <w:rtl/>
        </w:rPr>
        <w:t xml:space="preserve"> المهمة رقم 60</w:t>
      </w:r>
    </w:p>
    <w:p w:rsidR="00C50A61" w:rsidRDefault="00C70CBE" w:rsidP="00C70CBE">
      <w:pPr>
        <w:pStyle w:val="ONUMA"/>
      </w:pPr>
      <w:bookmarkStart w:id="13" w:name="ExtraPara"/>
      <w:bookmarkEnd w:id="13"/>
      <w:r w:rsidRPr="00C70CBE">
        <w:rPr>
          <w:rtl/>
        </w:rPr>
        <w:t xml:space="preserve">نظرت فرقة العمل المعنية بتوحيد العلامات التجارية في القضايا الثلاث </w:t>
      </w:r>
      <w:r>
        <w:rPr>
          <w:rFonts w:hint="cs"/>
          <w:rtl/>
          <w:lang w:bidi="ar-SY"/>
        </w:rPr>
        <w:t>التي تشملها</w:t>
      </w:r>
      <w:r>
        <w:rPr>
          <w:rtl/>
        </w:rPr>
        <w:t xml:space="preserve"> المهمة رقم 60</w:t>
      </w:r>
      <w:r>
        <w:rPr>
          <w:rFonts w:hint="cs"/>
          <w:rtl/>
        </w:rPr>
        <w:t xml:space="preserve">، </w:t>
      </w:r>
      <w:r w:rsidRPr="00C70CBE">
        <w:rPr>
          <w:rtl/>
        </w:rPr>
        <w:t xml:space="preserve">وأجرت مناقشات على الإنترنت بشأنها. كما أجرى المكتب الدولي مناقشات </w:t>
      </w:r>
      <w:r>
        <w:rPr>
          <w:rtl/>
        </w:rPr>
        <w:t>داخلية مع وحدات العمل ذات الصلة</w:t>
      </w:r>
      <w:r w:rsidRPr="00C70CBE">
        <w:rPr>
          <w:rtl/>
        </w:rPr>
        <w:t>، بما في ذلك نظام مدريد</w:t>
      </w:r>
      <w:r>
        <w:rPr>
          <w:rFonts w:hint="cs"/>
          <w:rtl/>
        </w:rPr>
        <w:t xml:space="preserve">، </w:t>
      </w:r>
      <w:r w:rsidRPr="00C70CBE">
        <w:rPr>
          <w:rtl/>
        </w:rPr>
        <w:t>حول هذه القضايا.</w:t>
      </w:r>
    </w:p>
    <w:p w:rsidR="00C70CBE" w:rsidRDefault="00C70CBE" w:rsidP="00436BF6">
      <w:pPr>
        <w:pStyle w:val="ONUMA"/>
      </w:pPr>
      <w:r>
        <w:rPr>
          <w:rFonts w:hint="cs"/>
          <w:rtl/>
        </w:rPr>
        <w:t>و</w:t>
      </w:r>
      <w:r w:rsidRPr="00C70CBE">
        <w:rPr>
          <w:rtl/>
        </w:rPr>
        <w:t xml:space="preserve">فيما يتعلق بموضوع البحث عن </w:t>
      </w:r>
      <w:r w:rsidR="00436BF6">
        <w:rPr>
          <w:rFonts w:hint="cs"/>
          <w:rtl/>
        </w:rPr>
        <w:t>رموز الأرقام</w:t>
      </w:r>
      <w:r w:rsidRPr="000D74C9">
        <w:rPr>
          <w:rtl/>
          <w:lang w:bidi="ar-EG"/>
        </w:rPr>
        <w:t xml:space="preserve"> </w:t>
      </w:r>
      <w:r w:rsidRPr="00C70CBE">
        <w:rPr>
          <w:rtl/>
        </w:rPr>
        <w:t>م</w:t>
      </w:r>
      <w:r>
        <w:rPr>
          <w:rtl/>
        </w:rPr>
        <w:t>ناسب</w:t>
      </w:r>
      <w:r w:rsidR="00436BF6">
        <w:rPr>
          <w:rFonts w:hint="cs"/>
          <w:rtl/>
        </w:rPr>
        <w:t>ة</w:t>
      </w:r>
      <w:r w:rsidRPr="00C70CBE">
        <w:rPr>
          <w:rtl/>
        </w:rPr>
        <w:t xml:space="preserve"> </w:t>
      </w:r>
      <w:r>
        <w:rPr>
          <w:rFonts w:hint="cs"/>
          <w:rtl/>
          <w:lang w:bidi="ar-EG"/>
        </w:rPr>
        <w:t>ل</w:t>
      </w:r>
      <w:r w:rsidRPr="000D74C9">
        <w:rPr>
          <w:rtl/>
          <w:lang w:bidi="ar-EG"/>
        </w:rPr>
        <w:t>لعلامات اللفظية والعلامات التصويرية</w:t>
      </w:r>
      <w:r w:rsidRPr="00C70CBE">
        <w:rPr>
          <w:rtl/>
        </w:rPr>
        <w:t xml:space="preserve">، تقترح فرقة العمل اعتماد </w:t>
      </w:r>
      <w:r>
        <w:rPr>
          <w:rFonts w:hint="cs"/>
          <w:rtl/>
        </w:rPr>
        <w:t>التنقيحات</w:t>
      </w:r>
      <w:r w:rsidRPr="00C70CBE">
        <w:rPr>
          <w:rtl/>
        </w:rPr>
        <w:t xml:space="preserve"> الواردة في الوثيقة </w:t>
      </w:r>
      <w:r w:rsidRPr="00C70CBE">
        <w:t>CWS/7/19</w:t>
      </w:r>
      <w:r>
        <w:rPr>
          <w:rFonts w:hint="cs"/>
          <w:rtl/>
        </w:rPr>
        <w:t>. وبحثت</w:t>
      </w:r>
      <w:r>
        <w:rPr>
          <w:rtl/>
        </w:rPr>
        <w:t xml:space="preserve"> فر</w:t>
      </w:r>
      <w:r>
        <w:rPr>
          <w:rFonts w:hint="cs"/>
          <w:rtl/>
        </w:rPr>
        <w:t>قة</w:t>
      </w:r>
      <w:r w:rsidRPr="00C70CBE">
        <w:rPr>
          <w:rtl/>
        </w:rPr>
        <w:t xml:space="preserve"> العمل </w:t>
      </w:r>
      <w:r>
        <w:rPr>
          <w:rFonts w:hint="cs"/>
          <w:rtl/>
        </w:rPr>
        <w:t xml:space="preserve">في </w:t>
      </w:r>
      <w:r w:rsidRPr="00C70CBE">
        <w:rPr>
          <w:rtl/>
        </w:rPr>
        <w:t>خيارات عد</w:t>
      </w:r>
      <w:r>
        <w:rPr>
          <w:rFonts w:hint="cs"/>
          <w:rtl/>
        </w:rPr>
        <w:t>يد</w:t>
      </w:r>
      <w:r w:rsidRPr="00C70CBE">
        <w:rPr>
          <w:rtl/>
        </w:rPr>
        <w:t>ة و</w:t>
      </w:r>
      <w:r>
        <w:rPr>
          <w:rFonts w:hint="cs"/>
          <w:rtl/>
        </w:rPr>
        <w:t xml:space="preserve">وجدت </w:t>
      </w:r>
      <w:r w:rsidRPr="00C70CBE">
        <w:rPr>
          <w:rtl/>
        </w:rPr>
        <w:t>خيار</w:t>
      </w:r>
      <w:r>
        <w:rPr>
          <w:rFonts w:hint="cs"/>
          <w:rtl/>
        </w:rPr>
        <w:t>اً</w:t>
      </w:r>
      <w:r w:rsidRPr="00C70CBE">
        <w:rPr>
          <w:rtl/>
        </w:rPr>
        <w:t xml:space="preserve"> واحد</w:t>
      </w:r>
      <w:r>
        <w:rPr>
          <w:rFonts w:hint="cs"/>
          <w:rtl/>
        </w:rPr>
        <w:t>اً</w:t>
      </w:r>
      <w:r>
        <w:rPr>
          <w:rtl/>
        </w:rPr>
        <w:t xml:space="preserve"> فقط يمكن</w:t>
      </w:r>
      <w:r>
        <w:rPr>
          <w:rFonts w:hint="cs"/>
          <w:rtl/>
        </w:rPr>
        <w:t xml:space="preserve"> أن توصي به.</w:t>
      </w:r>
    </w:p>
    <w:p w:rsidR="00C70CBE" w:rsidRDefault="00436BF6" w:rsidP="000D2468">
      <w:pPr>
        <w:pStyle w:val="ONUMA"/>
      </w:pPr>
      <w:r>
        <w:rPr>
          <w:rFonts w:hint="cs"/>
          <w:rtl/>
        </w:rPr>
        <w:t xml:space="preserve">أما فيما </w:t>
      </w:r>
      <w:r w:rsidR="00C70CBE">
        <w:rPr>
          <w:rFonts w:hint="cs"/>
          <w:rtl/>
        </w:rPr>
        <w:t>يتعلق ب</w:t>
      </w:r>
      <w:r w:rsidR="00C70CBE" w:rsidRPr="000D74C9">
        <w:rPr>
          <w:rtl/>
          <w:lang w:bidi="ar-EG"/>
        </w:rPr>
        <w:t>تجزئة الرمز (551)</w:t>
      </w:r>
      <w:r w:rsidR="00C70CBE">
        <w:rPr>
          <w:rFonts w:hint="cs"/>
          <w:rtl/>
          <w:lang w:bidi="ar-EG"/>
        </w:rPr>
        <w:t xml:space="preserve"> للتمييز بين العلامات الجماعية وعلامات التصديق وعلامات الضمان، فقد أشار نظام مدريد إلى أنه يُفض</w:t>
      </w:r>
      <w:r w:rsidR="000D2468">
        <w:rPr>
          <w:rFonts w:hint="cs"/>
          <w:rtl/>
          <w:lang w:bidi="ar-EG"/>
        </w:rPr>
        <w:t>َّ</w:t>
      </w:r>
      <w:r w:rsidR="00C70CBE">
        <w:rPr>
          <w:rFonts w:hint="cs"/>
          <w:rtl/>
          <w:lang w:bidi="ar-EG"/>
        </w:rPr>
        <w:t>ل الحفاظ على هذه العناصر مجمعة تحت رمز واحد.</w:t>
      </w:r>
      <w:r w:rsidR="000D2468">
        <w:rPr>
          <w:rFonts w:hint="cs"/>
          <w:rtl/>
          <w:lang w:bidi="ar-EG"/>
        </w:rPr>
        <w:t xml:space="preserve"> و</w:t>
      </w:r>
      <w:r w:rsidR="000D2468" w:rsidRPr="000D2468">
        <w:rPr>
          <w:rtl/>
          <w:lang w:bidi="ar-EG"/>
        </w:rPr>
        <w:t>قدم نظام مدريد البيان التالي دعما</w:t>
      </w:r>
      <w:r>
        <w:rPr>
          <w:rFonts w:hint="cs"/>
          <w:rtl/>
          <w:lang w:bidi="ar-EG"/>
        </w:rPr>
        <w:t>ً</w:t>
      </w:r>
      <w:r w:rsidR="000D2468" w:rsidRPr="000D2468">
        <w:rPr>
          <w:rtl/>
          <w:lang w:bidi="ar-EG"/>
        </w:rPr>
        <w:t xml:space="preserve"> لهذا النهج</w:t>
      </w:r>
      <w:r w:rsidR="000D2468">
        <w:rPr>
          <w:rFonts w:hint="cs"/>
          <w:rtl/>
          <w:lang w:bidi="ar-EG"/>
        </w:rPr>
        <w:t>:</w:t>
      </w:r>
    </w:p>
    <w:p w:rsidR="000D2468" w:rsidRPr="000D2468" w:rsidRDefault="000D2468" w:rsidP="00B7492B">
      <w:pPr>
        <w:pStyle w:val="BodyTextFirstIndent"/>
        <w:spacing w:before="120"/>
        <w:rPr>
          <w:u w:val="single"/>
          <w:rtl/>
        </w:rPr>
      </w:pPr>
      <w:r w:rsidRPr="000D2468">
        <w:rPr>
          <w:rFonts w:hint="cs"/>
          <w:u w:val="single"/>
          <w:rtl/>
        </w:rPr>
        <w:t>إشارة</w:t>
      </w:r>
      <w:r w:rsidRPr="000D2468">
        <w:rPr>
          <w:u w:val="single"/>
          <w:rtl/>
        </w:rPr>
        <w:t xml:space="preserve"> واحد</w:t>
      </w:r>
      <w:r w:rsidRPr="000D2468">
        <w:rPr>
          <w:rFonts w:hint="cs"/>
          <w:u w:val="single"/>
          <w:rtl/>
        </w:rPr>
        <w:t>ة</w:t>
      </w:r>
      <w:r w:rsidRPr="000D2468">
        <w:rPr>
          <w:u w:val="single"/>
          <w:rtl/>
        </w:rPr>
        <w:t xml:space="preserve"> </w:t>
      </w:r>
      <w:r w:rsidRPr="000D2468">
        <w:rPr>
          <w:rFonts w:hint="cs"/>
          <w:u w:val="single"/>
          <w:rtl/>
        </w:rPr>
        <w:t>ل</w:t>
      </w:r>
      <w:r w:rsidRPr="000D2468">
        <w:rPr>
          <w:u w:val="single"/>
          <w:rtl/>
        </w:rPr>
        <w:t xml:space="preserve">حقيقة أن العلامة الأساسية هي علامة جماعية أو علامة تصديق أو ضمان بدلاً من </w:t>
      </w:r>
      <w:r w:rsidR="00436BF6">
        <w:rPr>
          <w:rFonts w:hint="cs"/>
          <w:u w:val="single"/>
          <w:rtl/>
        </w:rPr>
        <w:t>إشارات</w:t>
      </w:r>
      <w:r w:rsidRPr="000D2468">
        <w:rPr>
          <w:u w:val="single"/>
          <w:rtl/>
        </w:rPr>
        <w:t xml:space="preserve"> منفصلة </w:t>
      </w:r>
      <w:r w:rsidRPr="000D2468">
        <w:rPr>
          <w:rFonts w:hint="cs"/>
          <w:u w:val="single"/>
          <w:rtl/>
        </w:rPr>
        <w:t>ل</w:t>
      </w:r>
      <w:r w:rsidRPr="000D2468">
        <w:rPr>
          <w:u w:val="single"/>
          <w:rtl/>
        </w:rPr>
        <w:t>هذه الأنواع من العلامات</w:t>
      </w:r>
    </w:p>
    <w:p w:rsidR="000D2468" w:rsidRDefault="00436BF6" w:rsidP="00B7492B">
      <w:pPr>
        <w:pStyle w:val="BodyTextFirstIndent"/>
        <w:spacing w:before="120"/>
        <w:rPr>
          <w:rtl/>
        </w:rPr>
      </w:pPr>
      <w:r>
        <w:rPr>
          <w:rFonts w:hint="cs"/>
          <w:rtl/>
        </w:rPr>
        <w:t>ف</w:t>
      </w:r>
      <w:r w:rsidR="000D2468" w:rsidRPr="000D2468">
        <w:rPr>
          <w:rtl/>
        </w:rPr>
        <w:t>قبل 1 يناير</w:t>
      </w:r>
      <w:r w:rsidR="000D2468">
        <w:rPr>
          <w:rtl/>
        </w:rPr>
        <w:t xml:space="preserve"> 1989، كان</w:t>
      </w:r>
      <w:r w:rsidR="000D2468">
        <w:rPr>
          <w:rFonts w:hint="cs"/>
          <w:rtl/>
        </w:rPr>
        <w:t xml:space="preserve">ت تُنظم </w:t>
      </w:r>
      <w:r>
        <w:rPr>
          <w:rFonts w:hint="cs"/>
          <w:rtl/>
        </w:rPr>
        <w:t xml:space="preserve">سوى </w:t>
      </w:r>
      <w:r w:rsidR="000D2468" w:rsidRPr="000D2468">
        <w:rPr>
          <w:rtl/>
        </w:rPr>
        <w:t xml:space="preserve">العلامات الجماعية </w:t>
      </w:r>
      <w:r w:rsidR="000D2468">
        <w:rPr>
          <w:rtl/>
        </w:rPr>
        <w:t>في إطار مدريد القانوني</w:t>
      </w:r>
      <w:r w:rsidR="000D2468" w:rsidRPr="000D2468">
        <w:rPr>
          <w:rtl/>
        </w:rPr>
        <w:t>، اللوائح (القاعدة 10 (1)</w:t>
      </w:r>
      <w:r w:rsidR="000D2468">
        <w:rPr>
          <w:rFonts w:hint="cs"/>
          <w:rtl/>
        </w:rPr>
        <w:t xml:space="preserve"> "1"</w:t>
      </w:r>
      <w:r w:rsidR="000D2468" w:rsidRPr="000D2468">
        <w:rPr>
          <w:rtl/>
        </w:rPr>
        <w:t>).</w:t>
      </w:r>
    </w:p>
    <w:p w:rsidR="000D2468" w:rsidRDefault="000D2468" w:rsidP="00B7492B">
      <w:pPr>
        <w:pStyle w:val="BodyTextFirstIndent"/>
        <w:spacing w:before="120"/>
        <w:rPr>
          <w:rtl/>
        </w:rPr>
      </w:pPr>
      <w:r>
        <w:rPr>
          <w:rFonts w:hint="cs"/>
          <w:rtl/>
        </w:rPr>
        <w:t>و</w:t>
      </w:r>
      <w:r w:rsidR="00AC5B81">
        <w:rPr>
          <w:rFonts w:hint="cs"/>
          <w:rtl/>
        </w:rPr>
        <w:t>في الفترة ما بين</w:t>
      </w:r>
      <w:r w:rsidRPr="000D2468">
        <w:rPr>
          <w:rtl/>
        </w:rPr>
        <w:t xml:space="preserve"> 1 يناير 1989 وقبل 1 أب</w:t>
      </w:r>
      <w:r>
        <w:rPr>
          <w:rtl/>
        </w:rPr>
        <w:t>ريل 1996</w:t>
      </w:r>
      <w:r w:rsidRPr="000D2468">
        <w:rPr>
          <w:rtl/>
        </w:rPr>
        <w:t xml:space="preserve">، أشار الإطار القانوني (القاعدة 14 (2) </w:t>
      </w:r>
      <w:r w:rsidR="00AC5B81">
        <w:rPr>
          <w:rFonts w:hint="cs"/>
          <w:rtl/>
        </w:rPr>
        <w:t>"12"</w:t>
      </w:r>
      <w:r w:rsidRPr="000D2468">
        <w:rPr>
          <w:rtl/>
        </w:rPr>
        <w:t xml:space="preserve"> من اللوائح) إلى "العلامة الجماعية" أو "علامة التصديق" أو "علامة الضمان".</w:t>
      </w:r>
      <w:r>
        <w:rPr>
          <w:rFonts w:hint="cs"/>
          <w:rtl/>
        </w:rPr>
        <w:t xml:space="preserve"> و</w:t>
      </w:r>
      <w:r w:rsidRPr="000D2468">
        <w:rPr>
          <w:rtl/>
        </w:rPr>
        <w:t xml:space="preserve">كانت هناك </w:t>
      </w:r>
      <w:r>
        <w:rPr>
          <w:rFonts w:hint="cs"/>
          <w:rtl/>
        </w:rPr>
        <w:t>خانات</w:t>
      </w:r>
      <w:r w:rsidRPr="000D2468">
        <w:rPr>
          <w:rtl/>
        </w:rPr>
        <w:t xml:space="preserve"> اختيار منفصلة للإشارة بشكل خاص إلى العلامات الجماعية</w:t>
      </w:r>
      <w:r>
        <w:rPr>
          <w:rtl/>
        </w:rPr>
        <w:t xml:space="preserve"> وعلامات التصديق وعلامات الضمان</w:t>
      </w:r>
      <w:r w:rsidRPr="000D2468">
        <w:rPr>
          <w:rtl/>
        </w:rPr>
        <w:t xml:space="preserve">، ولكن باستخدام نفس </w:t>
      </w:r>
      <w:r>
        <w:rPr>
          <w:rFonts w:hint="cs"/>
          <w:rtl/>
        </w:rPr>
        <w:t>الرمز 55 ("</w:t>
      </w:r>
      <w:r w:rsidR="00AC5B81">
        <w:rPr>
          <w:rFonts w:hint="cs"/>
          <w:rtl/>
        </w:rPr>
        <w:t xml:space="preserve">(55) </w:t>
      </w:r>
      <w:r>
        <w:rPr>
          <w:rFonts w:hint="cs"/>
          <w:rtl/>
        </w:rPr>
        <w:t>بيان يفيد بأن العلامة هي علامة جماعية أو علامة تصديق أو علامة ضمان").</w:t>
      </w:r>
    </w:p>
    <w:p w:rsidR="000D2468" w:rsidRDefault="000D2468" w:rsidP="00B7492B">
      <w:pPr>
        <w:pStyle w:val="BodyTextFirstIndent"/>
        <w:spacing w:before="120"/>
        <w:rPr>
          <w:rtl/>
        </w:rPr>
      </w:pPr>
      <w:r>
        <w:rPr>
          <w:rFonts w:hint="cs"/>
          <w:rtl/>
        </w:rPr>
        <w:t>و</w:t>
      </w:r>
      <w:r w:rsidR="00AC5B81">
        <w:rPr>
          <w:rFonts w:hint="cs"/>
          <w:rtl/>
        </w:rPr>
        <w:t>لما</w:t>
      </w:r>
      <w:r w:rsidRPr="000D2468">
        <w:rPr>
          <w:rtl/>
        </w:rPr>
        <w:t xml:space="preserve"> كان هناك بالفعل </w:t>
      </w:r>
      <w:r w:rsidR="00AC5B81">
        <w:rPr>
          <w:rFonts w:hint="cs"/>
          <w:rtl/>
        </w:rPr>
        <w:t>حكم</w:t>
      </w:r>
      <w:r w:rsidR="00AC5B81" w:rsidRPr="000D2468">
        <w:rPr>
          <w:rtl/>
        </w:rPr>
        <w:t xml:space="preserve"> </w:t>
      </w:r>
      <w:r w:rsidRPr="000D2468">
        <w:rPr>
          <w:rtl/>
        </w:rPr>
        <w:t xml:space="preserve">بموجب اللوائح السابقة </w:t>
      </w:r>
      <w:r>
        <w:rPr>
          <w:rFonts w:hint="cs"/>
          <w:rtl/>
        </w:rPr>
        <w:t>ل</w:t>
      </w:r>
      <w:r w:rsidRPr="000D2468">
        <w:rPr>
          <w:rtl/>
        </w:rPr>
        <w:t>لإش</w:t>
      </w:r>
      <w:r>
        <w:rPr>
          <w:rtl/>
        </w:rPr>
        <w:t>ارة إلى هذه العلامات بشكل منفصل</w:t>
      </w:r>
      <w:r w:rsidRPr="000D2468">
        <w:rPr>
          <w:rtl/>
        </w:rPr>
        <w:t xml:space="preserve">، </w:t>
      </w:r>
      <w:r w:rsidR="00BF6F00">
        <w:rPr>
          <w:rFonts w:hint="cs"/>
          <w:rtl/>
        </w:rPr>
        <w:t>فإ</w:t>
      </w:r>
      <w:r w:rsidRPr="000D2468">
        <w:rPr>
          <w:rtl/>
        </w:rPr>
        <w:t xml:space="preserve">ن هذا </w:t>
      </w:r>
      <w:r>
        <w:rPr>
          <w:rFonts w:hint="cs"/>
          <w:rtl/>
        </w:rPr>
        <w:t xml:space="preserve">قد </w:t>
      </w:r>
      <w:r>
        <w:rPr>
          <w:rtl/>
        </w:rPr>
        <w:t>تسبب في مشاكل</w:t>
      </w:r>
      <w:r w:rsidRPr="000D2468">
        <w:rPr>
          <w:rtl/>
        </w:rPr>
        <w:t>، لأن بعض البلدان لا تعترف بكل أنواع العلامات هذه.</w:t>
      </w:r>
      <w:r w:rsidR="00906633">
        <w:t xml:space="preserve"> </w:t>
      </w:r>
      <w:r w:rsidR="00BF6F00">
        <w:rPr>
          <w:rFonts w:hint="cs"/>
          <w:rtl/>
        </w:rPr>
        <w:t>و</w:t>
      </w:r>
      <w:r w:rsidR="00906633">
        <w:rPr>
          <w:rtl/>
        </w:rPr>
        <w:t>على هذا المنطق</w:t>
      </w:r>
      <w:r w:rsidR="006778C9">
        <w:rPr>
          <w:rtl/>
        </w:rPr>
        <w:t>، تغ</w:t>
      </w:r>
      <w:r w:rsidR="00906633" w:rsidRPr="00906633">
        <w:rPr>
          <w:rtl/>
        </w:rPr>
        <w:t>ي</w:t>
      </w:r>
      <w:r w:rsidR="006778C9">
        <w:rPr>
          <w:rFonts w:hint="cs"/>
          <w:rtl/>
        </w:rPr>
        <w:t>ّ</w:t>
      </w:r>
      <w:r w:rsidR="00906633" w:rsidRPr="00906633">
        <w:rPr>
          <w:rtl/>
        </w:rPr>
        <w:t>ر الإطار القانوني (</w:t>
      </w:r>
      <w:r w:rsidR="00BF6F00">
        <w:rPr>
          <w:rFonts w:hint="cs"/>
          <w:rtl/>
        </w:rPr>
        <w:t>أصبح يعرف الآن ب</w:t>
      </w:r>
      <w:r w:rsidR="00906633" w:rsidRPr="00906633">
        <w:rPr>
          <w:rtl/>
        </w:rPr>
        <w:t xml:space="preserve">اللوائح </w:t>
      </w:r>
      <w:r w:rsidR="00906633">
        <w:rPr>
          <w:rFonts w:hint="cs"/>
          <w:rtl/>
          <w:lang w:val="fr-CH" w:bidi="ar-SY"/>
        </w:rPr>
        <w:t>الموحدة</w:t>
      </w:r>
      <w:r w:rsidR="00906633" w:rsidRPr="00906633">
        <w:rPr>
          <w:rtl/>
        </w:rPr>
        <w:t>).</w:t>
      </w:r>
    </w:p>
    <w:p w:rsidR="006778C9" w:rsidRDefault="006778C9" w:rsidP="00B7492B">
      <w:pPr>
        <w:pStyle w:val="BodyTextFirstIndent"/>
        <w:spacing w:before="120"/>
        <w:rPr>
          <w:rtl/>
        </w:rPr>
      </w:pPr>
      <w:r>
        <w:rPr>
          <w:rFonts w:hint="cs"/>
          <w:rtl/>
        </w:rPr>
        <w:t>و</w:t>
      </w:r>
      <w:r w:rsidRPr="006778C9">
        <w:rPr>
          <w:rtl/>
        </w:rPr>
        <w:t xml:space="preserve">مع وجود إشارة </w:t>
      </w:r>
      <w:r>
        <w:rPr>
          <w:rFonts w:hint="cs"/>
          <w:rtl/>
        </w:rPr>
        <w:t>عامة أكثر</w:t>
      </w:r>
      <w:r w:rsidRPr="006778C9">
        <w:rPr>
          <w:rtl/>
        </w:rPr>
        <w:t xml:space="preserve">، تتمثل الفكرة في أن البلد الذي يتعرف </w:t>
      </w:r>
      <w:r>
        <w:rPr>
          <w:rFonts w:hint="cs"/>
          <w:rtl/>
        </w:rPr>
        <w:t>ب</w:t>
      </w:r>
      <w:r w:rsidRPr="006778C9">
        <w:rPr>
          <w:rtl/>
        </w:rPr>
        <w:t>العلامات ا</w:t>
      </w:r>
      <w:r w:rsidR="00BF6F00">
        <w:rPr>
          <w:rtl/>
        </w:rPr>
        <w:t xml:space="preserve">لجماعية </w:t>
      </w:r>
      <w:r>
        <w:rPr>
          <w:rtl/>
        </w:rPr>
        <w:t>لكن</w:t>
      </w:r>
      <w:r w:rsidR="00BF6F00">
        <w:rPr>
          <w:rFonts w:hint="cs"/>
          <w:rtl/>
        </w:rPr>
        <w:t>ه</w:t>
      </w:r>
      <w:r>
        <w:rPr>
          <w:rtl/>
        </w:rPr>
        <w:t xml:space="preserve"> </w:t>
      </w:r>
      <w:r>
        <w:rPr>
          <w:rFonts w:hint="cs"/>
          <w:rtl/>
        </w:rPr>
        <w:t>لا يعترف</w:t>
      </w:r>
      <w:r>
        <w:rPr>
          <w:rtl/>
        </w:rPr>
        <w:t xml:space="preserve"> </w:t>
      </w:r>
      <w:r>
        <w:rPr>
          <w:rFonts w:hint="cs"/>
          <w:rtl/>
        </w:rPr>
        <w:t>ب</w:t>
      </w:r>
      <w:r>
        <w:rPr>
          <w:rtl/>
        </w:rPr>
        <w:t xml:space="preserve">علامات التصديق، قد </w:t>
      </w:r>
      <w:r>
        <w:rPr>
          <w:rFonts w:hint="cs"/>
          <w:rtl/>
        </w:rPr>
        <w:t>ي</w:t>
      </w:r>
      <w:r>
        <w:rPr>
          <w:rtl/>
        </w:rPr>
        <w:t>قبل</w:t>
      </w:r>
      <w:r w:rsidRPr="006778C9">
        <w:rPr>
          <w:rtl/>
        </w:rPr>
        <w:t xml:space="preserve">، </w:t>
      </w:r>
      <w:r>
        <w:rPr>
          <w:rFonts w:hint="cs"/>
          <w:rtl/>
        </w:rPr>
        <w:t>إذا كانت</w:t>
      </w:r>
      <w:r w:rsidRPr="006778C9">
        <w:rPr>
          <w:rtl/>
        </w:rPr>
        <w:t xml:space="preserve"> </w:t>
      </w:r>
      <w:r>
        <w:rPr>
          <w:rtl/>
        </w:rPr>
        <w:t>العلامة الأساسية هي علامة تصديق</w:t>
      </w:r>
      <w:r w:rsidRPr="006778C9">
        <w:rPr>
          <w:rtl/>
        </w:rPr>
        <w:t>، حماي</w:t>
      </w:r>
      <w:r>
        <w:rPr>
          <w:rtl/>
        </w:rPr>
        <w:t>ة العلامة الدولية كعلامة جماعية</w:t>
      </w:r>
      <w:r w:rsidRPr="006778C9">
        <w:rPr>
          <w:rtl/>
        </w:rPr>
        <w:t>، أو العكس.</w:t>
      </w:r>
      <w:r>
        <w:rPr>
          <w:rFonts w:hint="cs"/>
          <w:rtl/>
        </w:rPr>
        <w:t xml:space="preserve"> وكان </w:t>
      </w:r>
      <w:r w:rsidR="00BF6F00">
        <w:rPr>
          <w:rFonts w:hint="cs"/>
          <w:rtl/>
        </w:rPr>
        <w:t xml:space="preserve">ذلك </w:t>
      </w:r>
      <w:r>
        <w:rPr>
          <w:rFonts w:hint="cs"/>
          <w:rtl/>
        </w:rPr>
        <w:t>معترف به آنذاك</w:t>
      </w:r>
      <w:r>
        <w:rPr>
          <w:rtl/>
        </w:rPr>
        <w:t xml:space="preserve"> </w:t>
      </w:r>
      <w:r w:rsidRPr="006778C9">
        <w:rPr>
          <w:rtl/>
        </w:rPr>
        <w:t>رغم أن</w:t>
      </w:r>
      <w:r>
        <w:rPr>
          <w:rFonts w:hint="cs"/>
          <w:rtl/>
        </w:rPr>
        <w:t>ه</w:t>
      </w:r>
      <w:r w:rsidRPr="006778C9">
        <w:rPr>
          <w:rtl/>
        </w:rPr>
        <w:t xml:space="preserve"> قد يؤدي إلى صعوبات حيث يحمي بلد ما أكثر من نوع من العلامات ولكن </w:t>
      </w:r>
      <w:r>
        <w:rPr>
          <w:rFonts w:hint="cs"/>
          <w:rtl/>
        </w:rPr>
        <w:t>بشروط مختلفة</w:t>
      </w:r>
      <w:r w:rsidRPr="006778C9">
        <w:rPr>
          <w:rtl/>
        </w:rPr>
        <w:t>.</w:t>
      </w:r>
    </w:p>
    <w:p w:rsidR="006778C9" w:rsidRDefault="006778C9" w:rsidP="00B7492B">
      <w:pPr>
        <w:pStyle w:val="BodyTextFirstIndent"/>
        <w:spacing w:before="120"/>
        <w:rPr>
          <w:rtl/>
        </w:rPr>
      </w:pPr>
      <w:r>
        <w:rPr>
          <w:rFonts w:hint="cs"/>
          <w:rtl/>
        </w:rPr>
        <w:t>و</w:t>
      </w:r>
      <w:r w:rsidRPr="006778C9">
        <w:rPr>
          <w:rtl/>
        </w:rPr>
        <w:t xml:space="preserve">قد تتسبب إعادة </w:t>
      </w:r>
      <w:r w:rsidR="00BF6F00">
        <w:rPr>
          <w:rFonts w:hint="cs"/>
          <w:rtl/>
        </w:rPr>
        <w:t>وضع</w:t>
      </w:r>
      <w:r w:rsidRPr="006778C9">
        <w:rPr>
          <w:rtl/>
        </w:rPr>
        <w:t xml:space="preserve"> </w:t>
      </w:r>
      <w:r>
        <w:rPr>
          <w:rFonts w:hint="cs"/>
          <w:rtl/>
        </w:rPr>
        <w:t>خانات</w:t>
      </w:r>
      <w:r w:rsidRPr="006778C9">
        <w:rPr>
          <w:rtl/>
        </w:rPr>
        <w:t xml:space="preserve"> محددة في صعوبات بالنسبة لمستخدمي نظام مدريد للحصول على الحماية لأن ب</w:t>
      </w:r>
      <w:r>
        <w:rPr>
          <w:rtl/>
        </w:rPr>
        <w:t xml:space="preserve">عض </w:t>
      </w:r>
      <w:r>
        <w:rPr>
          <w:rFonts w:hint="cs"/>
          <w:rtl/>
        </w:rPr>
        <w:t>البلدان</w:t>
      </w:r>
      <w:r>
        <w:rPr>
          <w:rtl/>
        </w:rPr>
        <w:t xml:space="preserve"> لن تقبل كل هذه الأنواع</w:t>
      </w:r>
      <w:r w:rsidRPr="006778C9">
        <w:rPr>
          <w:rtl/>
        </w:rPr>
        <w:t xml:space="preserve">، </w:t>
      </w:r>
      <w:r>
        <w:rPr>
          <w:rFonts w:hint="cs"/>
          <w:rtl/>
        </w:rPr>
        <w:t>و</w:t>
      </w:r>
      <w:r w:rsidR="00BF6F00">
        <w:rPr>
          <w:rFonts w:hint="cs"/>
          <w:rtl/>
        </w:rPr>
        <w:t xml:space="preserve">بالتالي </w:t>
      </w:r>
      <w:r w:rsidRPr="006778C9">
        <w:rPr>
          <w:rtl/>
        </w:rPr>
        <w:t>تصدر</w:t>
      </w:r>
      <w:r>
        <w:rPr>
          <w:rFonts w:hint="cs"/>
          <w:rtl/>
        </w:rPr>
        <w:t xml:space="preserve"> </w:t>
      </w:r>
      <w:r w:rsidRPr="006778C9">
        <w:rPr>
          <w:rtl/>
        </w:rPr>
        <w:t>رفض</w:t>
      </w:r>
      <w:r>
        <w:rPr>
          <w:rFonts w:hint="cs"/>
          <w:rtl/>
        </w:rPr>
        <w:t>اً</w:t>
      </w:r>
      <w:r>
        <w:rPr>
          <w:rtl/>
        </w:rPr>
        <w:t xml:space="preserve"> مؤقت</w:t>
      </w:r>
      <w:r>
        <w:rPr>
          <w:rFonts w:hint="cs"/>
          <w:rtl/>
        </w:rPr>
        <w:t>اً</w:t>
      </w:r>
      <w:r w:rsidRPr="006778C9">
        <w:rPr>
          <w:rtl/>
        </w:rPr>
        <w:t>.</w:t>
      </w:r>
      <w:r>
        <w:rPr>
          <w:rFonts w:hint="cs"/>
          <w:rtl/>
        </w:rPr>
        <w:t xml:space="preserve"> وب</w:t>
      </w:r>
      <w:r w:rsidRPr="006778C9">
        <w:rPr>
          <w:rtl/>
        </w:rPr>
        <w:t xml:space="preserve">وجود </w:t>
      </w:r>
      <w:r w:rsidR="00BF6F00">
        <w:rPr>
          <w:rFonts w:hint="cs"/>
          <w:rtl/>
        </w:rPr>
        <w:t>خانة</w:t>
      </w:r>
      <w:r w:rsidRPr="006778C9">
        <w:rPr>
          <w:rtl/>
        </w:rPr>
        <w:t xml:space="preserve"> واحد</w:t>
      </w:r>
      <w:r w:rsidR="00BF6F00">
        <w:rPr>
          <w:rFonts w:hint="cs"/>
          <w:rtl/>
        </w:rPr>
        <w:t>ة</w:t>
      </w:r>
      <w:r w:rsidR="00BF6F00">
        <w:rPr>
          <w:rtl/>
        </w:rPr>
        <w:t xml:space="preserve"> فقط </w:t>
      </w:r>
      <w:r w:rsidR="00BF6F00">
        <w:rPr>
          <w:rFonts w:hint="cs"/>
          <w:rtl/>
        </w:rPr>
        <w:t>ت</w:t>
      </w:r>
      <w:r w:rsidRPr="006778C9">
        <w:rPr>
          <w:rtl/>
        </w:rPr>
        <w:t>غطي الأنواع ال</w:t>
      </w:r>
      <w:r>
        <w:rPr>
          <w:rtl/>
        </w:rPr>
        <w:t>ثلاثة</w:t>
      </w:r>
      <w:r w:rsidRPr="006778C9">
        <w:rPr>
          <w:rtl/>
        </w:rPr>
        <w:t xml:space="preserve">، يجوز </w:t>
      </w:r>
      <w:r>
        <w:rPr>
          <w:rtl/>
        </w:rPr>
        <w:t xml:space="preserve">للمكتب تفسير العلامة على أنها </w:t>
      </w:r>
      <w:r w:rsidRPr="006778C9">
        <w:rPr>
          <w:rtl/>
        </w:rPr>
        <w:t xml:space="preserve">فئة </w:t>
      </w:r>
      <w:r>
        <w:rPr>
          <w:rFonts w:hint="cs"/>
          <w:rtl/>
        </w:rPr>
        <w:t>تقبلها</w:t>
      </w:r>
      <w:r w:rsidRPr="006778C9">
        <w:rPr>
          <w:rtl/>
        </w:rPr>
        <w:t xml:space="preserve"> </w:t>
      </w:r>
      <w:r>
        <w:rPr>
          <w:rFonts w:hint="cs"/>
          <w:rtl/>
        </w:rPr>
        <w:t>التشريعات</w:t>
      </w:r>
      <w:r w:rsidRPr="006778C9">
        <w:rPr>
          <w:rtl/>
        </w:rPr>
        <w:t xml:space="preserve"> المحلية.</w:t>
      </w:r>
      <w:r>
        <w:rPr>
          <w:rFonts w:hint="cs"/>
          <w:rtl/>
        </w:rPr>
        <w:t xml:space="preserve"> </w:t>
      </w:r>
    </w:p>
    <w:p w:rsidR="007F09A7" w:rsidRDefault="00BF6F00" w:rsidP="00BF6F00">
      <w:pPr>
        <w:pStyle w:val="ONUMA"/>
        <w:rPr>
          <w:rtl/>
        </w:rPr>
      </w:pPr>
      <w:r>
        <w:rPr>
          <w:rFonts w:hint="cs"/>
          <w:rtl/>
        </w:rPr>
        <w:t>و</w:t>
      </w:r>
      <w:r w:rsidR="006778C9">
        <w:rPr>
          <w:rFonts w:hint="cs"/>
          <w:rtl/>
          <w:lang w:val="fr-CH" w:bidi="ar-SY"/>
        </w:rPr>
        <w:t>أشارت</w:t>
      </w:r>
      <w:r w:rsidR="006778C9" w:rsidRPr="006778C9">
        <w:rPr>
          <w:rtl/>
        </w:rPr>
        <w:t xml:space="preserve"> فرقة العمل</w:t>
      </w:r>
      <w:r>
        <w:rPr>
          <w:rFonts w:hint="cs"/>
          <w:rtl/>
        </w:rPr>
        <w:t xml:space="preserve"> أيضاً</w:t>
      </w:r>
      <w:r w:rsidR="006778C9">
        <w:rPr>
          <w:rFonts w:hint="cs"/>
          <w:rtl/>
        </w:rPr>
        <w:t xml:space="preserve"> إلى</w:t>
      </w:r>
      <w:r w:rsidR="006778C9" w:rsidRPr="006778C9">
        <w:rPr>
          <w:rtl/>
        </w:rPr>
        <w:t xml:space="preserve"> أن </w:t>
      </w:r>
      <w:r>
        <w:rPr>
          <w:rFonts w:hint="cs"/>
          <w:rtl/>
        </w:rPr>
        <w:t>رموز الأرقام</w:t>
      </w:r>
      <w:r w:rsidR="006778C9" w:rsidRPr="006778C9">
        <w:rPr>
          <w:rtl/>
        </w:rPr>
        <w:t xml:space="preserve"> لا </w:t>
      </w:r>
      <w:r>
        <w:rPr>
          <w:rFonts w:hint="cs"/>
          <w:rtl/>
        </w:rPr>
        <w:t>ت</w:t>
      </w:r>
      <w:r w:rsidR="006778C9">
        <w:rPr>
          <w:rFonts w:hint="cs"/>
          <w:rtl/>
        </w:rPr>
        <w:t>قدم</w:t>
      </w:r>
      <w:r w:rsidR="006778C9" w:rsidRPr="006778C9">
        <w:rPr>
          <w:rtl/>
        </w:rPr>
        <w:t xml:space="preserve"> سوى مؤشرات عامة حول العلامات. </w:t>
      </w:r>
      <w:r w:rsidR="007F09A7">
        <w:rPr>
          <w:rFonts w:hint="cs"/>
          <w:rtl/>
        </w:rPr>
        <w:t>أما الأنساق</w:t>
      </w:r>
      <w:r w:rsidR="006778C9" w:rsidRPr="006778C9">
        <w:rPr>
          <w:rtl/>
        </w:rPr>
        <w:t xml:space="preserve"> الجديدة لتبادل البيانات </w:t>
      </w:r>
      <w:r w:rsidR="007F09A7">
        <w:rPr>
          <w:rFonts w:hint="cs"/>
          <w:rtl/>
        </w:rPr>
        <w:t>من قبيل</w:t>
      </w:r>
      <w:r w:rsidR="006778C9" w:rsidRPr="006778C9">
        <w:rPr>
          <w:rtl/>
        </w:rPr>
        <w:t xml:space="preserve"> معيار الويبو </w:t>
      </w:r>
      <w:r w:rsidR="006778C9" w:rsidRPr="006778C9">
        <w:t>ST.96</w:t>
      </w:r>
      <w:r w:rsidR="006778C9" w:rsidRPr="006778C9">
        <w:rPr>
          <w:rtl/>
        </w:rPr>
        <w:t xml:space="preserve"> </w:t>
      </w:r>
      <w:r w:rsidR="007F09A7">
        <w:rPr>
          <w:rFonts w:hint="cs"/>
          <w:rtl/>
        </w:rPr>
        <w:t xml:space="preserve">فهي </w:t>
      </w:r>
      <w:r w:rsidR="007F09A7" w:rsidRPr="006778C9">
        <w:rPr>
          <w:rtl/>
        </w:rPr>
        <w:t xml:space="preserve">تميز </w:t>
      </w:r>
      <w:r w:rsidR="007F09A7">
        <w:rPr>
          <w:rFonts w:hint="cs"/>
          <w:rtl/>
        </w:rPr>
        <w:t>بين مختلف الفروق</w:t>
      </w:r>
      <w:r w:rsidR="006778C9" w:rsidRPr="006778C9">
        <w:rPr>
          <w:rtl/>
        </w:rPr>
        <w:t>.</w:t>
      </w:r>
      <w:r w:rsidR="007F09A7" w:rsidRPr="007F09A7">
        <w:rPr>
          <w:rFonts w:hint="cs"/>
          <w:rtl/>
        </w:rPr>
        <w:t xml:space="preserve"> </w:t>
      </w:r>
      <w:r w:rsidR="007F09A7">
        <w:rPr>
          <w:rFonts w:hint="cs"/>
          <w:rtl/>
        </w:rPr>
        <w:t>و</w:t>
      </w:r>
      <w:r w:rsidR="007F09A7">
        <w:rPr>
          <w:rtl/>
        </w:rPr>
        <w:t xml:space="preserve">فيما يتعلق بهذه المسألة، </w:t>
      </w:r>
      <w:r w:rsidR="007F09A7">
        <w:rPr>
          <w:rFonts w:hint="cs"/>
          <w:rtl/>
        </w:rPr>
        <w:t>ي</w:t>
      </w:r>
      <w:r w:rsidR="007F09A7" w:rsidRPr="007F09A7">
        <w:rPr>
          <w:rtl/>
        </w:rPr>
        <w:t>قدم</w:t>
      </w:r>
      <w:r w:rsidR="007F09A7">
        <w:rPr>
          <w:rFonts w:hint="cs"/>
          <w:rtl/>
        </w:rPr>
        <w:t xml:space="preserve"> معيار</w:t>
      </w:r>
      <w:r w:rsidR="007F09A7" w:rsidRPr="007F09A7">
        <w:rPr>
          <w:rtl/>
        </w:rPr>
        <w:t xml:space="preserve"> الويبو </w:t>
      </w:r>
      <w:r w:rsidR="007F09A7" w:rsidRPr="007F09A7">
        <w:t>ST.96</w:t>
      </w:r>
      <w:r w:rsidR="007F09A7" w:rsidRPr="007F09A7">
        <w:rPr>
          <w:rtl/>
        </w:rPr>
        <w:t xml:space="preserve"> فئتين لهذه الأنواع من العلامات بدلاً من</w:t>
      </w:r>
      <w:r w:rsidR="007F09A7">
        <w:rPr>
          <w:rFonts w:hint="cs"/>
          <w:rtl/>
        </w:rPr>
        <w:t xml:space="preserve"> فئة</w:t>
      </w:r>
      <w:r w:rsidR="007F09A7" w:rsidRPr="007F09A7">
        <w:rPr>
          <w:rtl/>
        </w:rPr>
        <w:t xml:space="preserve"> واحدة. كما </w:t>
      </w:r>
      <w:r w:rsidR="007F09A7">
        <w:rPr>
          <w:rFonts w:hint="cs"/>
          <w:rtl/>
        </w:rPr>
        <w:t xml:space="preserve">أن مسألة </w:t>
      </w:r>
      <w:r w:rsidR="007F09A7" w:rsidRPr="007F09A7">
        <w:rPr>
          <w:rtl/>
        </w:rPr>
        <w:t xml:space="preserve">استخدام ثلاث فئات في </w:t>
      </w:r>
      <w:r w:rsidR="007F09A7" w:rsidRPr="007F09A7">
        <w:t>ST.96</w:t>
      </w:r>
      <w:r w:rsidR="007F09A7" w:rsidRPr="007F09A7">
        <w:rPr>
          <w:rtl/>
        </w:rPr>
        <w:t xml:space="preserve"> </w:t>
      </w:r>
      <w:r w:rsidR="007F09A7">
        <w:rPr>
          <w:rFonts w:hint="cs"/>
          <w:rtl/>
        </w:rPr>
        <w:t xml:space="preserve">قد نظرت فيها </w:t>
      </w:r>
      <w:r w:rsidR="007F09A7" w:rsidRPr="007F09A7">
        <w:rPr>
          <w:rtl/>
        </w:rPr>
        <w:t xml:space="preserve">فرقة عمل </w:t>
      </w:r>
      <w:r w:rsidR="007F09A7" w:rsidRPr="007F09A7">
        <w:t>XML4IP</w:t>
      </w:r>
      <w:r w:rsidR="007F09A7">
        <w:rPr>
          <w:rFonts w:hint="cs"/>
          <w:rtl/>
        </w:rPr>
        <w:t xml:space="preserve">، </w:t>
      </w:r>
      <w:r w:rsidR="007F09A7" w:rsidRPr="007F09A7">
        <w:rPr>
          <w:rtl/>
        </w:rPr>
        <w:t xml:space="preserve">التي تدير </w:t>
      </w:r>
      <w:r w:rsidR="007F09A7">
        <w:rPr>
          <w:rFonts w:hint="cs"/>
          <w:rtl/>
        </w:rPr>
        <w:t>تنقيح معيار</w:t>
      </w:r>
      <w:r w:rsidR="007F09A7" w:rsidRPr="007F09A7">
        <w:rPr>
          <w:rtl/>
        </w:rPr>
        <w:t xml:space="preserve"> الويبو </w:t>
      </w:r>
      <w:r w:rsidR="007F09A7" w:rsidRPr="007F09A7">
        <w:t>ST.96</w:t>
      </w:r>
      <w:r w:rsidR="007F09A7">
        <w:rPr>
          <w:rFonts w:hint="cs"/>
          <w:rtl/>
        </w:rPr>
        <w:t xml:space="preserve">، </w:t>
      </w:r>
      <w:r w:rsidR="007F09A7" w:rsidRPr="007F09A7">
        <w:rPr>
          <w:rtl/>
        </w:rPr>
        <w:t>ورفضته</w:t>
      </w:r>
      <w:r w:rsidR="007F09A7">
        <w:rPr>
          <w:rFonts w:hint="cs"/>
          <w:rtl/>
        </w:rPr>
        <w:t>ا</w:t>
      </w:r>
      <w:r w:rsidR="007F09A7" w:rsidRPr="007F09A7">
        <w:rPr>
          <w:rtl/>
        </w:rPr>
        <w:t>.</w:t>
      </w:r>
    </w:p>
    <w:p w:rsidR="006778C9" w:rsidRDefault="007F09A7" w:rsidP="00BF6F00">
      <w:pPr>
        <w:pStyle w:val="ONUMA"/>
        <w:rPr>
          <w:rtl/>
        </w:rPr>
      </w:pPr>
      <w:r>
        <w:rPr>
          <w:rFonts w:hint="cs"/>
          <w:rtl/>
        </w:rPr>
        <w:lastRenderedPageBreak/>
        <w:t>و</w:t>
      </w:r>
      <w:r>
        <w:rPr>
          <w:rtl/>
        </w:rPr>
        <w:t>بناءً على هذه العوامل</w:t>
      </w:r>
      <w:r w:rsidRPr="007F09A7">
        <w:rPr>
          <w:rtl/>
        </w:rPr>
        <w:t>، توصي فرقة</w:t>
      </w:r>
      <w:r>
        <w:rPr>
          <w:rtl/>
        </w:rPr>
        <w:t xml:space="preserve"> العمل بالإبقاء على العناصر م</w:t>
      </w:r>
      <w:r>
        <w:rPr>
          <w:rFonts w:hint="cs"/>
          <w:rtl/>
        </w:rPr>
        <w:t>جمّعة</w:t>
      </w:r>
      <w:r w:rsidRPr="007F09A7">
        <w:rPr>
          <w:rtl/>
        </w:rPr>
        <w:t xml:space="preserve"> تحت </w:t>
      </w:r>
      <w:r w:rsidR="00BF6F00">
        <w:rPr>
          <w:rFonts w:hint="cs"/>
          <w:rtl/>
        </w:rPr>
        <w:t>رموز أرقام</w:t>
      </w:r>
      <w:r w:rsidR="00BF6F00" w:rsidRPr="006778C9">
        <w:rPr>
          <w:rtl/>
        </w:rPr>
        <w:t xml:space="preserve"> </w:t>
      </w:r>
      <w:r w:rsidRPr="007F09A7">
        <w:rPr>
          <w:rtl/>
        </w:rPr>
        <w:t>واحد</w:t>
      </w:r>
      <w:r w:rsidR="00BF6F00">
        <w:rPr>
          <w:rFonts w:hint="cs"/>
          <w:rtl/>
        </w:rPr>
        <w:t>ة</w:t>
      </w:r>
      <w:r w:rsidRPr="007F09A7">
        <w:rPr>
          <w:rtl/>
        </w:rPr>
        <w:t xml:space="preserve"> دون أي تغيير في معيار الويبو </w:t>
      </w:r>
      <w:r w:rsidRPr="007F09A7">
        <w:t>ST.60</w:t>
      </w:r>
      <w:r w:rsidRPr="007F09A7">
        <w:rPr>
          <w:rtl/>
        </w:rPr>
        <w:t xml:space="preserve">. </w:t>
      </w:r>
      <w:r>
        <w:rPr>
          <w:rFonts w:hint="cs"/>
          <w:rtl/>
        </w:rPr>
        <w:t>وينبغي</w:t>
      </w:r>
      <w:r w:rsidRPr="007F09A7">
        <w:rPr>
          <w:rtl/>
        </w:rPr>
        <w:t xml:space="preserve"> أن تستخدم الأدوات الآلية </w:t>
      </w:r>
      <w:r>
        <w:rPr>
          <w:rFonts w:hint="cs"/>
          <w:rtl/>
        </w:rPr>
        <w:t>أنساق</w:t>
      </w:r>
      <w:r w:rsidR="00BF6F00">
        <w:rPr>
          <w:rFonts w:hint="cs"/>
          <w:rtl/>
        </w:rPr>
        <w:t>اً</w:t>
      </w:r>
      <w:r>
        <w:rPr>
          <w:rFonts w:hint="cs"/>
          <w:rtl/>
        </w:rPr>
        <w:t xml:space="preserve"> مثل المعيار</w:t>
      </w:r>
      <w:r w:rsidRPr="007F09A7">
        <w:rPr>
          <w:rtl/>
        </w:rPr>
        <w:t xml:space="preserve"> </w:t>
      </w:r>
      <w:r w:rsidRPr="007F09A7">
        <w:t>ST.96</w:t>
      </w:r>
      <w:r>
        <w:rPr>
          <w:rtl/>
        </w:rPr>
        <w:t xml:space="preserve"> لتبادل البيانات</w:t>
      </w:r>
      <w:r w:rsidRPr="007F09A7">
        <w:rPr>
          <w:rtl/>
        </w:rPr>
        <w:t xml:space="preserve">، </w:t>
      </w:r>
      <w:r>
        <w:rPr>
          <w:rFonts w:hint="cs"/>
          <w:rtl/>
        </w:rPr>
        <w:t>مما</w:t>
      </w:r>
      <w:r w:rsidRPr="007F09A7">
        <w:rPr>
          <w:rtl/>
        </w:rPr>
        <w:t xml:space="preserve"> تتيح معالجة </w:t>
      </w:r>
      <w:r w:rsidR="00BF6F00">
        <w:rPr>
          <w:rFonts w:hint="cs"/>
          <w:rtl/>
        </w:rPr>
        <w:t>ا</w:t>
      </w:r>
      <w:r w:rsidRPr="007F09A7">
        <w:rPr>
          <w:rtl/>
        </w:rPr>
        <w:t xml:space="preserve">لبيانات </w:t>
      </w:r>
      <w:r>
        <w:rPr>
          <w:rFonts w:hint="cs"/>
          <w:rtl/>
        </w:rPr>
        <w:t>بمزيد من ال</w:t>
      </w:r>
      <w:r w:rsidRPr="007F09A7">
        <w:rPr>
          <w:rtl/>
        </w:rPr>
        <w:t xml:space="preserve">دقة. </w:t>
      </w:r>
      <w:r>
        <w:rPr>
          <w:rFonts w:hint="cs"/>
          <w:rtl/>
        </w:rPr>
        <w:t>و</w:t>
      </w:r>
      <w:r w:rsidRPr="007F09A7">
        <w:rPr>
          <w:rtl/>
        </w:rPr>
        <w:t xml:space="preserve">لا يبدو أن </w:t>
      </w:r>
      <w:r>
        <w:rPr>
          <w:rFonts w:hint="cs"/>
          <w:rtl/>
        </w:rPr>
        <w:t>اعتماد</w:t>
      </w:r>
      <w:r w:rsidRPr="007F09A7">
        <w:rPr>
          <w:rtl/>
        </w:rPr>
        <w:t xml:space="preserve"> </w:t>
      </w:r>
      <w:r w:rsidR="00BF6F00">
        <w:rPr>
          <w:rFonts w:hint="cs"/>
          <w:rtl/>
        </w:rPr>
        <w:t>رموز أرقام</w:t>
      </w:r>
      <w:r w:rsidR="00BF6F00" w:rsidRPr="006778C9">
        <w:rPr>
          <w:rtl/>
        </w:rPr>
        <w:t xml:space="preserve"> </w:t>
      </w:r>
      <w:r w:rsidRPr="007F09A7">
        <w:rPr>
          <w:rtl/>
        </w:rPr>
        <w:t>جديد</w:t>
      </w:r>
      <w:r w:rsidR="00BF6F00">
        <w:rPr>
          <w:rFonts w:hint="cs"/>
          <w:rtl/>
        </w:rPr>
        <w:t>ة</w:t>
      </w:r>
      <w:r w:rsidRPr="007F09A7">
        <w:rPr>
          <w:rtl/>
        </w:rPr>
        <w:t xml:space="preserve"> </w:t>
      </w:r>
      <w:r w:rsidR="00BF6F00">
        <w:rPr>
          <w:rFonts w:hint="cs"/>
          <w:rtl/>
        </w:rPr>
        <w:t>فيه</w:t>
      </w:r>
      <w:r>
        <w:rPr>
          <w:rtl/>
        </w:rPr>
        <w:t xml:space="preserve"> ف</w:t>
      </w:r>
      <w:r>
        <w:rPr>
          <w:rFonts w:hint="cs"/>
          <w:rtl/>
        </w:rPr>
        <w:t>وائد</w:t>
      </w:r>
      <w:r w:rsidRPr="007F09A7">
        <w:rPr>
          <w:rtl/>
        </w:rPr>
        <w:t xml:space="preserve"> كافية.</w:t>
      </w:r>
    </w:p>
    <w:p w:rsidR="007F09A7" w:rsidRDefault="00C212F8" w:rsidP="00BF6F00">
      <w:pPr>
        <w:pStyle w:val="ONUMA"/>
      </w:pPr>
      <w:r>
        <w:rPr>
          <w:rFonts w:hint="cs"/>
          <w:rtl/>
        </w:rPr>
        <w:t>و</w:t>
      </w:r>
      <w:r w:rsidRPr="00C212F8">
        <w:rPr>
          <w:rtl/>
        </w:rPr>
        <w:t xml:space="preserve">فيما يتعلق بموضوع </w:t>
      </w:r>
      <w:r>
        <w:rPr>
          <w:rFonts w:hint="cs"/>
          <w:rtl/>
        </w:rPr>
        <w:t>وضع</w:t>
      </w:r>
      <w:r w:rsidRPr="00C212F8">
        <w:rPr>
          <w:rtl/>
        </w:rPr>
        <w:t xml:space="preserve"> </w:t>
      </w:r>
      <w:r w:rsidR="00BF6F00">
        <w:rPr>
          <w:rFonts w:hint="cs"/>
          <w:rtl/>
        </w:rPr>
        <w:t>رموز أرقام</w:t>
      </w:r>
      <w:r w:rsidR="00BF6F00" w:rsidRPr="006778C9">
        <w:rPr>
          <w:rtl/>
        </w:rPr>
        <w:t xml:space="preserve"> </w:t>
      </w:r>
      <w:r>
        <w:rPr>
          <w:rtl/>
        </w:rPr>
        <w:t>منفصل</w:t>
      </w:r>
      <w:r w:rsidR="00BF6F00">
        <w:rPr>
          <w:rFonts w:hint="cs"/>
          <w:rtl/>
        </w:rPr>
        <w:t>ة</w:t>
      </w:r>
      <w:r>
        <w:rPr>
          <w:rtl/>
        </w:rPr>
        <w:t xml:space="preserve"> للعلامات </w:t>
      </w:r>
      <w:r>
        <w:rPr>
          <w:rFonts w:hint="cs"/>
          <w:rtl/>
        </w:rPr>
        <w:t>المجمعة</w:t>
      </w:r>
      <w:r w:rsidR="00BA6CEA">
        <w:rPr>
          <w:rtl/>
        </w:rPr>
        <w:t xml:space="preserve">، </w:t>
      </w:r>
      <w:r w:rsidR="00BF6F00">
        <w:rPr>
          <w:rFonts w:hint="cs"/>
          <w:rtl/>
        </w:rPr>
        <w:t xml:space="preserve">فقد </w:t>
      </w:r>
      <w:r w:rsidR="00BA6CEA">
        <w:rPr>
          <w:rFonts w:hint="cs"/>
          <w:rtl/>
          <w:lang w:val="fr-CH" w:bidi="ar-SY"/>
        </w:rPr>
        <w:t>أشارت</w:t>
      </w:r>
      <w:r w:rsidR="00BA6CEA">
        <w:rPr>
          <w:rtl/>
        </w:rPr>
        <w:t xml:space="preserve"> فرقة العمل </w:t>
      </w:r>
      <w:r w:rsidR="00BA6CEA">
        <w:rPr>
          <w:rFonts w:hint="cs"/>
          <w:rtl/>
        </w:rPr>
        <w:t xml:space="preserve">إلى </w:t>
      </w:r>
      <w:r w:rsidR="00BA6CEA">
        <w:rPr>
          <w:rtl/>
        </w:rPr>
        <w:t>أن</w:t>
      </w:r>
      <w:r w:rsidR="00BA6CEA" w:rsidRPr="00BA6CEA">
        <w:rPr>
          <w:rFonts w:hint="cs"/>
          <w:rtl/>
        </w:rPr>
        <w:t xml:space="preserve"> </w:t>
      </w:r>
      <w:r w:rsidR="00BF6F00">
        <w:rPr>
          <w:rFonts w:hint="cs"/>
          <w:rtl/>
        </w:rPr>
        <w:t>رموز الأرقام</w:t>
      </w:r>
      <w:r w:rsidR="00BA6CEA" w:rsidRPr="00C212F8">
        <w:rPr>
          <w:rtl/>
        </w:rPr>
        <w:t xml:space="preserve"> </w:t>
      </w:r>
      <w:r w:rsidR="00BA6CEA">
        <w:rPr>
          <w:rtl/>
        </w:rPr>
        <w:t>مخصص</w:t>
      </w:r>
      <w:r w:rsidR="00BF6F00">
        <w:rPr>
          <w:rFonts w:hint="cs"/>
          <w:rtl/>
        </w:rPr>
        <w:t>ة</w:t>
      </w:r>
      <w:r w:rsidR="00BA6CEA" w:rsidRPr="00C212F8">
        <w:rPr>
          <w:rtl/>
        </w:rPr>
        <w:t xml:space="preserve"> فقط </w:t>
      </w:r>
      <w:r w:rsidR="00BA6CEA">
        <w:rPr>
          <w:rFonts w:hint="cs"/>
          <w:rtl/>
        </w:rPr>
        <w:t>لتقديم</w:t>
      </w:r>
      <w:r w:rsidR="00BA6CEA" w:rsidRPr="00C212F8">
        <w:rPr>
          <w:rtl/>
        </w:rPr>
        <w:t xml:space="preserve"> مؤشرات عامة حول علامات </w:t>
      </w:r>
      <w:r w:rsidR="00BA6CEA">
        <w:rPr>
          <w:rFonts w:hint="cs"/>
          <w:rtl/>
        </w:rPr>
        <w:t>من قبيل</w:t>
      </w:r>
      <w:r w:rsidR="00BA6CEA" w:rsidRPr="00C212F8">
        <w:rPr>
          <w:rtl/>
        </w:rPr>
        <w:t xml:space="preserve"> العلامات </w:t>
      </w:r>
      <w:r w:rsidR="00BA6CEA">
        <w:rPr>
          <w:rFonts w:hint="cs"/>
          <w:rtl/>
        </w:rPr>
        <w:t>المجمعة</w:t>
      </w:r>
      <w:r w:rsidRPr="00C212F8">
        <w:rPr>
          <w:rtl/>
        </w:rPr>
        <w:t xml:space="preserve">، </w:t>
      </w:r>
      <w:r w:rsidR="00BA6CEA">
        <w:rPr>
          <w:rFonts w:hint="cs"/>
          <w:rtl/>
        </w:rPr>
        <w:t>مثلما</w:t>
      </w:r>
      <w:r w:rsidRPr="00C212F8">
        <w:rPr>
          <w:rtl/>
        </w:rPr>
        <w:t xml:space="preserve"> هو الحال </w:t>
      </w:r>
      <w:r w:rsidR="00BA6CEA">
        <w:rPr>
          <w:rFonts w:hint="cs"/>
          <w:rtl/>
        </w:rPr>
        <w:t>بالنسبة</w:t>
      </w:r>
      <w:r w:rsidR="00BA6CEA">
        <w:rPr>
          <w:rtl/>
        </w:rPr>
        <w:t xml:space="preserve"> </w:t>
      </w:r>
      <w:r w:rsidR="00BA6CEA">
        <w:rPr>
          <w:rFonts w:hint="cs"/>
          <w:rtl/>
        </w:rPr>
        <w:t>ل</w:t>
      </w:r>
      <w:r w:rsidRPr="00C212F8">
        <w:rPr>
          <w:rtl/>
        </w:rPr>
        <w:t xml:space="preserve">لعلامات الجماعية/ </w:t>
      </w:r>
      <w:r w:rsidR="00BA6CEA">
        <w:rPr>
          <w:rFonts w:hint="cs"/>
          <w:rtl/>
        </w:rPr>
        <w:t>علامات التصديق</w:t>
      </w:r>
      <w:r w:rsidRPr="00C212F8">
        <w:rPr>
          <w:rtl/>
        </w:rPr>
        <w:t xml:space="preserve">/ </w:t>
      </w:r>
      <w:r w:rsidR="00BA6CEA">
        <w:rPr>
          <w:rFonts w:hint="cs"/>
          <w:rtl/>
        </w:rPr>
        <w:t>علامات ال</w:t>
      </w:r>
      <w:r w:rsidRPr="00C212F8">
        <w:rPr>
          <w:rtl/>
        </w:rPr>
        <w:t>ضمان</w:t>
      </w:r>
      <w:r w:rsidR="00BA6CEA">
        <w:rPr>
          <w:rFonts w:hint="cs"/>
          <w:rtl/>
        </w:rPr>
        <w:t>. و</w:t>
      </w:r>
      <w:r w:rsidR="00BA6CEA" w:rsidRPr="00BA6CEA">
        <w:rPr>
          <w:rtl/>
        </w:rPr>
        <w:t xml:space="preserve">تتيح </w:t>
      </w:r>
      <w:r w:rsidR="00BA6CEA">
        <w:rPr>
          <w:rFonts w:hint="cs"/>
          <w:rtl/>
        </w:rPr>
        <w:t>الأنساق</w:t>
      </w:r>
      <w:r w:rsidR="00BA6CEA" w:rsidRPr="00BA6CEA">
        <w:rPr>
          <w:rtl/>
        </w:rPr>
        <w:t xml:space="preserve"> </w:t>
      </w:r>
      <w:r w:rsidR="00BA6CEA">
        <w:rPr>
          <w:rFonts w:hint="cs"/>
          <w:rtl/>
        </w:rPr>
        <w:t>الجديدة</w:t>
      </w:r>
      <w:r w:rsidR="00BA6CEA">
        <w:rPr>
          <w:rtl/>
        </w:rPr>
        <w:t xml:space="preserve"> لتبادل البيانات م</w:t>
      </w:r>
      <w:r w:rsidR="00BA6CEA">
        <w:rPr>
          <w:rFonts w:hint="cs"/>
          <w:rtl/>
        </w:rPr>
        <w:t>ن قبيل المعيار</w:t>
      </w:r>
      <w:r w:rsidR="00BA6CEA" w:rsidRPr="00BA6CEA">
        <w:rPr>
          <w:rtl/>
        </w:rPr>
        <w:t xml:space="preserve"> </w:t>
      </w:r>
      <w:r w:rsidR="00BA6CEA" w:rsidRPr="00BA6CEA">
        <w:t>ST.96</w:t>
      </w:r>
      <w:r w:rsidR="00BA6CEA">
        <w:rPr>
          <w:rtl/>
        </w:rPr>
        <w:t xml:space="preserve"> تمييز</w:t>
      </w:r>
      <w:r w:rsidR="00BA6CEA">
        <w:rPr>
          <w:rFonts w:hint="cs"/>
          <w:rtl/>
        </w:rPr>
        <w:t>اً</w:t>
      </w:r>
      <w:r w:rsidR="00BA6CEA" w:rsidRPr="00BA6CEA">
        <w:rPr>
          <w:rtl/>
        </w:rPr>
        <w:t xml:space="preserve"> أفضل بين أنواع العلامات. </w:t>
      </w:r>
      <w:r w:rsidR="00333FAC">
        <w:rPr>
          <w:rFonts w:hint="cs"/>
          <w:rtl/>
        </w:rPr>
        <w:t>كما يقدم معيار الويبو</w:t>
      </w:r>
      <w:r w:rsidR="00BA6CEA" w:rsidRPr="00BA6CEA">
        <w:rPr>
          <w:rtl/>
        </w:rPr>
        <w:t xml:space="preserve"> </w:t>
      </w:r>
      <w:r w:rsidR="00BA6CEA" w:rsidRPr="00BA6CEA">
        <w:t>ST.96</w:t>
      </w:r>
      <w:r w:rsidR="00333FAC">
        <w:rPr>
          <w:rtl/>
        </w:rPr>
        <w:t xml:space="preserve"> نوع</w:t>
      </w:r>
      <w:r w:rsidR="00333FAC">
        <w:rPr>
          <w:rFonts w:hint="cs"/>
          <w:rtl/>
        </w:rPr>
        <w:t>اً</w:t>
      </w:r>
      <w:r w:rsidR="00333FAC">
        <w:rPr>
          <w:rtl/>
        </w:rPr>
        <w:t xml:space="preserve"> "مجمّع</w:t>
      </w:r>
      <w:r w:rsidR="00BA6CEA" w:rsidRPr="00BA6CEA">
        <w:rPr>
          <w:rtl/>
        </w:rPr>
        <w:t>ا</w:t>
      </w:r>
      <w:r w:rsidR="00333FAC">
        <w:rPr>
          <w:rFonts w:hint="cs"/>
          <w:rtl/>
        </w:rPr>
        <w:t>ً</w:t>
      </w:r>
      <w:r w:rsidR="00BA6CEA" w:rsidRPr="00BA6CEA">
        <w:rPr>
          <w:rtl/>
        </w:rPr>
        <w:t xml:space="preserve">" للإشارة إلى العلامات </w:t>
      </w:r>
      <w:r w:rsidR="00333FAC">
        <w:rPr>
          <w:rFonts w:hint="cs"/>
          <w:rtl/>
        </w:rPr>
        <w:t>المجمّعة</w:t>
      </w:r>
      <w:r w:rsidR="00BA6CEA" w:rsidRPr="00BA6CEA">
        <w:rPr>
          <w:rtl/>
        </w:rPr>
        <w:t>.</w:t>
      </w:r>
    </w:p>
    <w:p w:rsidR="00333FAC" w:rsidRDefault="00333FAC" w:rsidP="00BF6F00">
      <w:pPr>
        <w:pStyle w:val="ONUMA"/>
        <w:rPr>
          <w:rtl/>
        </w:rPr>
      </w:pPr>
      <w:r>
        <w:rPr>
          <w:rFonts w:hint="cs"/>
          <w:rtl/>
        </w:rPr>
        <w:t>و</w:t>
      </w:r>
      <w:r>
        <w:rPr>
          <w:rtl/>
        </w:rPr>
        <w:t>بناءً على هذه العوامل</w:t>
      </w:r>
      <w:r w:rsidRPr="007F09A7">
        <w:rPr>
          <w:rtl/>
        </w:rPr>
        <w:t>، توصي فرقة</w:t>
      </w:r>
      <w:r>
        <w:rPr>
          <w:rtl/>
        </w:rPr>
        <w:t xml:space="preserve"> العمل بالإبقاء على</w:t>
      </w:r>
      <w:r>
        <w:rPr>
          <w:rFonts w:hint="cs"/>
          <w:rtl/>
          <w:lang w:val="fr-CH"/>
        </w:rPr>
        <w:t xml:space="preserve"> النظام الحالي لمعالجة العلامات و</w:t>
      </w:r>
      <w:r>
        <w:rPr>
          <w:rFonts w:hint="cs"/>
          <w:rtl/>
        </w:rPr>
        <w:t>عدم</w:t>
      </w:r>
      <w:r w:rsidRPr="007F09A7">
        <w:rPr>
          <w:rtl/>
        </w:rPr>
        <w:t xml:space="preserve"> تغيير معيار الويبو </w:t>
      </w:r>
      <w:r w:rsidRPr="007F09A7">
        <w:t>ST.60</w:t>
      </w:r>
      <w:r w:rsidRPr="007F09A7">
        <w:rPr>
          <w:rtl/>
        </w:rPr>
        <w:t xml:space="preserve">. </w:t>
      </w:r>
      <w:r>
        <w:rPr>
          <w:rFonts w:hint="cs"/>
          <w:rtl/>
        </w:rPr>
        <w:t>وينبغي</w:t>
      </w:r>
      <w:r w:rsidRPr="007F09A7">
        <w:rPr>
          <w:rtl/>
        </w:rPr>
        <w:t xml:space="preserve"> أن تستخدم الأدوات الآلية </w:t>
      </w:r>
      <w:r>
        <w:rPr>
          <w:rFonts w:hint="cs"/>
          <w:rtl/>
        </w:rPr>
        <w:t>أنساقاً مثل المعيار</w:t>
      </w:r>
      <w:r w:rsidRPr="007F09A7">
        <w:rPr>
          <w:rtl/>
        </w:rPr>
        <w:t xml:space="preserve"> </w:t>
      </w:r>
      <w:r w:rsidRPr="007F09A7">
        <w:t>ST.96</w:t>
      </w:r>
      <w:r>
        <w:rPr>
          <w:rtl/>
        </w:rPr>
        <w:t xml:space="preserve"> لتبادل البيانات</w:t>
      </w:r>
      <w:r w:rsidRPr="007F09A7">
        <w:rPr>
          <w:rtl/>
        </w:rPr>
        <w:t xml:space="preserve">، </w:t>
      </w:r>
      <w:r>
        <w:rPr>
          <w:rFonts w:hint="cs"/>
          <w:rtl/>
        </w:rPr>
        <w:t>مما</w:t>
      </w:r>
      <w:r w:rsidRPr="007F09A7">
        <w:rPr>
          <w:rtl/>
        </w:rPr>
        <w:t xml:space="preserve"> تتيح معالجة </w:t>
      </w:r>
      <w:r w:rsidR="00BF6F00">
        <w:rPr>
          <w:rFonts w:hint="cs"/>
          <w:rtl/>
        </w:rPr>
        <w:t>ا</w:t>
      </w:r>
      <w:r w:rsidRPr="007F09A7">
        <w:rPr>
          <w:rtl/>
        </w:rPr>
        <w:t xml:space="preserve">لبيانات </w:t>
      </w:r>
      <w:r>
        <w:rPr>
          <w:rFonts w:hint="cs"/>
          <w:rtl/>
        </w:rPr>
        <w:t>بمزيد من ال</w:t>
      </w:r>
      <w:r w:rsidRPr="007F09A7">
        <w:rPr>
          <w:rtl/>
        </w:rPr>
        <w:t xml:space="preserve">دقة. </w:t>
      </w:r>
      <w:r>
        <w:rPr>
          <w:rFonts w:hint="cs"/>
          <w:rtl/>
        </w:rPr>
        <w:t>و</w:t>
      </w:r>
      <w:r w:rsidRPr="007F09A7">
        <w:rPr>
          <w:rtl/>
        </w:rPr>
        <w:t xml:space="preserve">لا يبدو أن </w:t>
      </w:r>
      <w:r>
        <w:rPr>
          <w:rFonts w:hint="cs"/>
          <w:rtl/>
        </w:rPr>
        <w:t>اعتماد</w:t>
      </w:r>
      <w:r w:rsidRPr="007F09A7">
        <w:rPr>
          <w:rtl/>
        </w:rPr>
        <w:t xml:space="preserve"> </w:t>
      </w:r>
      <w:r w:rsidR="00BF6F00">
        <w:rPr>
          <w:rFonts w:hint="cs"/>
          <w:rtl/>
        </w:rPr>
        <w:t>رموز أرقام</w:t>
      </w:r>
      <w:r w:rsidR="00BF6F00" w:rsidRPr="006778C9">
        <w:rPr>
          <w:rtl/>
        </w:rPr>
        <w:t xml:space="preserve"> </w:t>
      </w:r>
      <w:r w:rsidRPr="007F09A7">
        <w:rPr>
          <w:rtl/>
        </w:rPr>
        <w:t>جديد</w:t>
      </w:r>
      <w:r w:rsidR="00BF6F00">
        <w:rPr>
          <w:rFonts w:hint="cs"/>
          <w:rtl/>
        </w:rPr>
        <w:t>ة</w:t>
      </w:r>
      <w:r w:rsidRPr="007F09A7">
        <w:rPr>
          <w:rtl/>
        </w:rPr>
        <w:t xml:space="preserve"> </w:t>
      </w:r>
      <w:r w:rsidR="00BF6F00">
        <w:rPr>
          <w:rFonts w:hint="cs"/>
          <w:rtl/>
        </w:rPr>
        <w:t>فيه</w:t>
      </w:r>
      <w:r>
        <w:rPr>
          <w:rtl/>
        </w:rPr>
        <w:t xml:space="preserve"> ف</w:t>
      </w:r>
      <w:r>
        <w:rPr>
          <w:rFonts w:hint="cs"/>
          <w:rtl/>
        </w:rPr>
        <w:t>وائد</w:t>
      </w:r>
      <w:r w:rsidRPr="007F09A7">
        <w:rPr>
          <w:rtl/>
        </w:rPr>
        <w:t xml:space="preserve"> كافية.</w:t>
      </w:r>
    </w:p>
    <w:p w:rsidR="00333FAC" w:rsidRDefault="00333FAC" w:rsidP="00333FAC">
      <w:pPr>
        <w:pStyle w:val="Heading3"/>
        <w:rPr>
          <w:rtl/>
        </w:rPr>
      </w:pPr>
      <w:r>
        <w:rPr>
          <w:rFonts w:hint="cs"/>
          <w:rtl/>
        </w:rPr>
        <w:t>استئناف المهمة رقم 49</w:t>
      </w:r>
    </w:p>
    <w:p w:rsidR="00333FAC" w:rsidRDefault="00333FAC" w:rsidP="00B7492B">
      <w:pPr>
        <w:pStyle w:val="ONUMA"/>
      </w:pPr>
      <w:r>
        <w:rPr>
          <w:rFonts w:hint="cs"/>
          <w:rtl/>
        </w:rPr>
        <w:t xml:space="preserve">وافقت لجنة المعايير في </w:t>
      </w:r>
      <w:r w:rsidR="00DD226A">
        <w:rPr>
          <w:rFonts w:hint="cs"/>
          <w:rtl/>
          <w:lang w:val="fr-CH" w:bidi="ar-EG"/>
        </w:rPr>
        <w:t xml:space="preserve">دورتها الخامسة المنعقدة في </w:t>
      </w:r>
      <w:r>
        <w:rPr>
          <w:rFonts w:hint="cs"/>
          <w:rtl/>
        </w:rPr>
        <w:t xml:space="preserve">2017، على تأجيل الأعمال المتبقية التي تضطلع بها فرقة العمل بشأن المهمة رقم 49 </w:t>
      </w:r>
      <w:r w:rsidR="00DD226A">
        <w:rPr>
          <w:rFonts w:hint="cs"/>
          <w:rtl/>
        </w:rPr>
        <w:t>"</w:t>
      </w:r>
      <w:r w:rsidR="00DD226A" w:rsidRPr="00DD226A">
        <w:rPr>
          <w:rtl/>
        </w:rPr>
        <w:t>إعداد توصية بشأن الإدارة الإلكترونية لعلامات الحركة أو علامات الوسائط المتعددة لتُعتمد معياراً من معايير الويبو</w:t>
      </w:r>
      <w:r w:rsidR="00DD226A">
        <w:rPr>
          <w:rFonts w:hint="cs"/>
          <w:rtl/>
        </w:rPr>
        <w:t xml:space="preserve">" </w:t>
      </w:r>
      <w:r w:rsidR="00BF6F00">
        <w:rPr>
          <w:rFonts w:hint="cs"/>
          <w:rtl/>
        </w:rPr>
        <w:t>إلى غاية</w:t>
      </w:r>
      <w:r>
        <w:rPr>
          <w:rFonts w:hint="cs"/>
          <w:rtl/>
        </w:rPr>
        <w:t xml:space="preserve"> </w:t>
      </w:r>
      <w:r w:rsidR="00DD226A">
        <w:rPr>
          <w:rFonts w:hint="cs"/>
          <w:rtl/>
        </w:rPr>
        <w:t xml:space="preserve">أن تعمل مكاتب الملكية الفكرية المعنية في 2019 على </w:t>
      </w:r>
      <w:r>
        <w:rPr>
          <w:rFonts w:hint="cs"/>
          <w:rtl/>
        </w:rPr>
        <w:t xml:space="preserve">تنفيذ التوجيه </w:t>
      </w:r>
      <w:r>
        <w:t>2008/95/EC</w:t>
      </w:r>
      <w:r>
        <w:rPr>
          <w:rFonts w:hint="cs"/>
          <w:rtl/>
          <w:lang w:bidi="ar-SY"/>
        </w:rPr>
        <w:t xml:space="preserve"> الصادر عن المفوضية الأوروبية. و</w:t>
      </w:r>
      <w:r w:rsidRPr="00333FAC">
        <w:rPr>
          <w:rtl/>
          <w:lang w:bidi="ar-SY"/>
        </w:rPr>
        <w:t xml:space="preserve">يقترح المكتب الدولي استئناف </w:t>
      </w:r>
      <w:r w:rsidR="00DD226A">
        <w:rPr>
          <w:rFonts w:hint="cs"/>
          <w:rtl/>
          <w:lang w:bidi="ar-SY"/>
        </w:rPr>
        <w:t>عمل فرقة العمل بشأن ال</w:t>
      </w:r>
      <w:r w:rsidRPr="00333FAC">
        <w:rPr>
          <w:rtl/>
          <w:lang w:bidi="ar-SY"/>
        </w:rPr>
        <w:t xml:space="preserve">مهمة </w:t>
      </w:r>
      <w:r w:rsidR="00DD226A">
        <w:rPr>
          <w:rFonts w:hint="cs"/>
          <w:rtl/>
          <w:lang w:bidi="ar-SY"/>
        </w:rPr>
        <w:t xml:space="preserve">رقم 49 </w:t>
      </w:r>
      <w:r w:rsidR="00B7492B">
        <w:rPr>
          <w:rFonts w:hint="cs"/>
          <w:rtl/>
          <w:lang w:bidi="ar-EG"/>
        </w:rPr>
        <w:t xml:space="preserve">للنظر في المسألة خلال </w:t>
      </w:r>
      <w:r w:rsidRPr="00333FAC">
        <w:rPr>
          <w:rtl/>
          <w:lang w:bidi="ar-SY"/>
        </w:rPr>
        <w:t>في الدورة السابعة للجنة</w:t>
      </w:r>
      <w:r>
        <w:rPr>
          <w:rFonts w:hint="cs"/>
          <w:rtl/>
          <w:lang w:bidi="ar-SY"/>
        </w:rPr>
        <w:t xml:space="preserve"> المعايير</w:t>
      </w:r>
      <w:r w:rsidRPr="00333FAC">
        <w:rPr>
          <w:rtl/>
          <w:lang w:bidi="ar-SY"/>
        </w:rPr>
        <w:t>.</w:t>
      </w:r>
    </w:p>
    <w:p w:rsidR="00333FAC" w:rsidRDefault="00333FAC" w:rsidP="00B7492B">
      <w:pPr>
        <w:pStyle w:val="Decision"/>
        <w:spacing w:before="120"/>
      </w:pPr>
      <w:r>
        <w:rPr>
          <w:rFonts w:hint="cs"/>
          <w:rtl/>
        </w:rPr>
        <w:t>إن لجنة المعايير مدعوة إلى ما يلي:</w:t>
      </w:r>
    </w:p>
    <w:p w:rsidR="00333FAC" w:rsidRDefault="00333FAC" w:rsidP="00B7492B">
      <w:pPr>
        <w:pStyle w:val="Decision"/>
        <w:numPr>
          <w:ilvl w:val="0"/>
          <w:numId w:val="45"/>
        </w:numPr>
        <w:spacing w:before="120"/>
        <w:ind w:left="5485" w:firstLine="810"/>
        <w:rPr>
          <w:rtl/>
          <w:lang w:val="fr-CH" w:bidi="ar-SY"/>
        </w:rPr>
      </w:pPr>
      <w:r>
        <w:rPr>
          <w:rFonts w:hint="cs"/>
          <w:rtl/>
        </w:rPr>
        <w:t>الإحاطة علماً بمضمون هذه الوثيقة</w:t>
      </w:r>
      <w:r>
        <w:rPr>
          <w:rFonts w:hint="cs"/>
          <w:rtl/>
          <w:lang w:val="fr-CH" w:bidi="ar-SY"/>
        </w:rPr>
        <w:t>؛</w:t>
      </w:r>
    </w:p>
    <w:p w:rsidR="00333FAC" w:rsidRPr="000A62BF" w:rsidRDefault="00333FAC" w:rsidP="00B7492B">
      <w:pPr>
        <w:pStyle w:val="Decision"/>
        <w:numPr>
          <w:ilvl w:val="0"/>
          <w:numId w:val="45"/>
        </w:numPr>
        <w:spacing w:before="120"/>
        <w:ind w:left="5485" w:firstLine="810"/>
        <w:rPr>
          <w:rtl/>
          <w:lang w:val="fr-CH" w:bidi="ar-SY"/>
        </w:rPr>
      </w:pPr>
      <w:r>
        <w:rPr>
          <w:rFonts w:hint="cs"/>
          <w:rtl/>
          <w:lang w:val="fr-CH" w:bidi="ar-SY"/>
        </w:rPr>
        <w:t>والنظر في توصيات فرقة العمل الوارد شرحها في الفقرتين 7 و9 أعلاه؛</w:t>
      </w:r>
    </w:p>
    <w:p w:rsidR="00333FAC" w:rsidRDefault="00333FAC" w:rsidP="00B7492B">
      <w:pPr>
        <w:pStyle w:val="Decision"/>
        <w:numPr>
          <w:ilvl w:val="0"/>
          <w:numId w:val="0"/>
        </w:numPr>
        <w:spacing w:before="120"/>
        <w:ind w:left="5485" w:firstLine="810"/>
        <w:rPr>
          <w:rtl/>
          <w:lang w:val="fr-CH" w:bidi="ar-SY"/>
        </w:rPr>
      </w:pPr>
      <w:r>
        <w:rPr>
          <w:rFonts w:hint="cs"/>
          <w:rtl/>
        </w:rPr>
        <w:t>(ج)</w:t>
      </w:r>
      <w:r>
        <w:rPr>
          <w:rtl/>
        </w:rPr>
        <w:tab/>
      </w:r>
      <w:r>
        <w:rPr>
          <w:rFonts w:hint="cs"/>
          <w:rtl/>
        </w:rPr>
        <w:t xml:space="preserve">والنظر فيما إذا كان ينبغي إيقاف المهمة رقم 60، </w:t>
      </w:r>
      <w:r w:rsidR="00B7492B">
        <w:rPr>
          <w:rFonts w:hint="cs"/>
          <w:rtl/>
        </w:rPr>
        <w:t>فور</w:t>
      </w:r>
      <w:r>
        <w:rPr>
          <w:rFonts w:hint="cs"/>
          <w:rtl/>
        </w:rPr>
        <w:t xml:space="preserve"> </w:t>
      </w:r>
      <w:r w:rsidR="00B7492B">
        <w:rPr>
          <w:rFonts w:hint="cs"/>
          <w:rtl/>
        </w:rPr>
        <w:t xml:space="preserve">الموافقة على </w:t>
      </w:r>
      <w:r>
        <w:rPr>
          <w:rFonts w:hint="cs"/>
          <w:rtl/>
        </w:rPr>
        <w:t xml:space="preserve">التنقيح المقترح لمعيار الويبو </w:t>
      </w:r>
      <w:r>
        <w:t>ST.60</w:t>
      </w:r>
      <w:r>
        <w:rPr>
          <w:rFonts w:hint="cs"/>
          <w:rtl/>
        </w:rPr>
        <w:t xml:space="preserve"> الوارد في الوثيقة </w:t>
      </w:r>
      <w:r>
        <w:t>CWS/7/19</w:t>
      </w:r>
      <w:r>
        <w:rPr>
          <w:rFonts w:hint="cs"/>
          <w:rtl/>
          <w:lang w:val="fr-CH" w:bidi="ar-SY"/>
        </w:rPr>
        <w:t>؛</w:t>
      </w:r>
    </w:p>
    <w:p w:rsidR="00333FAC" w:rsidRPr="00333FAC" w:rsidRDefault="00333FAC" w:rsidP="00B7492B">
      <w:pPr>
        <w:pStyle w:val="Decision"/>
        <w:numPr>
          <w:ilvl w:val="0"/>
          <w:numId w:val="0"/>
        </w:numPr>
        <w:spacing w:before="120"/>
        <w:ind w:left="5485" w:firstLine="810"/>
        <w:rPr>
          <w:rtl/>
          <w:lang w:val="fr-CH" w:bidi="ar-SY"/>
        </w:rPr>
      </w:pPr>
      <w:r>
        <w:rPr>
          <w:rFonts w:hint="cs"/>
          <w:rtl/>
          <w:lang w:val="fr-CH" w:bidi="ar-SY"/>
        </w:rPr>
        <w:t>(د)</w:t>
      </w:r>
      <w:r>
        <w:rPr>
          <w:rtl/>
          <w:lang w:val="fr-CH" w:bidi="ar-SY"/>
        </w:rPr>
        <w:tab/>
      </w:r>
      <w:r>
        <w:rPr>
          <w:rFonts w:hint="cs"/>
          <w:rtl/>
          <w:lang w:val="fr-CH" w:bidi="ar-SY"/>
        </w:rPr>
        <w:t>وت</w:t>
      </w:r>
      <w:r w:rsidRPr="00333FAC">
        <w:rPr>
          <w:rtl/>
          <w:lang w:val="fr-CH" w:bidi="ar-SY"/>
        </w:rPr>
        <w:t>قد</w:t>
      </w:r>
      <w:r w:rsidR="00BF6F00">
        <w:rPr>
          <w:rFonts w:hint="cs"/>
          <w:rtl/>
          <w:lang w:val="fr-CH" w:bidi="ar-SY"/>
        </w:rPr>
        <w:t>ي</w:t>
      </w:r>
      <w:r w:rsidRPr="00333FAC">
        <w:rPr>
          <w:rtl/>
          <w:lang w:val="fr-CH" w:bidi="ar-SY"/>
        </w:rPr>
        <w:t xml:space="preserve">م مدخلات </w:t>
      </w:r>
      <w:r w:rsidR="00BF6F00">
        <w:rPr>
          <w:rFonts w:hint="cs"/>
          <w:rtl/>
          <w:lang w:val="fr-CH" w:bidi="ar-SY"/>
        </w:rPr>
        <w:t>حول</w:t>
      </w:r>
      <w:r w:rsidRPr="00333FAC">
        <w:rPr>
          <w:rtl/>
          <w:lang w:val="fr-CH" w:bidi="ar-SY"/>
        </w:rPr>
        <w:t xml:space="preserve"> ما إذا كان ينبغي </w:t>
      </w:r>
      <w:r>
        <w:rPr>
          <w:rFonts w:hint="cs"/>
          <w:rtl/>
          <w:lang w:val="fr-CH" w:bidi="ar-SY"/>
        </w:rPr>
        <w:t>لفرقة</w:t>
      </w:r>
      <w:r w:rsidRPr="00333FAC">
        <w:rPr>
          <w:rtl/>
          <w:lang w:val="fr-CH" w:bidi="ar-SY"/>
        </w:rPr>
        <w:t xml:space="preserve"> العمل أن </w:t>
      </w:r>
      <w:r>
        <w:rPr>
          <w:rFonts w:hint="cs"/>
          <w:rtl/>
          <w:lang w:val="fr-CH" w:bidi="ar-SY"/>
        </w:rPr>
        <w:t>تستأنف</w:t>
      </w:r>
      <w:r w:rsidRPr="00333FAC">
        <w:rPr>
          <w:rtl/>
          <w:lang w:val="fr-CH" w:bidi="ar-SY"/>
        </w:rPr>
        <w:t xml:space="preserve"> عمل</w:t>
      </w:r>
      <w:r w:rsidR="00B7492B">
        <w:rPr>
          <w:rFonts w:hint="cs"/>
          <w:rtl/>
          <w:lang w:val="fr-CH" w:bidi="ar-SY"/>
        </w:rPr>
        <w:t>ها</w:t>
      </w:r>
      <w:r w:rsidRPr="00333FAC">
        <w:rPr>
          <w:rtl/>
          <w:lang w:val="fr-CH" w:bidi="ar-SY"/>
        </w:rPr>
        <w:t xml:space="preserve"> </w:t>
      </w:r>
      <w:r>
        <w:rPr>
          <w:rFonts w:hint="cs"/>
          <w:rtl/>
          <w:lang w:val="fr-CH" w:bidi="ar-SY"/>
        </w:rPr>
        <w:t>بشأن</w:t>
      </w:r>
      <w:r>
        <w:rPr>
          <w:rtl/>
          <w:lang w:val="fr-CH" w:bidi="ar-SY"/>
        </w:rPr>
        <w:t xml:space="preserve"> المهمة رقم 49 في الوقت الحالي</w:t>
      </w:r>
      <w:r w:rsidRPr="00333FAC">
        <w:rPr>
          <w:rtl/>
          <w:lang w:val="fr-CH" w:bidi="ar-SY"/>
        </w:rPr>
        <w:t>، كما هو موضح في الفقرة 10 أعلاه.</w:t>
      </w:r>
    </w:p>
    <w:p w:rsidR="00333FAC" w:rsidRPr="00C41AE0" w:rsidRDefault="00333FAC" w:rsidP="00B7492B">
      <w:pPr>
        <w:pStyle w:val="Endofdocument-Annex"/>
        <w:spacing w:before="120"/>
        <w:rPr>
          <w:rtl/>
        </w:rPr>
      </w:pPr>
      <w:r>
        <w:rPr>
          <w:rtl/>
        </w:rPr>
        <w:t>[</w:t>
      </w:r>
      <w:r>
        <w:rPr>
          <w:rFonts w:hint="cs"/>
          <w:rtl/>
        </w:rPr>
        <w:t>نهاية الوثيقة</w:t>
      </w:r>
      <w:r>
        <w:rPr>
          <w:rtl/>
        </w:rPr>
        <w:t>]</w:t>
      </w:r>
    </w:p>
    <w:sectPr w:rsidR="00333FAC"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094" w:rsidRDefault="00A93094">
      <w:r>
        <w:separator/>
      </w:r>
    </w:p>
  </w:endnote>
  <w:endnote w:type="continuationSeparator" w:id="0">
    <w:p w:rsidR="00A93094" w:rsidRDefault="00A9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094" w:rsidRDefault="00A93094" w:rsidP="009622BF">
      <w:bookmarkStart w:id="0" w:name="OLE_LINK1"/>
      <w:bookmarkStart w:id="1" w:name="OLE_LINK2"/>
      <w:r>
        <w:separator/>
      </w:r>
      <w:bookmarkEnd w:id="0"/>
      <w:bookmarkEnd w:id="1"/>
    </w:p>
  </w:footnote>
  <w:footnote w:type="continuationSeparator" w:id="0">
    <w:p w:rsidR="00A93094" w:rsidRDefault="00A9309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9" w:rsidRDefault="006778C9" w:rsidP="0023693F">
    <w:pPr>
      <w:bidi w:val="0"/>
      <w:rPr>
        <w:rFonts w:ascii="Arial" w:hAnsi="Arial" w:cs="Arial"/>
        <w:sz w:val="22"/>
        <w:szCs w:val="22"/>
        <w:rtl/>
      </w:rPr>
    </w:pPr>
    <w:bookmarkStart w:id="14" w:name="Code3"/>
    <w:bookmarkEnd w:id="14"/>
    <w:r>
      <w:rPr>
        <w:rFonts w:ascii="Arial" w:hAnsi="Arial" w:cs="Arial"/>
        <w:sz w:val="22"/>
        <w:szCs w:val="22"/>
      </w:rPr>
      <w:t>CWS/7/18</w:t>
    </w:r>
    <w:r w:rsidR="00DD226A">
      <w:rPr>
        <w:rFonts w:ascii="Arial" w:hAnsi="Arial" w:cs="Arial"/>
        <w:sz w:val="22"/>
        <w:szCs w:val="22"/>
      </w:rPr>
      <w:t xml:space="preserve"> CORR.</w:t>
    </w:r>
  </w:p>
  <w:p w:rsidR="004C495B" w:rsidRPr="00C50A61" w:rsidRDefault="004C495B" w:rsidP="006778C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B6794">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707D6E"/>
    <w:multiLevelType w:val="hybridMultilevel"/>
    <w:tmpl w:val="F4D06EE8"/>
    <w:lvl w:ilvl="0" w:tplc="251AC28C">
      <w:start w:val="1"/>
      <w:numFmt w:val="arabicAlpha"/>
      <w:lvlText w:val="(%1)"/>
      <w:lvlJc w:val="left"/>
      <w:pPr>
        <w:ind w:left="6807" w:hanging="57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E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2468"/>
    <w:rsid w:val="000D5FB7"/>
    <w:rsid w:val="000D74C9"/>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14FD"/>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3FAC"/>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6BF6"/>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14E"/>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9E8"/>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778C9"/>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9A7"/>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6633"/>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0E6"/>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794"/>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09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B81"/>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92B"/>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CEA"/>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6F00"/>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2F8"/>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0CBE"/>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B64"/>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26A"/>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C7D"/>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C157360-CDD1-4A08-A82B-B5F25A24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6B381-3D77-4D0E-887B-3977AB4E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CWS/7/18 CORR. (in Arabic)</vt:lpstr>
    </vt:vector>
  </TitlesOfParts>
  <Company>World Intellectual Property Organization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CWS/7/18 CORR. (in Arabic)</dc:title>
  <dc:subject>تقرير عن المهمة رقم 60</dc:subject>
  <dc:creator>WIPO</dc:creator>
  <cp:keywords>CWS, WIPO</cp:keywords>
  <cp:lastModifiedBy>DRAKE Sophie</cp:lastModifiedBy>
  <cp:revision>13</cp:revision>
  <cp:lastPrinted>2019-06-07T11:39:00Z</cp:lastPrinted>
  <dcterms:created xsi:type="dcterms:W3CDTF">2019-05-24T06:06:00Z</dcterms:created>
  <dcterms:modified xsi:type="dcterms:W3CDTF">2019-06-13T10:00:00Z</dcterms:modified>
</cp:coreProperties>
</file>