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E64E8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29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E64E83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E64E83">
        <w:rPr>
          <w:b/>
          <w:bCs/>
          <w:sz w:val="30"/>
          <w:szCs w:val="30"/>
          <w:rtl/>
        </w:rPr>
        <w:t>9 أغسطس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15 إلى 19 أكتوبر 2018</w:t>
      </w:r>
    </w:p>
    <w:p w:rsidR="002E7810" w:rsidRPr="002E7810" w:rsidRDefault="00E64E83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3" w:name="_GoBack"/>
      <w:r>
        <w:rPr>
          <w:rFonts w:ascii="Arial Black" w:hAnsi="Arial Black" w:cs="PT Bold Heading" w:hint="eastAsia"/>
          <w:sz w:val="26"/>
          <w:szCs w:val="26"/>
          <w:rtl/>
        </w:rPr>
        <w:t>استبيان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بشأن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التصاوير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الإلكترونية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للتصاميم</w:t>
      </w:r>
    </w:p>
    <w:bookmarkEnd w:id="3"/>
    <w:p w:rsidR="003F7284" w:rsidRPr="00BB6440" w:rsidRDefault="00E64E83" w:rsidP="00874721">
      <w:pPr>
        <w:spacing w:before="200" w:after="960"/>
        <w:rPr>
          <w:i/>
          <w:iCs/>
          <w:rtl/>
        </w:rPr>
      </w:pPr>
      <w:r>
        <w:rPr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فرقة</w:t>
      </w:r>
      <w:r>
        <w:rPr>
          <w:i/>
          <w:iCs/>
          <w:rtl/>
        </w:rPr>
        <w:t xml:space="preserve"> العمل المعنية بتصاوير التصاميم</w:t>
      </w:r>
    </w:p>
    <w:p w:rsidR="00E3612C" w:rsidRDefault="00555797" w:rsidP="008B5AC8">
      <w:pPr>
        <w:pStyle w:val="BodyText"/>
        <w:numPr>
          <w:ilvl w:val="0"/>
          <w:numId w:val="45"/>
        </w:numPr>
        <w:ind w:left="-5" w:firstLine="0"/>
      </w:pPr>
      <w:r w:rsidRPr="00555797">
        <w:rPr>
          <w:rtl/>
        </w:rPr>
        <w:t>أنشأت اللجنة المعنية بمعايير الويبو (</w:t>
      </w:r>
      <w:r>
        <w:rPr>
          <w:rFonts w:hint="cs"/>
          <w:rtl/>
        </w:rPr>
        <w:t>لجنة المعايير</w:t>
      </w:r>
      <w:r>
        <w:rPr>
          <w:rtl/>
        </w:rPr>
        <w:t>) في دورتها الخامسة ال</w:t>
      </w:r>
      <w:r>
        <w:rPr>
          <w:rFonts w:hint="cs"/>
          <w:rtl/>
        </w:rPr>
        <w:t xml:space="preserve">تي عُقدت </w:t>
      </w:r>
      <w:r w:rsidRPr="00555797">
        <w:rPr>
          <w:rtl/>
        </w:rPr>
        <w:t>في الفترة من 29 مايو إلى 2 يونيو 2017 المهمة الجديدة رقم 57 "</w:t>
      </w:r>
      <w:r w:rsidR="008B5AC8">
        <w:rPr>
          <w:rFonts w:hint="cs"/>
          <w:rtl/>
        </w:rPr>
        <w:t>ل</w:t>
      </w:r>
      <w:r w:rsidR="008B5AC8" w:rsidRPr="008B5AC8">
        <w:rPr>
          <w:rtl/>
        </w:rPr>
        <w:t>جمع معلومات حول متطلبات مكاتب الملكية الصناعية والزبائن؛ وإعداد توصيات بشأن التصاوير المرئية الإلكترونية للتصاميم</w:t>
      </w:r>
      <w:r w:rsidRPr="00555797">
        <w:rPr>
          <w:rtl/>
        </w:rPr>
        <w:t xml:space="preserve">". </w:t>
      </w:r>
      <w:r w:rsidR="008B5AC8">
        <w:rPr>
          <w:rFonts w:hint="cs"/>
          <w:rtl/>
        </w:rPr>
        <w:t>و</w:t>
      </w:r>
      <w:r w:rsidRPr="00555797">
        <w:rPr>
          <w:rtl/>
        </w:rPr>
        <w:t>أنشأ</w:t>
      </w:r>
      <w:r w:rsidR="008B5AC8">
        <w:rPr>
          <w:rFonts w:hint="cs"/>
          <w:rtl/>
        </w:rPr>
        <w:t>ت</w:t>
      </w:r>
      <w:r w:rsidRPr="00555797">
        <w:rPr>
          <w:rtl/>
        </w:rPr>
        <w:t xml:space="preserve"> </w:t>
      </w:r>
      <w:r w:rsidR="008B5AC8">
        <w:rPr>
          <w:rFonts w:hint="cs"/>
          <w:rtl/>
        </w:rPr>
        <w:t xml:space="preserve">أيضا </w:t>
      </w:r>
      <w:r w:rsidRPr="00555797">
        <w:rPr>
          <w:rtl/>
        </w:rPr>
        <w:t>فرق</w:t>
      </w:r>
      <w:r w:rsidR="008B5AC8">
        <w:rPr>
          <w:rFonts w:hint="cs"/>
          <w:rtl/>
        </w:rPr>
        <w:t xml:space="preserve">ةَ العمل المعنية بتصاوير التصاميم </w:t>
      </w:r>
      <w:r w:rsidRPr="00555797">
        <w:rPr>
          <w:rtl/>
        </w:rPr>
        <w:t xml:space="preserve">لتنفيذ </w:t>
      </w:r>
      <w:r w:rsidR="008B5AC8">
        <w:rPr>
          <w:rFonts w:hint="cs"/>
          <w:rtl/>
        </w:rPr>
        <w:t xml:space="preserve">هذه </w:t>
      </w:r>
      <w:r w:rsidRPr="00555797">
        <w:rPr>
          <w:rtl/>
        </w:rPr>
        <w:t>المهمة.</w:t>
      </w:r>
    </w:p>
    <w:p w:rsidR="001244CE" w:rsidRDefault="001244CE" w:rsidP="00BB5FB7">
      <w:pPr>
        <w:pStyle w:val="BodyText"/>
        <w:numPr>
          <w:ilvl w:val="0"/>
          <w:numId w:val="45"/>
        </w:numPr>
        <w:ind w:left="-5" w:firstLine="0"/>
      </w:pPr>
      <w:r w:rsidRPr="001244CE">
        <w:rPr>
          <w:rtl/>
        </w:rPr>
        <w:t>ومن أجل جمع المعلومات من مكاتب الملكية الصناعية، أعد</w:t>
      </w:r>
      <w:r w:rsidR="000F455E">
        <w:rPr>
          <w:rFonts w:hint="cs"/>
          <w:rtl/>
        </w:rPr>
        <w:t>َّ</w:t>
      </w:r>
      <w:r w:rsidRPr="001244CE">
        <w:rPr>
          <w:rtl/>
        </w:rPr>
        <w:t>ت فرقة العمل مشروع استبيان</w:t>
      </w:r>
      <w:r w:rsidR="000F455E">
        <w:rPr>
          <w:rFonts w:hint="cs"/>
          <w:rtl/>
        </w:rPr>
        <w:t>،</w:t>
      </w:r>
      <w:r w:rsidRPr="001244CE">
        <w:rPr>
          <w:rtl/>
        </w:rPr>
        <w:t xml:space="preserve"> يرد في مرفق هذه الوثيقة. </w:t>
      </w:r>
      <w:r w:rsidR="000F455E">
        <w:rPr>
          <w:rFonts w:hint="cs"/>
          <w:rtl/>
        </w:rPr>
        <w:t xml:space="preserve">وعند إعداد هذا الاستبيان، </w:t>
      </w:r>
      <w:r w:rsidRPr="001244CE">
        <w:rPr>
          <w:rtl/>
        </w:rPr>
        <w:t xml:space="preserve">لاحظت فرقة العمل أن المتطلبات </w:t>
      </w:r>
      <w:r w:rsidRPr="001244CE">
        <w:rPr>
          <w:rtl/>
        </w:rPr>
        <w:lastRenderedPageBreak/>
        <w:t>الحالية المتعلقة بالت</w:t>
      </w:r>
      <w:r w:rsidR="000F455E">
        <w:rPr>
          <w:rFonts w:hint="cs"/>
          <w:rtl/>
        </w:rPr>
        <w:t>صاوير ا</w:t>
      </w:r>
      <w:r w:rsidR="000F455E">
        <w:rPr>
          <w:rtl/>
        </w:rPr>
        <w:t>لإلكترونية للتصاميم</w:t>
      </w:r>
      <w:r w:rsidR="000F455E">
        <w:rPr>
          <w:rFonts w:hint="cs"/>
          <w:rtl/>
        </w:rPr>
        <w:t xml:space="preserve"> مختلفة اختلافا كبيرا</w:t>
      </w:r>
      <w:r w:rsidRPr="001244CE">
        <w:rPr>
          <w:rtl/>
        </w:rPr>
        <w:t xml:space="preserve">. </w:t>
      </w:r>
      <w:r w:rsidR="000F455E">
        <w:rPr>
          <w:rFonts w:hint="cs"/>
          <w:rtl/>
        </w:rPr>
        <w:t>ف</w:t>
      </w:r>
      <w:r w:rsidRPr="001244CE">
        <w:rPr>
          <w:rtl/>
        </w:rPr>
        <w:t xml:space="preserve">على سبيل المثال، </w:t>
      </w:r>
      <w:r w:rsidR="00BB5FB7">
        <w:rPr>
          <w:rFonts w:hint="cs"/>
          <w:rtl/>
        </w:rPr>
        <w:t>ي</w:t>
      </w:r>
      <w:r w:rsidRPr="001244CE">
        <w:rPr>
          <w:rtl/>
        </w:rPr>
        <w:t xml:space="preserve">قبل بعض </w:t>
      </w:r>
      <w:r w:rsidR="000F455E" w:rsidRPr="001244CE">
        <w:rPr>
          <w:rtl/>
        </w:rPr>
        <w:t xml:space="preserve">مكاتب الملكية الصناعية </w:t>
      </w:r>
      <w:r w:rsidRPr="001244CE">
        <w:rPr>
          <w:rtl/>
        </w:rPr>
        <w:t>ملفات صور ثنائية الأبعاد فقط</w:t>
      </w:r>
      <w:r w:rsidR="00E477BC">
        <w:rPr>
          <w:rFonts w:hint="cs"/>
          <w:rtl/>
        </w:rPr>
        <w:t>،</w:t>
      </w:r>
      <w:r w:rsidRPr="001244CE">
        <w:rPr>
          <w:rtl/>
        </w:rPr>
        <w:t xml:space="preserve"> </w:t>
      </w:r>
      <w:r w:rsidR="00BB5FB7">
        <w:rPr>
          <w:rFonts w:hint="cs"/>
          <w:rtl/>
        </w:rPr>
        <w:t xml:space="preserve">في حين أن هناك </w:t>
      </w:r>
      <w:r w:rsidR="00E477BC">
        <w:rPr>
          <w:rFonts w:hint="cs"/>
          <w:rtl/>
        </w:rPr>
        <w:t>مكاتب أخرى</w:t>
      </w:r>
      <w:r w:rsidRPr="001244CE">
        <w:rPr>
          <w:rtl/>
        </w:rPr>
        <w:t xml:space="preserve"> </w:t>
      </w:r>
      <w:r w:rsidR="00BB5FB7">
        <w:rPr>
          <w:rFonts w:hint="cs"/>
          <w:rtl/>
        </w:rPr>
        <w:t>ت</w:t>
      </w:r>
      <w:r w:rsidR="00BB5FB7" w:rsidRPr="001244CE">
        <w:rPr>
          <w:rtl/>
        </w:rPr>
        <w:t xml:space="preserve">قبل </w:t>
      </w:r>
      <w:r w:rsidRPr="001244CE">
        <w:rPr>
          <w:rtl/>
        </w:rPr>
        <w:t xml:space="preserve">نماذج ثلاثية الأبعاد أو حتى ملفات فيديو. </w:t>
      </w:r>
      <w:r w:rsidR="00E477BC">
        <w:rPr>
          <w:rFonts w:hint="cs"/>
          <w:rtl/>
        </w:rPr>
        <w:t>و</w:t>
      </w:r>
      <w:r w:rsidRPr="001244CE">
        <w:rPr>
          <w:rtl/>
        </w:rPr>
        <w:t xml:space="preserve">لذلك، من أجل إعداد التوصيات </w:t>
      </w:r>
      <w:r w:rsidR="00E477BC">
        <w:rPr>
          <w:rFonts w:hint="cs"/>
          <w:rtl/>
        </w:rPr>
        <w:t xml:space="preserve">الخاصة بالتصاوير المرئية </w:t>
      </w:r>
      <w:r w:rsidRPr="001244CE">
        <w:rPr>
          <w:rtl/>
        </w:rPr>
        <w:t>الإلكترونية للتصاميم، ت</w:t>
      </w:r>
      <w:r w:rsidR="00E477BC">
        <w:rPr>
          <w:rFonts w:hint="cs"/>
          <w:rtl/>
        </w:rPr>
        <w:t xml:space="preserve">لتمس </w:t>
      </w:r>
      <w:r w:rsidRPr="001244CE">
        <w:rPr>
          <w:rtl/>
        </w:rPr>
        <w:t>فرقة العمل من لجنة</w:t>
      </w:r>
      <w:r w:rsidR="00E477BC">
        <w:rPr>
          <w:rFonts w:hint="cs"/>
          <w:rtl/>
        </w:rPr>
        <w:t xml:space="preserve"> المعايير</w:t>
      </w:r>
      <w:r w:rsidRPr="001244CE">
        <w:rPr>
          <w:rtl/>
        </w:rPr>
        <w:t xml:space="preserve"> أن تشجع مكاتب الملكية ال</w:t>
      </w:r>
      <w:r w:rsidR="00E477BC">
        <w:rPr>
          <w:rFonts w:hint="cs"/>
          <w:rtl/>
        </w:rPr>
        <w:t xml:space="preserve">صناعية </w:t>
      </w:r>
      <w:r w:rsidRPr="001244CE">
        <w:rPr>
          <w:rtl/>
        </w:rPr>
        <w:t xml:space="preserve">على المشاركة بنشاط في </w:t>
      </w:r>
      <w:r w:rsidR="00E477BC">
        <w:rPr>
          <w:rFonts w:hint="cs"/>
          <w:rtl/>
        </w:rPr>
        <w:t>الاستقصاء</w:t>
      </w:r>
      <w:r w:rsidRPr="001244CE">
        <w:rPr>
          <w:rtl/>
        </w:rPr>
        <w:t>.</w:t>
      </w:r>
    </w:p>
    <w:p w:rsidR="00E477BC" w:rsidRDefault="009C3518" w:rsidP="007A6E4A">
      <w:pPr>
        <w:pStyle w:val="BodyText"/>
        <w:numPr>
          <w:ilvl w:val="0"/>
          <w:numId w:val="45"/>
        </w:numPr>
        <w:ind w:left="-5" w:firstLine="0"/>
      </w:pPr>
      <w:r w:rsidRPr="009C3518">
        <w:rPr>
          <w:rtl/>
        </w:rPr>
        <w:t>وت</w:t>
      </w:r>
      <w:r w:rsidR="003A265F">
        <w:rPr>
          <w:rFonts w:hint="cs"/>
          <w:rtl/>
        </w:rPr>
        <w:t xml:space="preserve">خطط </w:t>
      </w:r>
      <w:r w:rsidRPr="009C3518">
        <w:rPr>
          <w:rtl/>
        </w:rPr>
        <w:t xml:space="preserve">فرقة العمل </w:t>
      </w:r>
      <w:r w:rsidR="003A265F">
        <w:rPr>
          <w:rFonts w:hint="cs"/>
          <w:rtl/>
        </w:rPr>
        <w:t>ل</w:t>
      </w:r>
      <w:r w:rsidRPr="009C3518">
        <w:rPr>
          <w:rtl/>
        </w:rPr>
        <w:t xml:space="preserve">إجراء </w:t>
      </w:r>
      <w:r>
        <w:rPr>
          <w:rFonts w:hint="cs"/>
          <w:rtl/>
        </w:rPr>
        <w:t xml:space="preserve">استقصاء </w:t>
      </w:r>
      <w:r w:rsidRPr="009C3518">
        <w:rPr>
          <w:rtl/>
        </w:rPr>
        <w:t>في ديسمبر 2018 و</w:t>
      </w:r>
      <w:r w:rsidR="003A265F">
        <w:rPr>
          <w:rFonts w:hint="cs"/>
          <w:rtl/>
        </w:rPr>
        <w:t xml:space="preserve">لعرض </w:t>
      </w:r>
      <w:r w:rsidRPr="009C3518">
        <w:rPr>
          <w:rtl/>
        </w:rPr>
        <w:t xml:space="preserve">نتائج </w:t>
      </w:r>
      <w:r w:rsidR="003A265F">
        <w:rPr>
          <w:rFonts w:hint="cs"/>
          <w:rtl/>
        </w:rPr>
        <w:t xml:space="preserve">هذا الاستقصاء </w:t>
      </w:r>
      <w:r w:rsidRPr="009C3518">
        <w:rPr>
          <w:rtl/>
        </w:rPr>
        <w:t xml:space="preserve">في الدورة السابعة للجنة </w:t>
      </w:r>
      <w:r w:rsidR="003A265F">
        <w:rPr>
          <w:rFonts w:hint="cs"/>
          <w:rtl/>
        </w:rPr>
        <w:t>المعايير</w:t>
      </w:r>
      <w:r w:rsidRPr="009C3518">
        <w:rPr>
          <w:rtl/>
        </w:rPr>
        <w:t xml:space="preserve"> إذا تمت الموافقة </w:t>
      </w:r>
      <w:r w:rsidR="003A265F" w:rsidRPr="009C3518">
        <w:rPr>
          <w:rtl/>
        </w:rPr>
        <w:t xml:space="preserve">في هذه الدورة </w:t>
      </w:r>
      <w:r w:rsidRPr="009C3518">
        <w:rPr>
          <w:rtl/>
        </w:rPr>
        <w:t>على الاستبيان المقترح (انظر الفقرة 8 من الوث</w:t>
      </w:r>
      <w:r w:rsidR="003A265F">
        <w:rPr>
          <w:rFonts w:hint="cs"/>
          <w:rtl/>
        </w:rPr>
        <w:t>ي</w:t>
      </w:r>
      <w:r w:rsidRPr="009C3518">
        <w:rPr>
          <w:rtl/>
        </w:rPr>
        <w:t>ق</w:t>
      </w:r>
      <w:r w:rsidR="003A265F">
        <w:rPr>
          <w:rFonts w:hint="cs"/>
          <w:rtl/>
        </w:rPr>
        <w:t>ة</w:t>
      </w:r>
      <w:r w:rsidRPr="009C3518">
        <w:rPr>
          <w:rtl/>
        </w:rPr>
        <w:t xml:space="preserve"> </w:t>
      </w:r>
      <w:r w:rsidRPr="009C3518">
        <w:t>CWS/6/28</w:t>
      </w:r>
      <w:r w:rsidRPr="009C3518">
        <w:rPr>
          <w:rtl/>
        </w:rPr>
        <w:t xml:space="preserve">). </w:t>
      </w:r>
      <w:r w:rsidR="003A265F">
        <w:rPr>
          <w:rFonts w:hint="cs"/>
          <w:rtl/>
        </w:rPr>
        <w:t>و</w:t>
      </w:r>
      <w:r w:rsidRPr="009C3518">
        <w:rPr>
          <w:rtl/>
        </w:rPr>
        <w:t>ينبغي أن ي</w:t>
      </w:r>
      <w:r w:rsidR="003A265F">
        <w:rPr>
          <w:rFonts w:hint="cs"/>
          <w:rtl/>
        </w:rPr>
        <w:t>ُ</w:t>
      </w:r>
      <w:r w:rsidRPr="009C3518">
        <w:rPr>
          <w:rtl/>
        </w:rPr>
        <w:t xml:space="preserve">طلب من المكتب الدولي إعداد وإصدار </w:t>
      </w:r>
      <w:r w:rsidR="007A6E4A" w:rsidRPr="007A6E4A">
        <w:rPr>
          <w:rtl/>
        </w:rPr>
        <w:t>تعميم يدعو فيه مكاتب الملكية الصناعية إلى استكمال الاستبيان</w:t>
      </w:r>
      <w:r w:rsidRPr="009C3518">
        <w:rPr>
          <w:rtl/>
        </w:rPr>
        <w:t>.</w:t>
      </w:r>
    </w:p>
    <w:p w:rsidR="007A6E4A" w:rsidRPr="00D249C8" w:rsidRDefault="008956E2" w:rsidP="00D249C8">
      <w:pPr>
        <w:pStyle w:val="BodyText"/>
        <w:keepNext/>
        <w:numPr>
          <w:ilvl w:val="0"/>
          <w:numId w:val="45"/>
        </w:numPr>
        <w:ind w:left="5486" w:firstLine="0"/>
        <w:rPr>
          <w:i/>
          <w:iCs/>
        </w:rPr>
      </w:pPr>
      <w:r w:rsidRPr="00D249C8">
        <w:rPr>
          <w:i/>
          <w:iCs/>
          <w:rtl/>
        </w:rPr>
        <w:t>إن لجنة المعايير مدعوة إلى:</w:t>
      </w:r>
    </w:p>
    <w:p w:rsidR="008956E2" w:rsidRPr="00D249C8" w:rsidRDefault="008956E2" w:rsidP="00D249C8">
      <w:pPr>
        <w:pStyle w:val="BodyText"/>
        <w:numPr>
          <w:ilvl w:val="0"/>
          <w:numId w:val="46"/>
        </w:numPr>
        <w:ind w:left="5485"/>
        <w:rPr>
          <w:i/>
          <w:iCs/>
        </w:rPr>
      </w:pPr>
      <w:r w:rsidRPr="00D249C8">
        <w:rPr>
          <w:rFonts w:hint="cs"/>
          <w:i/>
          <w:iCs/>
          <w:rtl/>
        </w:rPr>
        <w:t xml:space="preserve">الإحاطة علما بمضمون </w:t>
      </w:r>
      <w:r w:rsidRPr="00D249C8">
        <w:rPr>
          <w:i/>
          <w:iCs/>
          <w:rtl/>
        </w:rPr>
        <w:t>هذه الوثيقة وم</w:t>
      </w:r>
      <w:r w:rsidRPr="00D249C8">
        <w:rPr>
          <w:rFonts w:hint="cs"/>
          <w:i/>
          <w:iCs/>
          <w:rtl/>
        </w:rPr>
        <w:t>رفقها</w:t>
      </w:r>
      <w:r w:rsidRPr="00D249C8">
        <w:rPr>
          <w:i/>
          <w:iCs/>
          <w:rtl/>
        </w:rPr>
        <w:t>؛</w:t>
      </w:r>
    </w:p>
    <w:p w:rsidR="008956E2" w:rsidRPr="00D249C8" w:rsidRDefault="008956E2" w:rsidP="00D249C8">
      <w:pPr>
        <w:pStyle w:val="BodyText"/>
        <w:numPr>
          <w:ilvl w:val="0"/>
          <w:numId w:val="46"/>
        </w:numPr>
        <w:ind w:left="5485"/>
        <w:rPr>
          <w:i/>
          <w:iCs/>
        </w:rPr>
      </w:pPr>
      <w:r w:rsidRPr="00D249C8">
        <w:rPr>
          <w:rFonts w:hint="cs"/>
          <w:i/>
          <w:iCs/>
          <w:rtl/>
        </w:rPr>
        <w:t xml:space="preserve">والنظر في </w:t>
      </w:r>
      <w:r w:rsidRPr="00D249C8">
        <w:rPr>
          <w:i/>
          <w:iCs/>
          <w:rtl/>
        </w:rPr>
        <w:t>الاستبيان المقترح بشأن الت</w:t>
      </w:r>
      <w:r w:rsidRPr="00D249C8">
        <w:rPr>
          <w:rFonts w:hint="cs"/>
          <w:i/>
          <w:iCs/>
          <w:rtl/>
        </w:rPr>
        <w:t xml:space="preserve">صوير </w:t>
      </w:r>
      <w:r w:rsidR="00B97EBF" w:rsidRPr="00D249C8">
        <w:rPr>
          <w:rFonts w:hint="cs"/>
          <w:i/>
          <w:iCs/>
          <w:rtl/>
        </w:rPr>
        <w:t xml:space="preserve">المرئي </w:t>
      </w:r>
      <w:r w:rsidRPr="00D249C8">
        <w:rPr>
          <w:i/>
          <w:iCs/>
          <w:rtl/>
        </w:rPr>
        <w:t xml:space="preserve">الإلكتروني </w:t>
      </w:r>
      <w:r w:rsidR="00B97EBF" w:rsidRPr="00D249C8">
        <w:rPr>
          <w:rFonts w:hint="cs"/>
          <w:i/>
          <w:iCs/>
          <w:rtl/>
        </w:rPr>
        <w:t>ل</w:t>
      </w:r>
      <w:r w:rsidRPr="00D249C8">
        <w:rPr>
          <w:i/>
          <w:iCs/>
          <w:rtl/>
        </w:rPr>
        <w:t>لتصاميم الصناعية، على النحو الوارد في مرفق هذه الوثيقة</w:t>
      </w:r>
      <w:r w:rsidR="00B97EBF" w:rsidRPr="00D249C8">
        <w:rPr>
          <w:rFonts w:hint="cs"/>
          <w:i/>
          <w:iCs/>
          <w:rtl/>
        </w:rPr>
        <w:t xml:space="preserve">، </w:t>
      </w:r>
      <w:r w:rsidR="00B97EBF" w:rsidRPr="00D249C8">
        <w:rPr>
          <w:i/>
          <w:iCs/>
          <w:rtl/>
        </w:rPr>
        <w:lastRenderedPageBreak/>
        <w:t>والبت</w:t>
      </w:r>
      <w:r w:rsidR="00B97EBF" w:rsidRPr="00D249C8">
        <w:rPr>
          <w:rFonts w:hint="cs"/>
          <w:i/>
          <w:iCs/>
          <w:rtl/>
        </w:rPr>
        <w:t>ّ</w:t>
      </w:r>
      <w:r w:rsidR="00B97EBF" w:rsidRPr="00D249C8">
        <w:rPr>
          <w:i/>
          <w:iCs/>
          <w:rtl/>
        </w:rPr>
        <w:t xml:space="preserve"> في</w:t>
      </w:r>
      <w:r w:rsidR="00D249C8" w:rsidRPr="00D249C8">
        <w:rPr>
          <w:rFonts w:hint="cs"/>
          <w:i/>
          <w:iCs/>
          <w:rtl/>
        </w:rPr>
        <w:t xml:space="preserve"> هذا الاستبيان</w:t>
      </w:r>
      <w:r w:rsidR="00B97EBF" w:rsidRPr="00D249C8">
        <w:rPr>
          <w:rFonts w:hint="cs"/>
          <w:i/>
          <w:iCs/>
          <w:rtl/>
        </w:rPr>
        <w:t>؛</w:t>
      </w:r>
    </w:p>
    <w:p w:rsidR="00B97EBF" w:rsidRPr="00D249C8" w:rsidRDefault="00B97EBF" w:rsidP="00D249C8">
      <w:pPr>
        <w:pStyle w:val="BodyText"/>
        <w:numPr>
          <w:ilvl w:val="0"/>
          <w:numId w:val="46"/>
        </w:numPr>
        <w:ind w:left="5485"/>
        <w:rPr>
          <w:i/>
          <w:iCs/>
        </w:rPr>
      </w:pPr>
      <w:r w:rsidRPr="00D249C8">
        <w:rPr>
          <w:i/>
          <w:iCs/>
          <w:rtl/>
        </w:rPr>
        <w:t xml:space="preserve">والنظر في الإجراءات المقترحة التي ستتخذها فرقة </w:t>
      </w:r>
      <w:r w:rsidRPr="00D249C8">
        <w:rPr>
          <w:rFonts w:hint="cs"/>
          <w:i/>
          <w:iCs/>
          <w:rtl/>
        </w:rPr>
        <w:t>ال</w:t>
      </w:r>
      <w:r w:rsidRPr="00D249C8">
        <w:rPr>
          <w:i/>
          <w:iCs/>
          <w:rtl/>
        </w:rPr>
        <w:t>عمل</w:t>
      </w:r>
      <w:r w:rsidRPr="00D249C8">
        <w:rPr>
          <w:rFonts w:hint="cs"/>
          <w:i/>
          <w:iCs/>
          <w:rtl/>
        </w:rPr>
        <w:t xml:space="preserve"> المعنية بتصاوير التصاميم </w:t>
      </w:r>
      <w:r w:rsidRPr="00D249C8">
        <w:rPr>
          <w:i/>
          <w:iCs/>
          <w:rtl/>
        </w:rPr>
        <w:t>والمكتب الدولي</w:t>
      </w:r>
      <w:r w:rsidRPr="00D249C8">
        <w:rPr>
          <w:rFonts w:hint="cs"/>
          <w:i/>
          <w:iCs/>
          <w:rtl/>
        </w:rPr>
        <w:t>،</w:t>
      </w:r>
      <w:r w:rsidRPr="00D249C8">
        <w:rPr>
          <w:i/>
          <w:iCs/>
          <w:rtl/>
        </w:rPr>
        <w:t xml:space="preserve"> على النحو الم</w:t>
      </w:r>
      <w:r w:rsidRPr="00D249C8">
        <w:rPr>
          <w:rFonts w:hint="cs"/>
          <w:i/>
          <w:iCs/>
          <w:rtl/>
        </w:rPr>
        <w:t>ُ</w:t>
      </w:r>
      <w:r w:rsidRPr="00D249C8">
        <w:rPr>
          <w:i/>
          <w:iCs/>
          <w:rtl/>
        </w:rPr>
        <w:t>حد</w:t>
      </w:r>
      <w:r w:rsidRPr="00D249C8">
        <w:rPr>
          <w:rFonts w:hint="cs"/>
          <w:i/>
          <w:iCs/>
          <w:rtl/>
        </w:rPr>
        <w:t>َّ</w:t>
      </w:r>
      <w:r w:rsidRPr="00D249C8">
        <w:rPr>
          <w:i/>
          <w:iCs/>
          <w:rtl/>
        </w:rPr>
        <w:t>د في الفقرة 3 أعلاه</w:t>
      </w:r>
      <w:r w:rsidRPr="00D249C8">
        <w:rPr>
          <w:rFonts w:hint="cs"/>
          <w:i/>
          <w:iCs/>
          <w:rtl/>
        </w:rPr>
        <w:t xml:space="preserve">، </w:t>
      </w:r>
      <w:r w:rsidRPr="00D249C8">
        <w:rPr>
          <w:i/>
          <w:iCs/>
          <w:rtl/>
        </w:rPr>
        <w:t>و</w:t>
      </w:r>
      <w:r w:rsidRPr="00D249C8">
        <w:rPr>
          <w:rFonts w:hint="cs"/>
          <w:i/>
          <w:iCs/>
          <w:rtl/>
        </w:rPr>
        <w:t>البتّ في هذه الإجراءات</w:t>
      </w:r>
      <w:r w:rsidRPr="00D249C8">
        <w:rPr>
          <w:i/>
          <w:iCs/>
          <w:rtl/>
        </w:rPr>
        <w:t>.</w:t>
      </w:r>
    </w:p>
    <w:p w:rsidR="00D249C8" w:rsidRPr="00FD6D15" w:rsidRDefault="00D249C8" w:rsidP="00D249C8">
      <w:pPr>
        <w:pStyle w:val="BodyText"/>
        <w:ind w:left="5485"/>
        <w:rPr>
          <w:rtl/>
        </w:rPr>
      </w:pPr>
      <w:r w:rsidRPr="00D249C8">
        <w:rPr>
          <w:rtl/>
        </w:rPr>
        <w:t>[يلي ذلك المرفق]</w:t>
      </w:r>
    </w:p>
    <w:p w:rsidR="00FD6D15" w:rsidRPr="00C41AE0" w:rsidRDefault="00FD6D15" w:rsidP="000D7E81">
      <w:pPr>
        <w:pStyle w:val="BodyText"/>
        <w:rPr>
          <w:rtl/>
        </w:rPr>
      </w:pPr>
    </w:p>
    <w:sectPr w:rsidR="00FD6D15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A44" w:rsidRDefault="00E11A44">
      <w:r>
        <w:separator/>
      </w:r>
    </w:p>
  </w:endnote>
  <w:endnote w:type="continuationSeparator" w:id="0">
    <w:p w:rsidR="00E11A44" w:rsidRDefault="00E1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A44" w:rsidRDefault="00E11A44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11A44" w:rsidRDefault="00E11A44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83" w:rsidRDefault="00E64E83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CWS/6/29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F6D5D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2F551E4B"/>
    <w:multiLevelType w:val="hybridMultilevel"/>
    <w:tmpl w:val="9754D966"/>
    <w:lvl w:ilvl="0" w:tplc="6AD6FB7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970166C"/>
    <w:multiLevelType w:val="hybridMultilevel"/>
    <w:tmpl w:val="9F946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37"/>
  </w:num>
  <w:num w:numId="5">
    <w:abstractNumId w:val="8"/>
  </w:num>
  <w:num w:numId="6">
    <w:abstractNumId w:val="39"/>
  </w:num>
  <w:num w:numId="7">
    <w:abstractNumId w:val="20"/>
  </w:num>
  <w:num w:numId="8">
    <w:abstractNumId w:val="36"/>
  </w:num>
  <w:num w:numId="9">
    <w:abstractNumId w:val="32"/>
  </w:num>
  <w:num w:numId="10">
    <w:abstractNumId w:val="40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1"/>
  </w:num>
  <w:num w:numId="32">
    <w:abstractNumId w:val="27"/>
  </w:num>
  <w:num w:numId="33">
    <w:abstractNumId w:val="35"/>
  </w:num>
  <w:num w:numId="34">
    <w:abstractNumId w:val="13"/>
  </w:num>
  <w:num w:numId="35">
    <w:abstractNumId w:val="34"/>
  </w:num>
  <w:num w:numId="36">
    <w:abstractNumId w:val="26"/>
  </w:num>
  <w:num w:numId="37">
    <w:abstractNumId w:val="33"/>
  </w:num>
  <w:num w:numId="38">
    <w:abstractNumId w:val="16"/>
  </w:num>
  <w:num w:numId="39">
    <w:abstractNumId w:val="29"/>
  </w:num>
  <w:num w:numId="40">
    <w:abstractNumId w:val="28"/>
  </w:num>
  <w:num w:numId="41">
    <w:abstractNumId w:val="18"/>
  </w:num>
  <w:num w:numId="42">
    <w:abstractNumId w:val="10"/>
  </w:num>
  <w:num w:numId="43">
    <w:abstractNumId w:val="23"/>
  </w:num>
  <w:num w:numId="44">
    <w:abstractNumId w:val="31"/>
  </w:num>
  <w:num w:numId="45">
    <w:abstractNumId w:val="38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83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1F76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55E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44CE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5F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55ED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0D7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5797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1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17A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6E4A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6E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5AC8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3518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EBF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5FB7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9C8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6D5D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1A44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477BC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4E83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16CF74A-4605-462D-A7BE-76389B5A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235C-40A3-426B-AA7B-35CC6281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CWS/6/29 (in Arabic)</vt:lpstr>
    </vt:vector>
  </TitlesOfParts>
  <Company>WIPO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CWS/6/29 (in Arabic)</dc:title>
  <dc:subject>QUESTIONNAIRE ON THE ELECTRONIC REPRESENTATIONS OF DESIGNS</dc:subject>
  <dc:creator>WIPO</dc:creator>
  <cp:lastModifiedBy>DRAKE Sophie</cp:lastModifiedBy>
  <cp:revision>9</cp:revision>
  <cp:lastPrinted>2018-09-06T11:43:00Z</cp:lastPrinted>
  <dcterms:created xsi:type="dcterms:W3CDTF">2018-08-18T09:10:00Z</dcterms:created>
  <dcterms:modified xsi:type="dcterms:W3CDTF">2018-09-06T11:43:00Z</dcterms:modified>
  <cp:category>CWS (in Arabic)</cp:category>
</cp:coreProperties>
</file>