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B3509D">
      <w:pPr>
        <w:widowControl w:val="0"/>
        <w:bidi w:val="0"/>
        <w:jc w:val="both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B3509D">
      <w:pPr>
        <w:spacing w:after="120"/>
        <w:ind w:left="4535"/>
        <w:jc w:val="both"/>
        <w:rPr>
          <w:rtl/>
        </w:rPr>
      </w:pPr>
      <w:r w:rsidRPr="003F7284">
        <w:rPr>
          <w:noProof/>
        </w:rPr>
        <w:drawing>
          <wp:inline distT="0" distB="0" distL="0" distR="0" wp14:anchorId="68492576" wp14:editId="592F071E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B3509D">
      <w:pPr>
        <w:pBdr>
          <w:top w:val="single" w:sz="4" w:space="10" w:color="auto"/>
        </w:pBdr>
        <w:bidi w:val="0"/>
        <w:jc w:val="both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7C4F5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27</w:t>
      </w:r>
    </w:p>
    <w:bookmarkEnd w:id="3"/>
    <w:p w:rsidR="003F7284" w:rsidRPr="00BB6440" w:rsidRDefault="003F7284" w:rsidP="00A2410C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الأصل:</w:t>
      </w:r>
      <w:r w:rsidR="00516AAF">
        <w:rPr>
          <w:rFonts w:hint="cs"/>
          <w:b/>
          <w:bCs/>
          <w:sz w:val="30"/>
          <w:szCs w:val="30"/>
          <w:rtl/>
        </w:rPr>
        <w:t xml:space="preserve"> بالإ</w:t>
      </w:r>
      <w:r w:rsidR="00670A83">
        <w:rPr>
          <w:rFonts w:hint="cs"/>
          <w:b/>
          <w:bCs/>
          <w:sz w:val="30"/>
          <w:szCs w:val="30"/>
          <w:rtl/>
        </w:rPr>
        <w:t>نكليزية</w:t>
      </w:r>
      <w:bookmarkStart w:id="4" w:name="Original"/>
      <w:bookmarkEnd w:id="4"/>
    </w:p>
    <w:p w:rsidR="003F7284" w:rsidRPr="00BB6440" w:rsidRDefault="003F7284" w:rsidP="00A2410C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7C4F5B">
        <w:rPr>
          <w:rFonts w:hint="cs"/>
          <w:b/>
          <w:bCs/>
          <w:sz w:val="30"/>
          <w:szCs w:val="30"/>
          <w:rtl/>
        </w:rPr>
        <w:t>3 سبتمبر 2018</w:t>
      </w:r>
    </w:p>
    <w:p w:rsidR="002E7810" w:rsidRPr="00FD6D15" w:rsidRDefault="00561BC4" w:rsidP="00B3509D">
      <w:pPr>
        <w:pStyle w:val="Heading1"/>
        <w:spacing w:after="600" w:line="240" w:lineRule="auto"/>
        <w:jc w:val="both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B3509D">
      <w:pPr>
        <w:jc w:val="both"/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Default="00561BC4" w:rsidP="00B3509D">
      <w:pPr>
        <w:spacing w:line="600" w:lineRule="auto"/>
        <w:jc w:val="both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>جنيف، من 15 إلى 19 أكتوبر 2018</w:t>
      </w:r>
      <w:bookmarkStart w:id="9" w:name="TitleOfDoc"/>
      <w:bookmarkEnd w:id="9"/>
    </w:p>
    <w:p w:rsidR="009E1860" w:rsidRPr="00170F13" w:rsidRDefault="00170F13" w:rsidP="00170F13">
      <w:pPr>
        <w:rPr>
          <w:rFonts w:ascii="Arial Black" w:hAnsi="Arial Black" w:cs="PT Bold Heading"/>
          <w:sz w:val="26"/>
          <w:szCs w:val="26"/>
          <w:rtl/>
        </w:rPr>
      </w:pPr>
      <w:bookmarkStart w:id="10" w:name="Doc"/>
      <w:bookmarkEnd w:id="10"/>
      <w:r w:rsidRPr="00170F13">
        <w:rPr>
          <w:rFonts w:ascii="Arial Black" w:hAnsi="Arial Black" w:cs="PT Bold Heading" w:hint="cs"/>
          <w:sz w:val="26"/>
          <w:szCs w:val="26"/>
          <w:rtl/>
        </w:rPr>
        <w:t>استبيان بشأن استخدام مكاتب الملكية الفكرية</w:t>
      </w:r>
      <w:r w:rsidR="004514EB">
        <w:rPr>
          <w:rFonts w:ascii="Arial Black" w:hAnsi="Arial Black" w:cs="PT Bold Heading"/>
          <w:sz w:val="26"/>
          <w:szCs w:val="26"/>
          <w:rtl/>
        </w:rPr>
        <w:t xml:space="preserve"> لأدوات تعريف الم</w:t>
      </w:r>
      <w:r w:rsidRPr="00170F13">
        <w:rPr>
          <w:rFonts w:ascii="Arial Black" w:hAnsi="Arial Black" w:cs="PT Bold Heading"/>
          <w:sz w:val="26"/>
          <w:szCs w:val="26"/>
          <w:rtl/>
        </w:rPr>
        <w:t>ودعين</w:t>
      </w:r>
    </w:p>
    <w:p w:rsidR="007C4F5B" w:rsidRDefault="007C4F5B" w:rsidP="00B3509D">
      <w:pPr>
        <w:spacing w:before="200" w:after="960"/>
        <w:jc w:val="both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170F13">
        <w:rPr>
          <w:rFonts w:hint="cs"/>
          <w:i/>
          <w:iCs/>
          <w:rtl/>
        </w:rPr>
        <w:t xml:space="preserve"> فرقة العمل المعنية ب</w:t>
      </w:r>
      <w:r>
        <w:rPr>
          <w:rFonts w:hint="cs"/>
          <w:i/>
          <w:iCs/>
          <w:rtl/>
        </w:rPr>
        <w:t>توحيد الأسماء</w:t>
      </w:r>
    </w:p>
    <w:p w:rsidR="007C4F5B" w:rsidRPr="000A19C3" w:rsidRDefault="007C4F5B" w:rsidP="004514EB">
      <w:pPr>
        <w:pStyle w:val="ONUMA"/>
        <w:jc w:val="both"/>
        <w:rPr>
          <w:rtl/>
        </w:rPr>
      </w:pPr>
      <w:r w:rsidRPr="000A19C3">
        <w:rPr>
          <w:rtl/>
        </w:rPr>
        <w:t>أنشأت اللجنة المعنية بمعايير الويبو (</w:t>
      </w:r>
      <w:r w:rsidR="00B3509D">
        <w:rPr>
          <w:rFonts w:hint="cs"/>
          <w:rtl/>
        </w:rPr>
        <w:t>لجنة المعايير</w:t>
      </w:r>
      <w:r w:rsidRPr="000A19C3">
        <w:rPr>
          <w:rtl/>
        </w:rPr>
        <w:t>)، خلال دورتها الخامسة المعقود</w:t>
      </w:r>
      <w:r w:rsidR="00A2410C">
        <w:rPr>
          <w:rtl/>
        </w:rPr>
        <w:t>ة في جنيف</w:t>
      </w:r>
      <w:r w:rsidR="00B3509D">
        <w:rPr>
          <w:rFonts w:hint="cs"/>
          <w:rtl/>
        </w:rPr>
        <w:t xml:space="preserve"> في الفترة </w:t>
      </w:r>
      <w:r w:rsidR="00B3509D">
        <w:rPr>
          <w:rtl/>
        </w:rPr>
        <w:t>من 29</w:t>
      </w:r>
      <w:r w:rsidR="004514EB">
        <w:rPr>
          <w:rFonts w:hint="cs"/>
          <w:rtl/>
        </w:rPr>
        <w:t> </w:t>
      </w:r>
      <w:r w:rsidR="00B3509D">
        <w:rPr>
          <w:rtl/>
        </w:rPr>
        <w:t>مايو إلى 2</w:t>
      </w:r>
      <w:r w:rsidR="004514EB">
        <w:rPr>
          <w:rFonts w:hint="cs"/>
          <w:rtl/>
        </w:rPr>
        <w:t> </w:t>
      </w:r>
      <w:r w:rsidR="00B3509D">
        <w:rPr>
          <w:rtl/>
        </w:rPr>
        <w:t>يوني</w:t>
      </w:r>
      <w:r w:rsidR="00B3509D">
        <w:rPr>
          <w:rFonts w:hint="cs"/>
          <w:rtl/>
        </w:rPr>
        <w:t>و</w:t>
      </w:r>
      <w:r w:rsidR="004514EB">
        <w:rPr>
          <w:rFonts w:hint="cs"/>
          <w:rtl/>
        </w:rPr>
        <w:t> </w:t>
      </w:r>
      <w:r w:rsidRPr="000A19C3">
        <w:rPr>
          <w:rtl/>
        </w:rPr>
        <w:t>2017، المهمة</w:t>
      </w:r>
      <w:r w:rsidR="00B3509D">
        <w:rPr>
          <w:rFonts w:hint="cs"/>
          <w:rtl/>
        </w:rPr>
        <w:t xml:space="preserve"> رقم</w:t>
      </w:r>
      <w:r w:rsidRPr="000A19C3">
        <w:rPr>
          <w:rtl/>
        </w:rPr>
        <w:t xml:space="preserve"> 55: "القيام بما يلي بنية وضع معيار للويبو يساعد مكاتب الملكية الصناعية على تحسين" الجودة في المنبع" فيما يتعلق بأسماء المودعين:</w:t>
      </w:r>
    </w:p>
    <w:p w:rsidR="007C4F5B" w:rsidRPr="000A19C3" w:rsidRDefault="007C4F5B" w:rsidP="00B3509D">
      <w:pPr>
        <w:pStyle w:val="indent1"/>
        <w:jc w:val="both"/>
      </w:pPr>
      <w:r w:rsidRPr="000A19C3">
        <w:rPr>
          <w:rtl/>
        </w:rPr>
        <w:t>إجراء دراسة استقصائية بشأن استخدام مكاتب ال</w:t>
      </w:r>
      <w:r w:rsidR="004514EB">
        <w:rPr>
          <w:rtl/>
        </w:rPr>
        <w:t>ملكية الصناعية لأدوات تعريف الم</w:t>
      </w:r>
      <w:r w:rsidRPr="000A19C3">
        <w:rPr>
          <w:rtl/>
        </w:rPr>
        <w:t>ودعين وبشأن المشكلات التي قد ترتبط بذلك؛</w:t>
      </w:r>
    </w:p>
    <w:p w:rsidR="007C4F5B" w:rsidRPr="000A19C3" w:rsidRDefault="007C4F5B" w:rsidP="00B3509D">
      <w:pPr>
        <w:pStyle w:val="indent1"/>
        <w:jc w:val="both"/>
      </w:pPr>
      <w:r w:rsidRPr="000A19C3">
        <w:rPr>
          <w:rtl/>
        </w:rPr>
        <w:lastRenderedPageBreak/>
        <w:t>وإعداد اقتراح بشأن الإجراءات المستقبلية الرامية إلى توحيد أسماء المودعين في وثائق الملكية الصناعية وعرضه على اللجنة المعنية بمعايير الويبو للنظر فيه."</w:t>
      </w:r>
    </w:p>
    <w:p w:rsidR="007C4F5B" w:rsidRPr="000A19C3" w:rsidRDefault="007C4F5B" w:rsidP="004514EB">
      <w:pPr>
        <w:pStyle w:val="BodyText"/>
        <w:jc w:val="both"/>
        <w:rPr>
          <w:rtl/>
        </w:rPr>
      </w:pPr>
      <w:r w:rsidRPr="000A19C3">
        <w:rPr>
          <w:rtl/>
        </w:rPr>
        <w:t xml:space="preserve">(انظر الوثيقتين </w:t>
      </w:r>
      <w:r w:rsidRPr="000A19C3">
        <w:rPr>
          <w:rFonts w:eastAsia="Malgun Gothic"/>
        </w:rPr>
        <w:t>CWS/5/14</w:t>
      </w:r>
      <w:r w:rsidRPr="000A19C3">
        <w:rPr>
          <w:rFonts w:eastAsia="Malgun Gothic"/>
          <w:rtl/>
        </w:rPr>
        <w:t xml:space="preserve"> و</w:t>
      </w:r>
      <w:r w:rsidRPr="000A19C3">
        <w:rPr>
          <w:rFonts w:eastAsia="Malgun Gothic"/>
        </w:rPr>
        <w:t>CWS/5/14 ADD</w:t>
      </w:r>
      <w:r w:rsidR="004514EB">
        <w:rPr>
          <w:rFonts w:eastAsia="Malgun Gothic" w:hint="cs"/>
          <w:rtl/>
        </w:rPr>
        <w:t xml:space="preserve">، </w:t>
      </w:r>
      <w:r w:rsidRPr="000A19C3">
        <w:rPr>
          <w:rFonts w:eastAsia="Malgun Gothic"/>
          <w:rtl/>
        </w:rPr>
        <w:t>والفقرات</w:t>
      </w:r>
      <w:r w:rsidR="004514EB">
        <w:rPr>
          <w:rFonts w:eastAsia="Malgun Gothic" w:hint="cs"/>
          <w:rtl/>
        </w:rPr>
        <w:t xml:space="preserve"> من</w:t>
      </w:r>
      <w:r w:rsidRPr="000A19C3">
        <w:rPr>
          <w:rFonts w:eastAsia="Malgun Gothic"/>
          <w:rtl/>
        </w:rPr>
        <w:t xml:space="preserve"> 82 </w:t>
      </w:r>
      <w:r w:rsidR="004514EB">
        <w:rPr>
          <w:rFonts w:eastAsia="Malgun Gothic" w:hint="cs"/>
          <w:rtl/>
        </w:rPr>
        <w:t xml:space="preserve">إلى </w:t>
      </w:r>
      <w:r w:rsidRPr="000A19C3">
        <w:rPr>
          <w:rFonts w:eastAsia="Malgun Gothic"/>
          <w:rtl/>
        </w:rPr>
        <w:t>85 و116(ه) من الوثيقة</w:t>
      </w:r>
      <w:r w:rsidR="004514EB">
        <w:rPr>
          <w:rFonts w:eastAsia="Malgun Gothic" w:hint="cs"/>
          <w:rtl/>
        </w:rPr>
        <w:t> </w:t>
      </w:r>
      <w:r w:rsidRPr="000A19C3">
        <w:t>CWS/5/22</w:t>
      </w:r>
      <w:r w:rsidRPr="000A19C3">
        <w:rPr>
          <w:rtl/>
        </w:rPr>
        <w:t>.)</w:t>
      </w:r>
    </w:p>
    <w:p w:rsidR="007C4F5B" w:rsidRPr="000A19C3" w:rsidRDefault="00B3509D" w:rsidP="00B3509D">
      <w:pPr>
        <w:pStyle w:val="ONUMA"/>
        <w:jc w:val="both"/>
      </w:pPr>
      <w:r>
        <w:rPr>
          <w:rtl/>
        </w:rPr>
        <w:t>ووفقاً لقرار لجنة المعايير في</w:t>
      </w:r>
      <w:r w:rsidR="007C4F5B" w:rsidRPr="000A19C3">
        <w:rPr>
          <w:rtl/>
        </w:rPr>
        <w:t xml:space="preserve"> دورتها الخامسة، أعدت فرقة العمل المعنية بتوحيد الأسماء</w:t>
      </w:r>
      <w:r w:rsidR="00FD3041" w:rsidRPr="000A19C3">
        <w:rPr>
          <w:rtl/>
        </w:rPr>
        <w:t xml:space="preserve"> ا</w:t>
      </w:r>
      <w:r w:rsidR="001524CC" w:rsidRPr="000A19C3">
        <w:rPr>
          <w:rtl/>
        </w:rPr>
        <w:t>ستبياناً</w:t>
      </w:r>
      <w:r w:rsidR="00A2410C">
        <w:rPr>
          <w:rtl/>
        </w:rPr>
        <w:t xml:space="preserve"> لإجراء دراسة استقصائية</w:t>
      </w:r>
      <w:r w:rsidR="00FD3041" w:rsidRPr="000A19C3">
        <w:rPr>
          <w:rtl/>
        </w:rPr>
        <w:t xml:space="preserve"> بشأن استخدام مكاتب الملكية الفكرية </w:t>
      </w:r>
      <w:r w:rsidR="00C31DC9" w:rsidRPr="000A19C3">
        <w:rPr>
          <w:rtl/>
        </w:rPr>
        <w:t>لأدوات تعريف الم</w:t>
      </w:r>
      <w:r w:rsidR="004514EB">
        <w:rPr>
          <w:rFonts w:hint="cs"/>
          <w:rtl/>
        </w:rPr>
        <w:t>ُ</w:t>
      </w:r>
      <w:r w:rsidR="00C31DC9" w:rsidRPr="000A19C3">
        <w:rPr>
          <w:rtl/>
        </w:rPr>
        <w:t>ودعين كي تنظر فيه لجنة المعايير وتوافق عليه في دورتها السادسة. وترد نسخة من الاستبيان المقترح في مرفق هذه الوثيقة.</w:t>
      </w:r>
    </w:p>
    <w:p w:rsidR="00C31DC9" w:rsidRPr="000A19C3" w:rsidRDefault="00C31DC9" w:rsidP="004514EB">
      <w:pPr>
        <w:pStyle w:val="ONUMA"/>
        <w:jc w:val="both"/>
      </w:pPr>
      <w:r w:rsidRPr="000A19C3">
        <w:rPr>
          <w:rtl/>
        </w:rPr>
        <w:t>ويتألف ال</w:t>
      </w:r>
      <w:r w:rsidR="009C486F" w:rsidRPr="000A19C3">
        <w:rPr>
          <w:rtl/>
        </w:rPr>
        <w:t>استبيان من ثلاثة أجزاء هي: الجزء</w:t>
      </w:r>
      <w:r w:rsidRPr="000A19C3">
        <w:rPr>
          <w:rtl/>
        </w:rPr>
        <w:t xml:space="preserve"> ألف </w:t>
      </w:r>
      <w:r w:rsidR="00A2410C">
        <w:rPr>
          <w:rFonts w:hint="cs"/>
          <w:rtl/>
        </w:rPr>
        <w:t>من أجل</w:t>
      </w:r>
      <w:r w:rsidRPr="000A19C3">
        <w:rPr>
          <w:rtl/>
        </w:rPr>
        <w:t xml:space="preserve"> مكاتب الملكية الفكرية التي تستخدم أدوات تعريف المودعين أو تنوي القيام بذلك؛ </w:t>
      </w:r>
      <w:r w:rsidR="00A2410C">
        <w:rPr>
          <w:rFonts w:hint="cs"/>
          <w:rtl/>
        </w:rPr>
        <w:t>و</w:t>
      </w:r>
      <w:r w:rsidRPr="000A19C3">
        <w:rPr>
          <w:rtl/>
        </w:rPr>
        <w:t xml:space="preserve">الجزء باء </w:t>
      </w:r>
      <w:r w:rsidR="00A2410C">
        <w:rPr>
          <w:rFonts w:hint="cs"/>
          <w:rtl/>
        </w:rPr>
        <w:t>من أجل</w:t>
      </w:r>
      <w:r w:rsidRPr="000A19C3">
        <w:rPr>
          <w:rtl/>
        </w:rPr>
        <w:t xml:space="preserve"> مكاتب الملكية الفكرية التي لا تستخدم أدوات تعريف المودعين ولا</w:t>
      </w:r>
      <w:r w:rsidR="004514EB">
        <w:rPr>
          <w:rFonts w:hint="cs"/>
          <w:rtl/>
        </w:rPr>
        <w:t> تعتزم</w:t>
      </w:r>
      <w:r w:rsidR="004514EB">
        <w:rPr>
          <w:rtl/>
        </w:rPr>
        <w:t xml:space="preserve"> </w:t>
      </w:r>
      <w:r w:rsidR="004514EB">
        <w:rPr>
          <w:rFonts w:hint="cs"/>
          <w:rtl/>
        </w:rPr>
        <w:t>ال</w:t>
      </w:r>
      <w:r w:rsidRPr="000A19C3">
        <w:rPr>
          <w:rtl/>
        </w:rPr>
        <w:t xml:space="preserve">قيام بذلك؛ </w:t>
      </w:r>
      <w:r w:rsidR="004514EB">
        <w:rPr>
          <w:rFonts w:hint="cs"/>
          <w:rtl/>
        </w:rPr>
        <w:t xml:space="preserve">أما </w:t>
      </w:r>
      <w:r w:rsidRPr="000A19C3">
        <w:rPr>
          <w:rtl/>
        </w:rPr>
        <w:t>ال</w:t>
      </w:r>
      <w:r w:rsidR="009C486F" w:rsidRPr="000A19C3">
        <w:rPr>
          <w:rtl/>
        </w:rPr>
        <w:t xml:space="preserve">جزء جيم </w:t>
      </w:r>
      <w:r w:rsidR="004514EB">
        <w:rPr>
          <w:rFonts w:hint="cs"/>
          <w:rtl/>
        </w:rPr>
        <w:t>فهو</w:t>
      </w:r>
      <w:r w:rsidRPr="000A19C3">
        <w:rPr>
          <w:rtl/>
        </w:rPr>
        <w:t xml:space="preserve"> لإيجاد المجالات الت</w:t>
      </w:r>
      <w:r w:rsidR="009C486F" w:rsidRPr="000A19C3">
        <w:rPr>
          <w:rtl/>
        </w:rPr>
        <w:t>ي يمكن أ</w:t>
      </w:r>
      <w:r w:rsidRPr="000A19C3">
        <w:rPr>
          <w:rtl/>
        </w:rPr>
        <w:t>ن ت</w:t>
      </w:r>
      <w:r w:rsidR="009C486F" w:rsidRPr="000A19C3">
        <w:rPr>
          <w:rtl/>
        </w:rPr>
        <w:t>ركز فيها مكاتب الملكية الفكرية أ</w:t>
      </w:r>
      <w:r w:rsidRPr="000A19C3">
        <w:rPr>
          <w:rtl/>
        </w:rPr>
        <w:t xml:space="preserve">كثر على </w:t>
      </w:r>
      <w:r w:rsidR="00C32460" w:rsidRPr="000A19C3">
        <w:rPr>
          <w:rtl/>
        </w:rPr>
        <w:t>توحيد</w:t>
      </w:r>
      <w:r w:rsidR="004514EB">
        <w:rPr>
          <w:rFonts w:hint="cs"/>
          <w:rtl/>
        </w:rPr>
        <w:t> </w:t>
      </w:r>
      <w:r w:rsidR="00C32460" w:rsidRPr="000A19C3">
        <w:rPr>
          <w:rtl/>
        </w:rPr>
        <w:t>الأسماء.</w:t>
      </w:r>
    </w:p>
    <w:p w:rsidR="00C32460" w:rsidRPr="000A19C3" w:rsidRDefault="004514EB" w:rsidP="00B3509D">
      <w:pPr>
        <w:pStyle w:val="ONUMA"/>
        <w:jc w:val="both"/>
      </w:pPr>
      <w:r>
        <w:rPr>
          <w:rFonts w:hint="cs"/>
          <w:rtl/>
        </w:rPr>
        <w:t>وتعتزم</w:t>
      </w:r>
      <w:r>
        <w:rPr>
          <w:rtl/>
        </w:rPr>
        <w:t xml:space="preserve"> فرقة العمل </w:t>
      </w:r>
      <w:r w:rsidR="00C32460" w:rsidRPr="000A19C3">
        <w:rPr>
          <w:rtl/>
        </w:rPr>
        <w:t>إجراء الدراسة الاستقصائية في ديسمبر 2018 وعرض نتائجها خلال الدورة السابعة للجنة المعايير، إذا ما تمت الموافقة على الاستبيان</w:t>
      </w:r>
      <w:r w:rsidR="00EE3893">
        <w:rPr>
          <w:rFonts w:hint="cs"/>
          <w:rtl/>
        </w:rPr>
        <w:t xml:space="preserve"> المقترح</w:t>
      </w:r>
      <w:r w:rsidR="00C32460" w:rsidRPr="000A19C3">
        <w:rPr>
          <w:rtl/>
        </w:rPr>
        <w:t xml:space="preserve"> خلال هذه الدورة. وينبغي أن يُطلب من المكتب الدولي إعداد وإصدار تعميم يدعو فيه مكاتب الملكية الفكرية إلى استكمال الاستبيان.</w:t>
      </w:r>
    </w:p>
    <w:p w:rsidR="00DE15E3" w:rsidRPr="000A19C3" w:rsidRDefault="009B753A" w:rsidP="00B3509D">
      <w:pPr>
        <w:pStyle w:val="Decision"/>
        <w:jc w:val="both"/>
      </w:pPr>
      <w:r>
        <w:rPr>
          <w:rFonts w:hint="cs"/>
          <w:rtl/>
        </w:rPr>
        <w:lastRenderedPageBreak/>
        <w:t xml:space="preserve">إن </w:t>
      </w:r>
      <w:r w:rsidR="00C32460" w:rsidRPr="000A19C3">
        <w:rPr>
          <w:rtl/>
        </w:rPr>
        <w:t>لجنة المعايير مدعوة للقيام بما يلي:</w:t>
      </w:r>
    </w:p>
    <w:p w:rsidR="00C32460" w:rsidRPr="000103C5" w:rsidRDefault="00C32460" w:rsidP="00B3509D">
      <w:pPr>
        <w:pStyle w:val="ListBullet"/>
        <w:numPr>
          <w:ilvl w:val="0"/>
          <w:numId w:val="13"/>
        </w:numPr>
        <w:ind w:left="5534" w:firstLine="0"/>
        <w:jc w:val="both"/>
        <w:rPr>
          <w:i/>
          <w:iCs/>
        </w:rPr>
      </w:pPr>
      <w:r w:rsidRPr="000103C5">
        <w:rPr>
          <w:i/>
          <w:iCs/>
          <w:rtl/>
        </w:rPr>
        <w:t>الإحاطة علما</w:t>
      </w:r>
      <w:r w:rsidR="009B753A">
        <w:rPr>
          <w:rFonts w:hint="cs"/>
          <w:i/>
          <w:iCs/>
          <w:rtl/>
        </w:rPr>
        <w:t>ً</w:t>
      </w:r>
      <w:r w:rsidRPr="000103C5">
        <w:rPr>
          <w:i/>
          <w:iCs/>
          <w:rtl/>
        </w:rPr>
        <w:t xml:space="preserve"> بمضمون هذه الوثيقة ومرفقها؛</w:t>
      </w:r>
    </w:p>
    <w:p w:rsidR="00C32460" w:rsidRPr="000103C5" w:rsidRDefault="00C32460" w:rsidP="009B753A">
      <w:pPr>
        <w:pStyle w:val="ONUMA"/>
        <w:numPr>
          <w:ilvl w:val="0"/>
          <w:numId w:val="13"/>
        </w:numPr>
        <w:ind w:left="5534" w:firstLine="0"/>
        <w:jc w:val="both"/>
        <w:rPr>
          <w:i/>
          <w:iCs/>
        </w:rPr>
      </w:pPr>
      <w:r w:rsidRPr="000103C5">
        <w:rPr>
          <w:i/>
          <w:iCs/>
          <w:rtl/>
        </w:rPr>
        <w:t>والنظر في الاستبيان المقترح بشأن استخدام مكاتب الملكية الفكرية ل</w:t>
      </w:r>
      <w:r w:rsidR="009C486F" w:rsidRPr="000103C5">
        <w:rPr>
          <w:i/>
          <w:iCs/>
          <w:rtl/>
        </w:rPr>
        <w:t xml:space="preserve">أدوات </w:t>
      </w:r>
      <w:r w:rsidRPr="000103C5">
        <w:rPr>
          <w:i/>
          <w:iCs/>
          <w:rtl/>
        </w:rPr>
        <w:t xml:space="preserve">تعريف </w:t>
      </w:r>
      <w:r w:rsidR="009C486F" w:rsidRPr="000103C5">
        <w:rPr>
          <w:i/>
          <w:iCs/>
          <w:rtl/>
        </w:rPr>
        <w:t>ا</w:t>
      </w:r>
      <w:r w:rsidRPr="000103C5">
        <w:rPr>
          <w:i/>
          <w:iCs/>
          <w:rtl/>
        </w:rPr>
        <w:t>لمودعين، على النحو الوارد في مرفق هذه الوثيقة، والبتّ في</w:t>
      </w:r>
      <w:r w:rsidR="009B753A">
        <w:rPr>
          <w:rFonts w:hint="cs"/>
          <w:i/>
          <w:iCs/>
          <w:rtl/>
        </w:rPr>
        <w:t>ه</w:t>
      </w:r>
      <w:r w:rsidRPr="000103C5">
        <w:rPr>
          <w:i/>
          <w:iCs/>
          <w:rtl/>
        </w:rPr>
        <w:t>؛</w:t>
      </w:r>
    </w:p>
    <w:p w:rsidR="007D0632" w:rsidRPr="000103C5" w:rsidRDefault="007D0632" w:rsidP="0055309B">
      <w:pPr>
        <w:pStyle w:val="ONUMA"/>
        <w:numPr>
          <w:ilvl w:val="0"/>
          <w:numId w:val="13"/>
        </w:numPr>
        <w:ind w:left="5534" w:firstLine="0"/>
        <w:jc w:val="both"/>
        <w:rPr>
          <w:i/>
          <w:iCs/>
          <w:rtl/>
        </w:rPr>
      </w:pPr>
      <w:r w:rsidRPr="000103C5">
        <w:rPr>
          <w:i/>
          <w:iCs/>
          <w:rtl/>
        </w:rPr>
        <w:t xml:space="preserve">والنظر في الإجراءات المقترحة التي </w:t>
      </w:r>
      <w:r w:rsidR="0055309B">
        <w:rPr>
          <w:rFonts w:hint="cs"/>
          <w:i/>
          <w:iCs/>
          <w:rtl/>
        </w:rPr>
        <w:t>ي</w:t>
      </w:r>
      <w:r w:rsidR="009B753A">
        <w:rPr>
          <w:rFonts w:hint="cs"/>
          <w:i/>
          <w:iCs/>
          <w:rtl/>
        </w:rPr>
        <w:t>عتزم</w:t>
      </w:r>
      <w:r w:rsidRPr="000103C5">
        <w:rPr>
          <w:i/>
          <w:iCs/>
          <w:rtl/>
        </w:rPr>
        <w:t xml:space="preserve"> </w:t>
      </w:r>
      <w:r w:rsidR="0055309B">
        <w:rPr>
          <w:rFonts w:hint="cs"/>
          <w:i/>
          <w:iCs/>
          <w:rtl/>
        </w:rPr>
        <w:t xml:space="preserve">كل من </w:t>
      </w:r>
      <w:r w:rsidRPr="000103C5">
        <w:rPr>
          <w:i/>
          <w:iCs/>
          <w:rtl/>
        </w:rPr>
        <w:t>فرقة العمل المعنية بتوحيد الأسماء والمكتب الدولي</w:t>
      </w:r>
      <w:r w:rsidR="009B753A">
        <w:rPr>
          <w:rFonts w:hint="cs"/>
          <w:i/>
          <w:iCs/>
          <w:rtl/>
        </w:rPr>
        <w:t xml:space="preserve"> اتخاذها</w:t>
      </w:r>
      <w:r w:rsidRPr="000103C5">
        <w:rPr>
          <w:i/>
          <w:iCs/>
          <w:rtl/>
        </w:rPr>
        <w:t>، على النحو المُحدَّد في الفقرة</w:t>
      </w:r>
      <w:r w:rsidR="0055309B">
        <w:rPr>
          <w:rFonts w:hint="cs"/>
          <w:i/>
          <w:iCs/>
          <w:rtl/>
        </w:rPr>
        <w:t> </w:t>
      </w:r>
      <w:r w:rsidRPr="000103C5">
        <w:rPr>
          <w:i/>
          <w:iCs/>
          <w:rtl/>
        </w:rPr>
        <w:t>4</w:t>
      </w:r>
      <w:r w:rsidR="009B753A">
        <w:rPr>
          <w:i/>
          <w:iCs/>
          <w:rtl/>
        </w:rPr>
        <w:t xml:space="preserve"> أعلاه، والبتّ في</w:t>
      </w:r>
      <w:r w:rsidR="009B753A">
        <w:rPr>
          <w:rFonts w:hint="cs"/>
          <w:i/>
          <w:iCs/>
          <w:rtl/>
        </w:rPr>
        <w:t>ها</w:t>
      </w:r>
      <w:r w:rsidRPr="000103C5">
        <w:rPr>
          <w:i/>
          <w:iCs/>
          <w:rtl/>
        </w:rPr>
        <w:t>.</w:t>
      </w:r>
    </w:p>
    <w:p w:rsidR="00112F29" w:rsidRDefault="007D0632" w:rsidP="00AE2988">
      <w:pPr>
        <w:pStyle w:val="Endofdocument-Annex"/>
        <w:jc w:val="both"/>
        <w:rPr>
          <w:rtl/>
        </w:rPr>
      </w:pPr>
      <w:r w:rsidRPr="000A19C3">
        <w:rPr>
          <w:rtl/>
        </w:rPr>
        <w:t>[يلي ذلك المرفق]</w:t>
      </w:r>
      <w:bookmarkStart w:id="11" w:name="_GoBack"/>
      <w:bookmarkEnd w:id="11"/>
    </w:p>
    <w:sectPr w:rsidR="00112F29" w:rsidSect="00133420">
      <w:headerReference w:type="even" r:id="rId9"/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0F" w:rsidRDefault="0034580F">
      <w:r>
        <w:separator/>
      </w:r>
    </w:p>
  </w:endnote>
  <w:endnote w:type="continuationSeparator" w:id="0">
    <w:p w:rsidR="0034580F" w:rsidRDefault="0034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0F" w:rsidRDefault="0034580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580F" w:rsidRDefault="0034580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9B" w:rsidRDefault="0055309B" w:rsidP="004514EB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4514EB">
      <w:rPr>
        <w:rFonts w:ascii="Arial" w:eastAsia="SimSun" w:hAnsi="Arial" w:cs="Arial"/>
        <w:sz w:val="22"/>
        <w:szCs w:val="20"/>
        <w:lang w:val="en-GB" w:eastAsia="zh-CN"/>
      </w:rPr>
      <w:t>CWS/6/27</w:t>
    </w:r>
  </w:p>
  <w:p w:rsidR="0055309B" w:rsidRPr="0055309B" w:rsidRDefault="0055309B" w:rsidP="0055309B">
    <w:pPr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</w:t>
    </w:r>
  </w:p>
  <w:p w:rsidR="0055309B" w:rsidRDefault="0055309B" w:rsidP="004514EB">
    <w:pPr>
      <w:bidi w:val="0"/>
      <w:rPr>
        <w:rFonts w:ascii="Arial" w:eastAsia="SimSun" w:hAnsi="Arial" w:cs="Arial"/>
        <w:sz w:val="22"/>
        <w:szCs w:val="20"/>
        <w:lang w:val="en-GB" w:eastAsia="zh-CN"/>
      </w:rPr>
    </w:pPr>
    <w:r w:rsidRPr="004514EB">
      <w:rPr>
        <w:rFonts w:ascii="Arial" w:eastAsia="SimSun" w:hAnsi="Arial" w:cs="Arial"/>
        <w:sz w:val="22"/>
        <w:szCs w:val="20"/>
        <w:lang w:val="en-GB" w:eastAsia="zh-CN"/>
      </w:rPr>
      <w:fldChar w:fldCharType="begin"/>
    </w:r>
    <w:r w:rsidRPr="004514EB">
      <w:rPr>
        <w:rFonts w:ascii="Arial" w:eastAsia="SimSun" w:hAnsi="Arial" w:cs="Arial"/>
        <w:sz w:val="22"/>
        <w:szCs w:val="20"/>
        <w:lang w:val="en-GB" w:eastAsia="zh-CN"/>
      </w:rPr>
      <w:instrText xml:space="preserve"> PAGE   \* MERGEFORMAT </w:instrText>
    </w:r>
    <w:r w:rsidRPr="004514EB">
      <w:rPr>
        <w:rFonts w:ascii="Arial" w:eastAsia="SimSun" w:hAnsi="Arial" w:cs="Arial"/>
        <w:sz w:val="22"/>
        <w:szCs w:val="20"/>
        <w:lang w:val="en-GB" w:eastAsia="zh-CN"/>
      </w:rPr>
      <w:fldChar w:fldCharType="separate"/>
    </w:r>
    <w:r w:rsidR="006E0063">
      <w:rPr>
        <w:rFonts w:ascii="Arial" w:eastAsia="SimSun" w:hAnsi="Arial" w:cs="Arial"/>
        <w:noProof/>
        <w:sz w:val="22"/>
        <w:szCs w:val="20"/>
        <w:lang w:val="en-GB" w:eastAsia="zh-CN"/>
      </w:rPr>
      <w:t>4</w:t>
    </w:r>
    <w:r w:rsidRPr="004514EB">
      <w:rPr>
        <w:rFonts w:ascii="Arial" w:eastAsia="SimSun" w:hAnsi="Arial" w:cs="Arial"/>
        <w:noProof/>
        <w:sz w:val="22"/>
        <w:szCs w:val="20"/>
        <w:lang w:val="en-GB" w:eastAsia="zh-CN"/>
      </w:rPr>
      <w:fldChar w:fldCharType="end"/>
    </w:r>
  </w:p>
  <w:p w:rsidR="0055309B" w:rsidRPr="004514EB" w:rsidRDefault="0055309B" w:rsidP="004514EB">
    <w:pPr>
      <w:bidi w:val="0"/>
      <w:rPr>
        <w:rFonts w:ascii="Arial" w:eastAsia="SimSun" w:hAnsi="Arial" w:cs="Arial"/>
        <w:sz w:val="22"/>
        <w:szCs w:val="20"/>
        <w:lang w:val="en-GB"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29" w:rsidRDefault="00112F29" w:rsidP="00112F29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6E0063">
      <w:rPr>
        <w:rFonts w:ascii="Arial" w:eastAsia="SimSun" w:hAnsi="Arial" w:cs="Arial"/>
        <w:sz w:val="22"/>
        <w:szCs w:val="20"/>
        <w:lang w:val="en-GB" w:eastAsia="zh-CN"/>
      </w:rPr>
      <w:t>CWS/6/27</w:t>
    </w:r>
  </w:p>
  <w:p w:rsidR="00112F29" w:rsidRDefault="00112F29" w:rsidP="00112F29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6E0063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6E0063">
      <w:rPr>
        <w:rFonts w:ascii="Arial" w:eastAsia="SimSun" w:hAnsi="Arial" w:cs="Arial"/>
        <w:sz w:val="22"/>
        <w:szCs w:val="20"/>
        <w:lang w:eastAsia="zh-CN"/>
      </w:rPr>
      <w:instrText xml:space="preserve"> PAGE   \* MERGEFORMAT </w:instrText>
    </w:r>
    <w:r w:rsidRPr="006E0063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FE351B">
      <w:rPr>
        <w:rFonts w:ascii="Arial" w:eastAsia="SimSun" w:hAnsi="Arial" w:cs="Arial"/>
        <w:noProof/>
        <w:sz w:val="22"/>
        <w:szCs w:val="20"/>
        <w:lang w:eastAsia="zh-CN"/>
      </w:rPr>
      <w:t>3</w:t>
    </w:r>
    <w:r w:rsidRPr="006E0063">
      <w:rPr>
        <w:rFonts w:ascii="Arial" w:eastAsia="SimSun" w:hAnsi="Arial" w:cs="Arial"/>
        <w:noProof/>
        <w:sz w:val="22"/>
        <w:szCs w:val="20"/>
        <w:lang w:eastAsia="zh-CN"/>
      </w:rPr>
      <w:fldChar w:fldCharType="end"/>
    </w:r>
  </w:p>
  <w:p w:rsidR="00112F29" w:rsidRPr="006E0063" w:rsidRDefault="00112F29" w:rsidP="00112F29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35C21B11"/>
    <w:multiLevelType w:val="hybridMultilevel"/>
    <w:tmpl w:val="DAA22E04"/>
    <w:lvl w:ilvl="0" w:tplc="C5CA4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2" w15:restartNumberingAfterBreak="0">
    <w:nsid w:val="6A3844B0"/>
    <w:multiLevelType w:val="hybridMultilevel"/>
    <w:tmpl w:val="C94859DA"/>
    <w:lvl w:ilvl="0" w:tplc="ACEC70CA">
      <w:start w:val="1"/>
      <w:numFmt w:val="arabicAbjad"/>
      <w:lvlText w:val="(%1)"/>
      <w:lvlJc w:val="left"/>
      <w:pPr>
        <w:ind w:left="6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C6"/>
    <w:rsid w:val="00002CBE"/>
    <w:rsid w:val="00003232"/>
    <w:rsid w:val="000033DA"/>
    <w:rsid w:val="00004AF1"/>
    <w:rsid w:val="0000579F"/>
    <w:rsid w:val="00006C3A"/>
    <w:rsid w:val="000074D1"/>
    <w:rsid w:val="000076BD"/>
    <w:rsid w:val="000103C5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70F9"/>
    <w:rsid w:val="000313C1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19C3"/>
    <w:rsid w:val="000A2FC1"/>
    <w:rsid w:val="000A333D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3B81"/>
    <w:rsid w:val="000D5FB7"/>
    <w:rsid w:val="000D7E81"/>
    <w:rsid w:val="000E06A5"/>
    <w:rsid w:val="000E06F6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2F29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4A2"/>
    <w:rsid w:val="00130E12"/>
    <w:rsid w:val="00130FC9"/>
    <w:rsid w:val="001310EE"/>
    <w:rsid w:val="0013191A"/>
    <w:rsid w:val="00131E8F"/>
    <w:rsid w:val="00133420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4CC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F13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BAE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83D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4CCD"/>
    <w:rsid w:val="00286744"/>
    <w:rsid w:val="002909B9"/>
    <w:rsid w:val="00292CEE"/>
    <w:rsid w:val="00292D22"/>
    <w:rsid w:val="0029470D"/>
    <w:rsid w:val="00295F79"/>
    <w:rsid w:val="00297B80"/>
    <w:rsid w:val="002A076C"/>
    <w:rsid w:val="002A0B33"/>
    <w:rsid w:val="002A1059"/>
    <w:rsid w:val="002A1407"/>
    <w:rsid w:val="002A153E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0C2"/>
    <w:rsid w:val="00343339"/>
    <w:rsid w:val="003433E5"/>
    <w:rsid w:val="00344082"/>
    <w:rsid w:val="0034580F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66EC1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28C3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1F19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7A2"/>
    <w:rsid w:val="00414FD0"/>
    <w:rsid w:val="00415199"/>
    <w:rsid w:val="00417E93"/>
    <w:rsid w:val="00420A0B"/>
    <w:rsid w:val="00422A2A"/>
    <w:rsid w:val="00424BB4"/>
    <w:rsid w:val="004258CD"/>
    <w:rsid w:val="004261D2"/>
    <w:rsid w:val="004303D1"/>
    <w:rsid w:val="00430D6E"/>
    <w:rsid w:val="00433C0A"/>
    <w:rsid w:val="004349FA"/>
    <w:rsid w:val="00434EB7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4EB"/>
    <w:rsid w:val="0045264B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B46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7FF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134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AA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09B"/>
    <w:rsid w:val="005533C3"/>
    <w:rsid w:val="005536E6"/>
    <w:rsid w:val="00553AC3"/>
    <w:rsid w:val="00553DBA"/>
    <w:rsid w:val="00554335"/>
    <w:rsid w:val="00555631"/>
    <w:rsid w:val="00555E9E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5314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6ED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C54"/>
    <w:rsid w:val="00662EDE"/>
    <w:rsid w:val="00664C9F"/>
    <w:rsid w:val="00666548"/>
    <w:rsid w:val="00666A71"/>
    <w:rsid w:val="00667537"/>
    <w:rsid w:val="00667B2B"/>
    <w:rsid w:val="00670865"/>
    <w:rsid w:val="00670A83"/>
    <w:rsid w:val="00671AED"/>
    <w:rsid w:val="006725B5"/>
    <w:rsid w:val="00673521"/>
    <w:rsid w:val="00673702"/>
    <w:rsid w:val="00673767"/>
    <w:rsid w:val="006737DF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839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E42"/>
    <w:rsid w:val="006D6E46"/>
    <w:rsid w:val="006D7FA8"/>
    <w:rsid w:val="006E0063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0BA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76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27E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C4F5B"/>
    <w:rsid w:val="007D0632"/>
    <w:rsid w:val="007D0B7F"/>
    <w:rsid w:val="007D1266"/>
    <w:rsid w:val="007D1862"/>
    <w:rsid w:val="007D1B94"/>
    <w:rsid w:val="007D458D"/>
    <w:rsid w:val="007D4E8C"/>
    <w:rsid w:val="007D538F"/>
    <w:rsid w:val="007D668A"/>
    <w:rsid w:val="007D67C8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1CF8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A7C48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4FC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26F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C4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3A"/>
    <w:rsid w:val="009B7572"/>
    <w:rsid w:val="009B77DD"/>
    <w:rsid w:val="009C13BF"/>
    <w:rsid w:val="009C2943"/>
    <w:rsid w:val="009C486F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336"/>
    <w:rsid w:val="009D76A3"/>
    <w:rsid w:val="009E09F5"/>
    <w:rsid w:val="009E0DBC"/>
    <w:rsid w:val="009E11BD"/>
    <w:rsid w:val="009E1384"/>
    <w:rsid w:val="009E1860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364"/>
    <w:rsid w:val="00A06D32"/>
    <w:rsid w:val="00A07545"/>
    <w:rsid w:val="00A103EB"/>
    <w:rsid w:val="00A10523"/>
    <w:rsid w:val="00A111C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10C"/>
    <w:rsid w:val="00A242FC"/>
    <w:rsid w:val="00A256BF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39A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2988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16D"/>
    <w:rsid w:val="00B0620B"/>
    <w:rsid w:val="00B072A3"/>
    <w:rsid w:val="00B07820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509D"/>
    <w:rsid w:val="00B362D9"/>
    <w:rsid w:val="00B36B99"/>
    <w:rsid w:val="00B36D20"/>
    <w:rsid w:val="00B36F67"/>
    <w:rsid w:val="00B40633"/>
    <w:rsid w:val="00B44049"/>
    <w:rsid w:val="00B44318"/>
    <w:rsid w:val="00B44C4B"/>
    <w:rsid w:val="00B47580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4E88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6FF7"/>
    <w:rsid w:val="00BA7DC5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A6F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5356"/>
    <w:rsid w:val="00C07988"/>
    <w:rsid w:val="00C07C5E"/>
    <w:rsid w:val="00C10068"/>
    <w:rsid w:val="00C10AC5"/>
    <w:rsid w:val="00C12DAD"/>
    <w:rsid w:val="00C12E17"/>
    <w:rsid w:val="00C14741"/>
    <w:rsid w:val="00C1544B"/>
    <w:rsid w:val="00C15937"/>
    <w:rsid w:val="00C1665A"/>
    <w:rsid w:val="00C1739F"/>
    <w:rsid w:val="00C177FF"/>
    <w:rsid w:val="00C20025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1DC9"/>
    <w:rsid w:val="00C32151"/>
    <w:rsid w:val="00C3217A"/>
    <w:rsid w:val="00C32460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A52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3DCA"/>
    <w:rsid w:val="00C668DE"/>
    <w:rsid w:val="00C7044F"/>
    <w:rsid w:val="00C71881"/>
    <w:rsid w:val="00C720F8"/>
    <w:rsid w:val="00C7294B"/>
    <w:rsid w:val="00C75139"/>
    <w:rsid w:val="00C7525C"/>
    <w:rsid w:val="00C76CF7"/>
    <w:rsid w:val="00C8152C"/>
    <w:rsid w:val="00C81C6B"/>
    <w:rsid w:val="00C83A4C"/>
    <w:rsid w:val="00C83B75"/>
    <w:rsid w:val="00C8533B"/>
    <w:rsid w:val="00C858BA"/>
    <w:rsid w:val="00C86977"/>
    <w:rsid w:val="00C90E08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CD0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04D"/>
    <w:rsid w:val="00CF0B9B"/>
    <w:rsid w:val="00CF0F7C"/>
    <w:rsid w:val="00CF13B8"/>
    <w:rsid w:val="00CF285E"/>
    <w:rsid w:val="00CF3739"/>
    <w:rsid w:val="00CF4F76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958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D1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0BA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2048"/>
    <w:rsid w:val="00D94564"/>
    <w:rsid w:val="00D9536E"/>
    <w:rsid w:val="00D9638C"/>
    <w:rsid w:val="00D97426"/>
    <w:rsid w:val="00D97568"/>
    <w:rsid w:val="00DA06B0"/>
    <w:rsid w:val="00DA08FB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36F6"/>
    <w:rsid w:val="00DD47D5"/>
    <w:rsid w:val="00DD6729"/>
    <w:rsid w:val="00DD74A1"/>
    <w:rsid w:val="00DD7960"/>
    <w:rsid w:val="00DD7B0D"/>
    <w:rsid w:val="00DE15E3"/>
    <w:rsid w:val="00DE1F29"/>
    <w:rsid w:val="00DE3931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8D1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209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D6B"/>
    <w:rsid w:val="00E5091C"/>
    <w:rsid w:val="00E50E42"/>
    <w:rsid w:val="00E50E4F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0D7A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D01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EE3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3893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51B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3041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51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DEEDD7"/>
  <w15:docId w15:val="{D2D026D4-AA8E-4D91-A9C1-9EB162BE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7C4F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4E8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1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CBC5-767B-4078-8C76-8D2D30BE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CWS/6/27 (Arabic)</vt:lpstr>
    </vt:vector>
  </TitlesOfParts>
  <Company>World Intellectual Property Organization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CWS/6/27 (Arabic)</dc:title>
  <dc:creator>MARTIN Souad</dc:creator>
  <cp:lastModifiedBy>DRAKE Sophie</cp:lastModifiedBy>
  <cp:revision>2</cp:revision>
  <cp:lastPrinted>2018-09-11T14:58:00Z</cp:lastPrinted>
  <dcterms:created xsi:type="dcterms:W3CDTF">2018-09-14T08:57:00Z</dcterms:created>
  <dcterms:modified xsi:type="dcterms:W3CDTF">2018-09-14T08:57:00Z</dcterms:modified>
</cp:coreProperties>
</file>